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89"/>
        <w:spacing w:line="204" w:lineRule="auto"/>
        <w:rPr>
          <w:rFonts w:ascii="PT Astra Serif" w:hAnsi="PT Astra Serif"/>
          <w:sz w:val="28"/>
          <w:szCs w:val="28"/>
          <w:highlight w:val="none"/>
        </w:rPr>
      </w:pPr>
      <w:r>
        <w:rPr>
          <w:rFonts w:ascii="PT Astra Serif" w:hAnsi="PT Astra Serif"/>
          <w:bCs w:val="0"/>
          <w:sz w:val="28"/>
          <w:szCs w:val="28"/>
          <w:highlight w:val="none"/>
        </w:rPr>
      </w:r>
      <w:r>
        <w:rPr>
          <w:rFonts w:ascii="PT Astra Serif" w:hAnsi="PT Astra Serif"/>
          <w:sz w:val="28"/>
          <w:szCs w:val="28"/>
          <w:highlight w:val="none"/>
        </w:rPr>
      </w:r>
      <w:r>
        <w:rPr>
          <w:rFonts w:ascii="PT Astra Serif" w:hAnsi="PT Astra Serif"/>
          <w:sz w:val="28"/>
          <w:szCs w:val="28"/>
          <w:highlight w:val="none"/>
        </w:rPr>
      </w:r>
    </w:p>
    <w:p>
      <w:pPr>
        <w:pStyle w:val="889"/>
        <w:spacing w:line="204" w:lineRule="auto"/>
        <w:rPr>
          <w:rFonts w:ascii="PT Astra Serif" w:hAnsi="PT Astra Serif"/>
          <w:sz w:val="28"/>
          <w:szCs w:val="28"/>
          <w:highlight w:val="none"/>
        </w:rPr>
      </w:pPr>
      <w:r>
        <w:rPr>
          <w:rFonts w:ascii="PT Astra Serif" w:hAnsi="PT Astra Serif"/>
          <w:bCs w:val="0"/>
          <w:sz w:val="28"/>
          <w:szCs w:val="28"/>
        </w:rPr>
        <w:t xml:space="preserve">ПОЯСНИТЕЛЬНАЯ ЗАПИСКА</w:t>
      </w:r>
      <w:r>
        <w:rPr>
          <w:rFonts w:ascii="PT Astra Serif" w:hAnsi="PT Astra Serif"/>
          <w:sz w:val="28"/>
          <w:szCs w:val="28"/>
          <w:highlight w:val="none"/>
        </w:rPr>
      </w:r>
      <w:r>
        <w:rPr>
          <w:rFonts w:ascii="PT Astra Serif" w:hAnsi="PT Astra Serif"/>
          <w:sz w:val="28"/>
          <w:szCs w:val="28"/>
          <w:highlight w:val="none"/>
        </w:rPr>
      </w:r>
    </w:p>
    <w:p>
      <w:pPr>
        <w:pStyle w:val="899"/>
        <w:jc w:val="center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к проекту закона Ульяновской области </w:t>
      </w:r>
      <w:r>
        <w:rPr>
          <w:rFonts w:ascii="PT Astra Serif" w:hAnsi="PT Astra Serif"/>
          <w:b/>
          <w:sz w:val="28"/>
          <w:szCs w:val="28"/>
        </w:rPr>
        <w:t xml:space="preserve">«О внесении изменений </w:t>
        <w:br/>
        <w:t xml:space="preserve">в отдельные законодательные акты Ульяновской области»</w:t>
      </w:r>
      <w:r>
        <w:rPr>
          <w:rFonts w:ascii="PT Astra Serif" w:hAnsi="PT Astra Serif" w:cs="Times New Roman"/>
          <w:sz w:val="28"/>
          <w:szCs w:val="28"/>
        </w:rPr>
      </w:r>
      <w:r>
        <w:rPr>
          <w:rFonts w:ascii="PT Astra Serif" w:hAnsi="PT Astra Serif" w:cs="Times New Roman"/>
          <w:sz w:val="28"/>
          <w:szCs w:val="28"/>
        </w:rPr>
      </w:r>
    </w:p>
    <w:p>
      <w:pPr>
        <w:pStyle w:val="884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</w:r>
      <w:r>
        <w:rPr>
          <w:rFonts w:ascii="PT Astra Serif" w:hAnsi="PT Astra Serif"/>
          <w:b/>
          <w:sz w:val="28"/>
          <w:szCs w:val="28"/>
        </w:rPr>
      </w:r>
      <w:r>
        <w:rPr>
          <w:rFonts w:ascii="PT Astra Serif" w:hAnsi="PT Astra Serif"/>
          <w:b/>
          <w:sz w:val="28"/>
          <w:szCs w:val="28"/>
        </w:rPr>
      </w:r>
    </w:p>
    <w:p>
      <w:pPr>
        <w:ind w:firstLine="709"/>
        <w:jc w:val="both"/>
        <w:spacing w:line="360" w:lineRule="auto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  <w:highlight w:val="none"/>
        </w:rPr>
      </w: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</w:p>
    <w:p>
      <w:pPr>
        <w:pStyle w:val="884"/>
        <w:ind w:firstLine="709"/>
        <w:jc w:val="both"/>
        <w:spacing w:line="360" w:lineRule="auto"/>
        <w:rPr>
          <w:rFonts w:ascii="PT Astra Serif" w:hAnsi="PT Astra Serif"/>
          <w:sz w:val="28"/>
          <w:szCs w:val="28"/>
          <w:highlight w:val="none"/>
        </w:rPr>
      </w:pPr>
      <w:r>
        <w:rPr>
          <w:rFonts w:ascii="PT Astra Serif" w:hAnsi="PT Astra Serif"/>
          <w:sz w:val="28"/>
          <w:szCs w:val="28"/>
        </w:rPr>
        <w:t xml:space="preserve">Проект закона Ульяновской области «О внесении изменений в отдельные законодательные акты Ульяновской области» </w:t>
      </w:r>
      <w:r>
        <w:rPr>
          <w:rFonts w:ascii="PT Astra Serif" w:hAnsi="PT Astra Serif"/>
          <w:sz w:val="28"/>
          <w:szCs w:val="28"/>
        </w:rPr>
        <w:t xml:space="preserve">(далее – проект закона) подготовлен в целях приведения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Закона</w:t>
      </w:r>
      <w:r>
        <w:rPr>
          <w:rFonts w:ascii="PT Astra Serif" w:hAnsi="PT Astra Serif" w:eastAsia="PT Astra Serif" w:cs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color w:val="000000"/>
          <w:sz w:val="28"/>
          <w:szCs w:val="28"/>
        </w:rPr>
        <w:t xml:space="preserve">Ульяновской области от 04.10.2011</w:t>
        <w:br/>
        <w:t xml:space="preserve">№ 142-ЗО «О межбюджетных отношениях в Ульяновской области»  (далее – Закон Ульяновской области </w:t>
      </w:r>
      <w:r>
        <w:rPr>
          <w:rFonts w:ascii="PT Astra Serif" w:hAnsi="PT Astra Serif" w:eastAsia="PT Astra Serif" w:cs="PT Astra Serif"/>
          <w:color w:val="000000"/>
          <w:sz w:val="28"/>
          <w:szCs w:val="28"/>
        </w:rPr>
        <w:t xml:space="preserve">от 04.10.2011 № 142-ЗО) </w:t>
      </w:r>
      <w:r>
        <w:rPr>
          <w:rFonts w:ascii="PT Astra Serif" w:hAnsi="PT Astra Serif" w:eastAsia="PT Astra Serif" w:cs="PT Astra Serif"/>
          <w:color w:val="000000"/>
          <w:sz w:val="28"/>
          <w:szCs w:val="28"/>
        </w:rPr>
        <w:t xml:space="preserve">и </w:t>
      </w:r>
      <w:hyperlink r:id="rId11" w:tooltip="consultantplus://offline/ref=A4C4F91C828477192A20E1DC23B4B9AB0615757151F9727172C7396081929A76n734F" w:history="1">
        <w:r>
          <w:rPr>
            <w:rFonts w:ascii="PT Astra Serif" w:hAnsi="PT Astra Serif"/>
            <w:bCs/>
            <w:sz w:val="28"/>
            <w:szCs w:val="28"/>
          </w:rPr>
          <w:t xml:space="preserve">Зако</w:t>
        </w:r>
        <w:r>
          <w:rPr>
            <w:rFonts w:ascii="PT Astra Serif" w:hAnsi="PT Astra Serif"/>
            <w:bCs/>
            <w:sz w:val="28"/>
            <w:szCs w:val="28"/>
          </w:rPr>
          <w:t xml:space="preserve">н</w:t>
        </w:r>
      </w:hyperlink>
      <w:r>
        <w:rPr>
          <w:rFonts w:ascii="PT Astra Serif" w:hAnsi="PT Astra Serif"/>
          <w:bCs/>
          <w:sz w:val="28"/>
          <w:szCs w:val="28"/>
        </w:rPr>
        <w:t xml:space="preserve">а Ульяновской области от 02.10.2012 </w:t>
      </w:r>
      <w:r>
        <w:rPr>
          <w:rFonts w:ascii="PT Astra Serif" w:hAnsi="PT Astra Serif"/>
          <w:bCs/>
          <w:sz w:val="28"/>
          <w:szCs w:val="28"/>
        </w:rPr>
        <w:t xml:space="preserve">№ 123-ЗО «Об особенностях бюджетного процесса </w:t>
        <w:br/>
        <w:t xml:space="preserve">в Ульяновской области» (далее – Закон Ульяновской области </w:t>
      </w:r>
      <w:r>
        <w:rPr>
          <w:rFonts w:ascii="PT Astra Serif" w:hAnsi="PT Astra Serif"/>
          <w:bCs/>
          <w:sz w:val="28"/>
          <w:szCs w:val="28"/>
        </w:rPr>
        <w:t xml:space="preserve">от 02.10.2012 </w:t>
        <w:br/>
      </w:r>
      <w:r>
        <w:rPr>
          <w:rFonts w:ascii="PT Astra Serif" w:hAnsi="PT Astra Serif"/>
          <w:bCs/>
          <w:sz w:val="28"/>
          <w:szCs w:val="28"/>
        </w:rPr>
        <w:t xml:space="preserve">№ 123-ЗО) </w:t>
      </w:r>
      <w:r>
        <w:rPr>
          <w:rFonts w:ascii="PT Astra Serif" w:hAnsi="PT Astra Serif"/>
          <w:bCs/>
          <w:sz w:val="28"/>
          <w:szCs w:val="28"/>
        </w:rPr>
        <w:t xml:space="preserve">в соответствие с законодательством Ульяновской области</w:t>
      </w:r>
      <w:r>
        <w:rPr>
          <w:rFonts w:ascii="PT Astra Serif" w:hAnsi="PT Astra Serif"/>
          <w:sz w:val="28"/>
          <w:szCs w:val="28"/>
        </w:rPr>
        <w:t xml:space="preserve">.</w:t>
      </w:r>
      <w:r>
        <w:rPr>
          <w:rFonts w:ascii="PT Astra Serif" w:hAnsi="PT Astra Serif"/>
          <w:sz w:val="28"/>
          <w:szCs w:val="28"/>
          <w:highlight w:val="none"/>
        </w:rPr>
      </w:r>
      <w:r>
        <w:rPr>
          <w:rFonts w:ascii="PT Astra Serif" w:hAnsi="PT Astra Serif"/>
          <w:sz w:val="28"/>
          <w:szCs w:val="28"/>
          <w:highlight w:val="none"/>
        </w:rPr>
      </w:r>
    </w:p>
    <w:p>
      <w:pPr>
        <w:ind w:firstLine="709"/>
        <w:jc w:val="both"/>
        <w:spacing w:line="360" w:lineRule="auto"/>
        <w:rPr>
          <w:rFonts w:ascii="PT Astra Serif" w:hAnsi="PT Astra Serif"/>
          <w:sz w:val="28"/>
          <w:szCs w:val="28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Astra Serif" w:hAnsi="PT Astra Serif"/>
          <w:sz w:val="28"/>
          <w:szCs w:val="28"/>
        </w:rPr>
        <w:t xml:space="preserve">Предметом правового регулирования проекта закона являются общественные отношения, возникающие в связи с н</w:t>
      </w:r>
      <w:r>
        <w:rPr>
          <w:rFonts w:ascii="PT Astra Serif" w:hAnsi="PT Astra Serif"/>
          <w:sz w:val="28"/>
          <w:szCs w:val="28"/>
        </w:rPr>
        <w:t xml:space="preserve">аделением представительных органов муниципальных рай</w:t>
      </w:r>
      <w:r>
        <w:rPr>
          <w:rFonts w:ascii="PT Astra Serif" w:hAnsi="PT Astra Serif"/>
          <w:sz w:val="28"/>
          <w:szCs w:val="28"/>
        </w:rPr>
        <w:t xml:space="preserve">оно</w:t>
      </w:r>
      <w:r>
        <w:rPr>
          <w:rFonts w:ascii="PT Astra Serif" w:hAnsi="PT Astra Serif"/>
          <w:sz w:val="28"/>
          <w:szCs w:val="28"/>
        </w:rPr>
        <w:t xml:space="preserve">в Ульяновской области государственными полномочиями Ульяновской области по расчету </w:t>
        <w:br/>
        <w:t xml:space="preserve">и предоставлению дотаций на выравнивание бюджетной обеспеченности бюджетам городских, сельских поселений Ульяновской области, а также общественные отношения, возникающие по </w:t>
      </w:r>
      <w:r>
        <w:rPr>
          <w:rFonts w:ascii="PT Astra Serif" w:hAnsi="PT Astra Serif"/>
          <w:bCs/>
          <w:sz w:val="28"/>
          <w:szCs w:val="28"/>
        </w:rPr>
        <w:t xml:space="preserve">поводу бюджетного процесса, осуществляемого государственными органами Ульяновской области в связи </w:t>
        <w:br/>
        <w:t xml:space="preserve">с областным бюджетом Ульяновской области.</w:t>
      </w:r>
      <w:r>
        <w:rPr>
          <w:rFonts w:ascii="PT Astra Serif" w:hAnsi="PT Astra Serif"/>
          <w:sz w:val="28"/>
          <w:szCs w:val="28"/>
          <w14:ligatures w14:val="none"/>
        </w:rPr>
      </w:r>
      <w:r>
        <w:rPr>
          <w:rFonts w:ascii="PT Astra Serif" w:hAnsi="PT Astra Serif"/>
          <w:sz w:val="28"/>
          <w:szCs w:val="28"/>
          <w14:ligatures w14:val="none"/>
        </w:rPr>
      </w:r>
    </w:p>
    <w:p>
      <w:pPr>
        <w:pStyle w:val="884"/>
        <w:ind w:firstLine="709"/>
        <w:jc w:val="both"/>
        <w:spacing w:line="360" w:lineRule="auto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  <w:t xml:space="preserve">В соответствии с пунктом 4 статьи 3 Бюджетно</w:t>
      </w:r>
      <w:r>
        <w:rPr>
          <w:rFonts w:ascii="PT Astra Serif" w:hAnsi="PT Astra Serif"/>
          <w:bCs/>
          <w:sz w:val="28"/>
          <w:szCs w:val="28"/>
        </w:rPr>
        <w:t xml:space="preserve">го кодекса Российской Федерации органы государственной власти субъектов Российской Федерации принимают нормативные правовые акты, регулирующие бюджетные правоотношения, в пределах своей компетенции в соответствии с Бюджетным кодексом Российской Федерации. </w:t>
      </w:r>
      <w:r>
        <w:rPr>
          <w:rFonts w:ascii="PT Astra Serif" w:hAnsi="PT Astra Serif"/>
          <w:bCs/>
          <w:sz w:val="28"/>
          <w:szCs w:val="28"/>
        </w:rPr>
      </w:r>
      <w:r>
        <w:rPr>
          <w:rFonts w:ascii="PT Astra Serif" w:hAnsi="PT Astra Serif"/>
          <w:bCs/>
          <w:sz w:val="28"/>
          <w:szCs w:val="28"/>
        </w:rPr>
      </w:r>
    </w:p>
    <w:p>
      <w:pPr>
        <w:pStyle w:val="884"/>
        <w:ind w:firstLine="709"/>
        <w:jc w:val="both"/>
        <w:spacing w:line="360" w:lineRule="auto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  <w:t xml:space="preserve">Согласно пункту 3 статьи 152 Бюджетного кодекса Российской Федерации особенности бюджетных полномочий участников бюджетного процесса, являющихся органами государственной власти субъектов Российской Федерации, устанав</w:t>
      </w:r>
      <w:r>
        <w:rPr>
          <w:rFonts w:ascii="PT Astra Serif" w:hAnsi="PT Astra Serif"/>
          <w:bCs/>
          <w:sz w:val="28"/>
          <w:szCs w:val="28"/>
        </w:rPr>
        <w:t xml:space="preserve">ливаются Бюджетным кодексом Российской Федерации </w:t>
        <w:br/>
        <w:t xml:space="preserve">и принятыми в соответствии с ним законами субъектов Российской Федерации, а также в установленных ими случаях иными нормативными правовыми актами высших исполнительных органов субъектов Российской Федерации.</w:t>
      </w:r>
      <w:r>
        <w:rPr>
          <w:rFonts w:ascii="PT Astra Serif" w:hAnsi="PT Astra Serif"/>
          <w:bCs/>
          <w:sz w:val="28"/>
          <w:szCs w:val="28"/>
        </w:rPr>
      </w:r>
      <w:r>
        <w:rPr>
          <w:rFonts w:ascii="PT Astra Serif" w:hAnsi="PT Astra Serif"/>
          <w:bCs/>
          <w:sz w:val="28"/>
          <w:szCs w:val="28"/>
        </w:rPr>
      </w:r>
    </w:p>
    <w:p>
      <w:pPr>
        <w:pStyle w:val="884"/>
        <w:ind w:firstLine="709"/>
        <w:jc w:val="both"/>
        <w:spacing w:line="360" w:lineRule="auto"/>
        <w:rPr>
          <w:rFonts w:ascii="PT Astra Serif" w:hAnsi="PT Astra Serif"/>
          <w:sz w:val="28"/>
          <w:szCs w:val="28"/>
          <w:highlight w:val="none"/>
        </w:rPr>
      </w:pPr>
      <w:r>
        <w:rPr>
          <w:rFonts w:ascii="PT Astra Serif" w:hAnsi="PT Astra Serif"/>
          <w:bCs/>
          <w:sz w:val="28"/>
          <w:szCs w:val="28"/>
        </w:rPr>
        <w:t xml:space="preserve">В соответствии с частью 2 статьи 58 Федерального закона от 2</w:t>
      </w:r>
      <w:r>
        <w:rPr>
          <w:rFonts w:ascii="PT Astra Serif" w:hAnsi="PT Astra Serif"/>
          <w:bCs/>
          <w:sz w:val="28"/>
          <w:szCs w:val="28"/>
        </w:rPr>
        <w:t xml:space="preserve">1.12.2021 № 414-ФЗ «Об общих принципах организации публичной власти в субъектах Российской Федерации» формирование бюджета субъекта Российской Федерации (его доходы и расходы), утверждение, исполнение бюджета субъекта Российской Федерации и контроль за его</w:t>
      </w:r>
      <w:r>
        <w:rPr>
          <w:rFonts w:ascii="PT Astra Serif" w:hAnsi="PT Astra Serif"/>
          <w:bCs/>
          <w:sz w:val="28"/>
          <w:szCs w:val="28"/>
        </w:rPr>
        <w:t xml:space="preserve"> исполнением осуществляются органами государственной власти субъекта Российской Федерации в соответствии с требованиями, установленными Бюджетным кодексом Российской Федерации, а также принятыми в соответствии с ними законами субъекта Российской Федерации.</w:t>
      </w:r>
      <w:r>
        <w:rPr>
          <w:rFonts w:ascii="PT Astra Serif" w:hAnsi="PT Astra Serif"/>
          <w:sz w:val="28"/>
          <w:szCs w:val="28"/>
          <w:highlight w:val="none"/>
        </w:rPr>
      </w:r>
      <w:r>
        <w:rPr>
          <w:rFonts w:ascii="PT Astra Serif" w:hAnsi="PT Astra Serif"/>
          <w:sz w:val="28"/>
          <w:szCs w:val="28"/>
          <w:highlight w:val="none"/>
        </w:rPr>
      </w:r>
    </w:p>
    <w:p>
      <w:pPr>
        <w:ind w:firstLine="709"/>
        <w:jc w:val="both"/>
        <w:spacing w:line="360" w:lineRule="auto"/>
        <w:rPr>
          <w:rFonts w:ascii="PT Astra Serif" w:hAnsi="PT Astra Serif" w:eastAsia="PT Astra Serif" w:cs="PT Astra Serif"/>
          <w:color w:val="000000"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  <w:highlight w:val="none"/>
        </w:rPr>
        <w:t xml:space="preserve">В части 1 статьи 9 </w:t>
      </w:r>
      <w:r>
        <w:rPr>
          <w:rFonts w:ascii="PT Astra Serif" w:hAnsi="PT Astra Serif" w:eastAsia="PT Astra Serif" w:cs="PT Astra Serif"/>
          <w:color w:val="000000"/>
          <w:sz w:val="28"/>
          <w:szCs w:val="28"/>
        </w:rPr>
        <w:t xml:space="preserve">Закона Ульяновской области </w:t>
      </w:r>
      <w:r>
        <w:rPr>
          <w:rFonts w:ascii="PT Astra Serif" w:hAnsi="PT Astra Serif" w:eastAsia="PT Astra Serif" w:cs="PT Astra Serif"/>
          <w:color w:val="000000"/>
          <w:sz w:val="28"/>
          <w:szCs w:val="28"/>
        </w:rPr>
        <w:t xml:space="preserve">от 04.10.2011 № 142-ЗО имеется ссылка на Закон Ульяновской области от 06.05.2002 № 020-ЗО </w:t>
        <w:br/>
        <w:t xml:space="preserve">«О порядке управления и распоряжения государственной собственностью Ульяновской области», а в </w:t>
      </w:r>
      <w:r>
        <w:rPr>
          <w:rFonts w:ascii="PT Astra Serif" w:hAnsi="PT Astra Serif"/>
          <w:bCs/>
          <w:sz w:val="28"/>
          <w:szCs w:val="28"/>
        </w:rPr>
        <w:t xml:space="preserve">абзаце первом части 2 статьи 10 и </w:t>
      </w:r>
      <w:r>
        <w:rPr>
          <w:rFonts w:ascii="PT Astra Serif" w:hAnsi="PT Astra Serif"/>
          <w:bCs/>
          <w:sz w:val="28"/>
          <w:szCs w:val="28"/>
        </w:rPr>
        <w:t xml:space="preserve">в пункте 6 статьи 11 указанного Закона Ульяновской области </w:t>
      </w:r>
      <w:r>
        <w:rPr>
          <w:rFonts w:ascii="PT Astra Serif" w:hAnsi="PT Astra Serif"/>
          <w:bCs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color w:val="000000"/>
          <w:sz w:val="28"/>
          <w:szCs w:val="28"/>
        </w:rPr>
        <w:t xml:space="preserve">04.10.2011 № 142-ЗО</w:t>
      </w:r>
      <w:r>
        <w:rPr>
          <w:rFonts w:ascii="PT Astra Serif" w:hAnsi="PT Astra Serif" w:eastAsia="PT Astra Serif" w:cs="PT Astra Serif"/>
          <w:color w:val="000000"/>
          <w:sz w:val="28"/>
          <w:szCs w:val="28"/>
        </w:rPr>
        <w:t xml:space="preserve"> – указа</w:t>
      </w:r>
      <w:r>
        <w:rPr>
          <w:rFonts w:ascii="PT Astra Serif" w:hAnsi="PT Astra Serif" w:eastAsia="PT Astra Serif" w:cs="PT Astra Serif"/>
          <w:color w:val="000000"/>
          <w:sz w:val="28"/>
          <w:szCs w:val="28"/>
        </w:rPr>
        <w:t xml:space="preserve">ние на исполнительный орган Ульяновской области, осуществляющий от имени Ульяновской области полномочия собственника по управлению </w:t>
        <w:br/>
        <w:t xml:space="preserve">и распоряжению имуществом, в том числе земельными участками, находящимся в государственной собственности Ульяновской области.</w:t>
      </w:r>
      <w:r>
        <w:rPr>
          <w:rFonts w:ascii="PT Astra Serif" w:hAnsi="PT Astra Serif" w:eastAsia="PT Astra Serif" w:cs="PT Astra Serif"/>
          <w:color w:val="000000"/>
          <w:sz w:val="28"/>
          <w:szCs w:val="28"/>
        </w:rPr>
      </w:r>
      <w:r>
        <w:rPr>
          <w:rFonts w:ascii="PT Astra Serif" w:hAnsi="PT Astra Serif" w:eastAsia="PT Astra Serif" w:cs="PT Astra Serif"/>
          <w:color w:val="000000"/>
          <w:sz w:val="28"/>
          <w:szCs w:val="28"/>
        </w:rPr>
      </w:r>
    </w:p>
    <w:p>
      <w:pPr>
        <w:ind w:firstLine="709"/>
        <w:jc w:val="both"/>
        <w:spacing w:line="360" w:lineRule="auto"/>
        <w:rPr>
          <w:rFonts w:ascii="PT Astra Serif" w:hAnsi="PT Astra Serif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Astra Serif" w:hAnsi="PT Astra Serif"/>
          <w:sz w:val="28"/>
          <w:szCs w:val="28"/>
          <w:highlight w:val="none"/>
        </w:rPr>
        <w:t xml:space="preserve">Вместе с тем, Законом Ульяновской области от 31.03.2026 № 18-ЗО </w:t>
        <w:br/>
        <w:t xml:space="preserve">«О внесении из</w:t>
      </w:r>
      <w:r>
        <w:rPr>
          <w:rFonts w:ascii="PT Astra Serif" w:hAnsi="PT Astra Serif"/>
          <w:sz w:val="28"/>
          <w:szCs w:val="28"/>
          <w:highlight w:val="none"/>
        </w:rPr>
        <w:t xml:space="preserve">менений в отдельные законодательные акты Ульяновской области» внесены изменения в том числе в Закон Ульяновской области </w:t>
        <w:br/>
        <w:t xml:space="preserve">от 06.05.2002 № 020-ЗО «О порядке управления и распоряжения государственной собственностью Ульяновской области» в целях приведения его </w:t>
      </w:r>
      <w:r>
        <w:rPr>
          <w:rFonts w:ascii="PT Astra Serif" w:hAnsi="PT Astra Serif"/>
          <w:sz w:val="28"/>
          <w:szCs w:val="28"/>
          <w:highlight w:val="none"/>
        </w:rPr>
        <w:t xml:space="preserve">в соответствие с Федеральным законом от 21.12.2021 № 414-ФЗ</w:t>
      </w:r>
      <w:r>
        <w:rPr>
          <w:rFonts w:ascii="PT Astra Serif" w:hAnsi="PT Astra Serif"/>
          <w:sz w:val="28"/>
          <w:szCs w:val="28"/>
          <w:highlight w:val="none"/>
        </w:rPr>
        <w:t xml:space="preserve"> «Об общих принципах организации публичной власти в субъектах Российской Федерации» в части исключения из формулировок понятий «государственная собственность Ульяновской области» и «государственное имущество Ульяновской области» слова «государственная».   </w:t>
      </w:r>
      <w:r>
        <w:rPr>
          <w:rFonts w:ascii="PT Astra Serif" w:hAnsi="PT Astra Serif"/>
          <w:sz w:val="28"/>
          <w:szCs w:val="28"/>
          <w:highlight w:val="none"/>
          <w14:ligatures w14:val="none"/>
        </w:rPr>
      </w:r>
      <w:r>
        <w:rPr>
          <w:rFonts w:ascii="PT Astra Serif" w:hAnsi="PT Astra Serif"/>
          <w:sz w:val="28"/>
          <w:szCs w:val="28"/>
          <w:highlight w:val="none"/>
          <w14:ligatures w14:val="none"/>
        </w:rPr>
      </w:r>
    </w:p>
    <w:p>
      <w:pPr>
        <w:ind w:firstLine="709"/>
        <w:jc w:val="both"/>
        <w:spacing w:line="360" w:lineRule="auto"/>
        <w:rPr>
          <w:rFonts w:ascii="PT Astra Serif" w:hAnsi="PT Astra Serif" w:eastAsia="PT Astra Serif" w:cs="PT Astra Serif"/>
          <w:color w:val="000000"/>
          <w:sz w:val="28"/>
          <w:szCs w:val="28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Astra Serif" w:hAnsi="PT Astra Serif"/>
          <w:sz w:val="28"/>
          <w:szCs w:val="28"/>
          <w:highlight w:val="none"/>
        </w:rPr>
        <w:t xml:space="preserve">В данной связи проектом закона предлагается внести соответствующие изменения в часть 1 статьи 9, абзац первый части 2 статьи 10 и пункт 6 статьи 11 </w:t>
      </w:r>
      <w:r>
        <w:rPr>
          <w:rFonts w:ascii="PT Astra Serif" w:hAnsi="PT Astra Serif" w:eastAsia="PT Astra Serif" w:cs="PT Astra Serif"/>
          <w:color w:val="000000"/>
          <w:sz w:val="28"/>
          <w:szCs w:val="28"/>
        </w:rPr>
        <w:t xml:space="preserve">Закона Ульяновской области </w:t>
      </w:r>
      <w:r>
        <w:rPr>
          <w:rFonts w:ascii="PT Astra Serif" w:hAnsi="PT Astra Serif" w:eastAsia="PT Astra Serif" w:cs="PT Astra Serif"/>
          <w:color w:val="000000"/>
          <w:sz w:val="28"/>
          <w:szCs w:val="28"/>
        </w:rPr>
        <w:t xml:space="preserve">от 04.10.2011 № 142-ЗО.</w:t>
      </w:r>
      <w:r>
        <w:rPr>
          <w:rFonts w:ascii="PT Astra Serif" w:hAnsi="PT Astra Serif" w:eastAsia="PT Astra Serif" w:cs="PT Astra Serif"/>
          <w:color w:val="000000"/>
          <w:sz w:val="28"/>
          <w:szCs w:val="28"/>
          <w14:ligatures w14:val="none"/>
        </w:rPr>
      </w:r>
      <w:r>
        <w:rPr>
          <w:rFonts w:ascii="PT Astra Serif" w:hAnsi="PT Astra Serif" w:eastAsia="PT Astra Serif" w:cs="PT Astra Serif"/>
          <w:color w:val="000000"/>
          <w:sz w:val="28"/>
          <w:szCs w:val="28"/>
          <w14:ligatures w14:val="none"/>
        </w:rPr>
      </w:r>
    </w:p>
    <w:p>
      <w:pPr>
        <w:ind w:firstLine="709"/>
        <w:jc w:val="both"/>
        <w:spacing w:line="360" w:lineRule="auto"/>
        <w:rPr>
          <w:rFonts w:ascii="PT Astra Serif" w:hAnsi="PT Astra Serif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Astra Serif" w:hAnsi="PT Astra Serif"/>
          <w:sz w:val="28"/>
          <w:szCs w:val="28"/>
          <w:highlight w:val="none"/>
        </w:rPr>
        <w:t xml:space="preserve">По аналогичным основаниям предлагается внести изменение в </w:t>
      </w:r>
      <w:r>
        <w:rPr>
          <w:rFonts w:ascii="PT Astra Serif" w:hAnsi="PT Astra Serif"/>
          <w:bCs/>
          <w:sz w:val="28"/>
          <w:szCs w:val="28"/>
        </w:rPr>
        <w:t xml:space="preserve">абзац второй части 9 статьи 28</w:t>
      </w:r>
      <w:r>
        <w:rPr>
          <w:rFonts w:ascii="PT Astra Serif" w:hAnsi="PT Astra Serif"/>
          <w:sz w:val="28"/>
          <w:szCs w:val="28"/>
          <w:highlight w:val="none"/>
        </w:rPr>
        <w:t xml:space="preserve"> </w:t>
      </w:r>
      <w:r>
        <w:rPr>
          <w:rFonts w:ascii="PT Astra Serif" w:hAnsi="PT Astra Serif"/>
          <w:bCs/>
          <w:sz w:val="28"/>
          <w:szCs w:val="28"/>
        </w:rPr>
        <w:t xml:space="preserve">Закона Ульяновской области </w:t>
      </w:r>
      <w:r>
        <w:rPr>
          <w:rFonts w:ascii="PT Astra Serif" w:hAnsi="PT Astra Serif"/>
          <w:bCs/>
          <w:sz w:val="28"/>
          <w:szCs w:val="28"/>
        </w:rPr>
        <w:t xml:space="preserve">от 02.10.2012 </w:t>
      </w:r>
      <w:r>
        <w:rPr>
          <w:rFonts w:ascii="PT Astra Serif" w:hAnsi="PT Astra Serif"/>
          <w:bCs/>
          <w:sz w:val="28"/>
          <w:szCs w:val="28"/>
        </w:rPr>
        <w:t xml:space="preserve">№ 123-ЗО, содержащий указание на исполнительный орган Ульяновской области, уполномоченный в сфере управления государственным имуществом Ульяновской области.</w:t>
      </w:r>
      <w:r>
        <w:rPr>
          <w:rFonts w:ascii="PT Astra Serif" w:hAnsi="PT Astra Serif"/>
          <w:sz w:val="28"/>
          <w:szCs w:val="28"/>
          <w:highlight w:val="none"/>
        </w:rPr>
        <w:t xml:space="preserve"> </w:t>
      </w:r>
      <w:r>
        <w:rPr>
          <w:rFonts w:ascii="PT Astra Serif" w:hAnsi="PT Astra Serif"/>
          <w:sz w:val="28"/>
          <w:szCs w:val="28"/>
          <w:highlight w:val="none"/>
        </w:rPr>
        <w:t xml:space="preserve">  </w:t>
      </w:r>
      <w:r>
        <w:rPr>
          <w:rFonts w:ascii="PT Astra Serif" w:hAnsi="PT Astra Serif"/>
          <w:sz w:val="28"/>
          <w:szCs w:val="28"/>
          <w:highlight w:val="none"/>
          <w14:ligatures w14:val="none"/>
        </w:rPr>
      </w:r>
      <w:r>
        <w:rPr>
          <w:rFonts w:ascii="PT Astra Serif" w:hAnsi="PT Astra Serif"/>
          <w:sz w:val="28"/>
          <w:szCs w:val="28"/>
          <w:highlight w:val="none"/>
          <w14:ligatures w14:val="none"/>
        </w:rPr>
      </w:r>
    </w:p>
    <w:p>
      <w:pPr>
        <w:pStyle w:val="884"/>
        <w:ind w:firstLine="708"/>
        <w:jc w:val="both"/>
        <w:spacing w:line="360" w:lineRule="auto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Проект</w:t>
      </w:r>
      <w:r>
        <w:rPr>
          <w:rFonts w:ascii="PT Astra Serif" w:hAnsi="PT Astra Serif"/>
          <w:sz w:val="28"/>
          <w:szCs w:val="28"/>
        </w:rPr>
        <w:t xml:space="preserve"> закона не подлежит оценке регулирующего воздействия и оценке социально-экономической эффективности, поскольку не устанавливает новые, не изменяет и не отменяет ранее предусмотренные нормативными правовыми актами Ульяновской области обязательные требования</w:t>
      </w:r>
      <w:r>
        <w:rPr>
          <w:rFonts w:ascii="PT Astra Serif" w:hAnsi="PT Astra Serif"/>
          <w:sz w:val="28"/>
          <w:szCs w:val="28"/>
        </w:rPr>
        <w:t xml:space="preserve">, обязанности и запреты для субъектов предпринимательской и инвестиционной деятельности, ответственность за нарушение нормативных правовых актов Ульяновской области, затрагивающих вопросы осуществления предпринимательской и иной экономической деятельности.</w:t>
      </w: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</w:p>
    <w:p>
      <w:pPr>
        <w:pStyle w:val="884"/>
        <w:ind w:firstLine="720"/>
        <w:jc w:val="both"/>
        <w:spacing w:line="360" w:lineRule="auto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Антикоррупционная экспертиза проекта закона проведена юридическим отделом Министерства финансов Ульяновской области, по результатам которой коррупциогенные факторы не выявлены.</w:t>
      </w: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</w:p>
    <w:p>
      <w:pPr>
        <w:pStyle w:val="895"/>
        <w:ind w:firstLine="709"/>
        <w:spacing w:line="360" w:lineRule="auto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 xml:space="preserve">Ответственным должностным лицом за разработку проекта закона является референт юридического отдела Министерства финансов Ульяновской области Бобров Максим Сергеевич</w:t>
      </w:r>
      <w:r>
        <w:rPr>
          <w:rFonts w:ascii="PT Astra Serif" w:hAnsi="PT Astra Serif"/>
          <w:szCs w:val="28"/>
        </w:rPr>
        <w:t xml:space="preserve">.</w:t>
      </w:r>
      <w:r>
        <w:rPr>
          <w:rFonts w:ascii="PT Astra Serif" w:hAnsi="PT Astra Serif"/>
          <w:szCs w:val="28"/>
        </w:rPr>
      </w:r>
      <w:r>
        <w:rPr>
          <w:rFonts w:ascii="PT Astra Serif" w:hAnsi="PT Astra Serif"/>
          <w:szCs w:val="28"/>
        </w:rPr>
      </w:r>
    </w:p>
    <w:p>
      <w:pPr>
        <w:pStyle w:val="884"/>
        <w:ind w:firstLine="709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</w:r>
      <w:r>
        <w:rPr>
          <w:rFonts w:ascii="PT Astra Serif" w:hAnsi="PT Astra Serif"/>
          <w:bCs/>
          <w:sz w:val="28"/>
          <w:szCs w:val="28"/>
        </w:rPr>
      </w:r>
      <w:r>
        <w:rPr>
          <w:rFonts w:ascii="PT Astra Serif" w:hAnsi="PT Astra Serif"/>
          <w:bCs/>
          <w:sz w:val="28"/>
          <w:szCs w:val="28"/>
        </w:rPr>
      </w:r>
    </w:p>
    <w:p>
      <w:pPr>
        <w:pStyle w:val="884"/>
        <w:ind w:firstLine="709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</w:r>
      <w:r>
        <w:rPr>
          <w:rFonts w:ascii="PT Astra Serif" w:hAnsi="PT Astra Serif"/>
          <w:bCs/>
          <w:sz w:val="28"/>
          <w:szCs w:val="28"/>
        </w:rPr>
      </w:r>
      <w:r>
        <w:rPr>
          <w:rFonts w:ascii="PT Astra Serif" w:hAnsi="PT Astra Serif"/>
          <w:bCs/>
          <w:sz w:val="28"/>
          <w:szCs w:val="28"/>
        </w:rPr>
      </w:r>
    </w:p>
    <w:p>
      <w:pPr>
        <w:pStyle w:val="884"/>
        <w:ind w:firstLine="709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</w:r>
      <w:r>
        <w:rPr>
          <w:rFonts w:ascii="PT Astra Serif" w:hAnsi="PT Astra Serif"/>
          <w:bCs/>
          <w:sz w:val="28"/>
          <w:szCs w:val="28"/>
        </w:rPr>
      </w:r>
      <w:r>
        <w:rPr>
          <w:rFonts w:ascii="PT Astra Serif" w:hAnsi="PT Astra Serif"/>
          <w:bCs/>
          <w:sz w:val="28"/>
          <w:szCs w:val="28"/>
        </w:rPr>
      </w:r>
    </w:p>
    <w:p>
      <w:pPr>
        <w:pStyle w:val="884"/>
        <w:jc w:val="both"/>
        <w:shd w:val="clear" w:color="auto" w:fill="ffffff"/>
        <w:tabs>
          <w:tab w:val="left" w:pos="982" w:leader="none"/>
        </w:tabs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Заместитель Председателя </w:t>
      </w:r>
      <w:r>
        <w:rPr>
          <w:rFonts w:ascii="PT Astra Serif" w:hAnsi="PT Astra Serif"/>
          <w:sz w:val="28"/>
          <w:szCs w:val="28"/>
        </w:rPr>
        <w:t xml:space="preserve">Правительства</w:t>
      </w: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</w:p>
    <w:p>
      <w:pPr>
        <w:pStyle w:val="884"/>
        <w:jc w:val="both"/>
        <w:shd w:val="clear" w:color="auto" w:fill="ffffff"/>
        <w:tabs>
          <w:tab w:val="left" w:pos="982" w:leader="none"/>
        </w:tabs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Ульяновской области – </w:t>
      </w:r>
      <w:r>
        <w:rPr>
          <w:rFonts w:ascii="PT Astra Serif" w:hAnsi="PT Astra Serif"/>
          <w:sz w:val="28"/>
          <w:szCs w:val="28"/>
        </w:rPr>
        <w:t xml:space="preserve">Министр финансов</w:t>
      </w: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</w:p>
    <w:p>
      <w:pPr>
        <w:pStyle w:val="884"/>
        <w:jc w:val="both"/>
        <w:shd w:val="clear" w:color="auto" w:fill="ffffff"/>
        <w:tabs>
          <w:tab w:val="left" w:pos="982" w:leader="none"/>
        </w:tabs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Ульяновской </w:t>
      </w:r>
      <w:r>
        <w:rPr>
          <w:rFonts w:ascii="PT Astra Serif" w:hAnsi="PT Astra Serif"/>
          <w:sz w:val="28"/>
          <w:szCs w:val="28"/>
        </w:rPr>
        <w:t xml:space="preserve">области                     </w:t>
      </w:r>
      <w:r>
        <w:rPr>
          <w:rFonts w:ascii="PT Astra Serif" w:hAnsi="PT Astra Serif"/>
          <w:sz w:val="28"/>
          <w:szCs w:val="28"/>
        </w:rPr>
        <w:tab/>
        <w:tab/>
        <w:tab/>
        <w:tab/>
        <w:tab/>
        <w:tab/>
        <w:t xml:space="preserve">Н.Г.Брюханова</w:t>
      </w: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</w:p>
    <w:sectPr>
      <w:headerReference w:type="default" r:id="rId9"/>
      <w:headerReference w:type="even" r:id="rId10"/>
      <w:footnotePr/>
      <w:endnotePr/>
      <w:type w:val="nextPage"/>
      <w:pgSz w:w="11906" w:h="16838" w:orient="portrait"/>
      <w:pgMar w:top="1134" w:right="567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Times New Roman">
    <w:panose1 w:val="02020603050405020304"/>
  </w:font>
  <w:font w:name="Calibri">
    <w:panose1 w:val="020F0502020204030204"/>
  </w:font>
  <w:font w:name="Tahoma">
    <w:panose1 w:val="020B0604030504040204"/>
  </w:font>
  <w:font w:name="Courier New">
    <w:panose1 w:val="02070409020205020404"/>
  </w:font>
  <w:font w:name="PT Astra Serif">
    <w:panose1 w:val="020A0603040505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6"/>
      <w:rPr>
        <w:rStyle w:val="897"/>
        <w:sz w:val="28"/>
        <w:szCs w:val="28"/>
      </w:rPr>
      <w:framePr w:wrap="around" w:vAnchor="text" w:hAnchor="margin" w:xAlign="center" w:y="1"/>
    </w:pPr>
    <w:r>
      <w:rPr>
        <w:rStyle w:val="897"/>
        <w:sz w:val="28"/>
        <w:szCs w:val="28"/>
      </w:rPr>
      <w:fldChar w:fldCharType="begin"/>
    </w:r>
    <w:r>
      <w:rPr>
        <w:rStyle w:val="897"/>
        <w:sz w:val="28"/>
        <w:szCs w:val="28"/>
      </w:rPr>
      <w:instrText xml:space="preserve">PAGE  </w:instrText>
    </w:r>
    <w:r>
      <w:rPr>
        <w:rStyle w:val="897"/>
        <w:sz w:val="28"/>
        <w:szCs w:val="28"/>
      </w:rPr>
      <w:fldChar w:fldCharType="separate"/>
    </w:r>
    <w:r>
      <w:rPr>
        <w:rStyle w:val="897"/>
        <w:sz w:val="28"/>
        <w:szCs w:val="28"/>
      </w:rPr>
      <w:t xml:space="preserve">4</w:t>
    </w:r>
    <w:r>
      <w:rPr>
        <w:rStyle w:val="897"/>
        <w:sz w:val="28"/>
        <w:szCs w:val="28"/>
      </w:rPr>
      <w:fldChar w:fldCharType="end"/>
    </w:r>
    <w:r>
      <w:rPr>
        <w:rStyle w:val="897"/>
        <w:sz w:val="28"/>
        <w:szCs w:val="28"/>
      </w:rPr>
    </w:r>
    <w:r>
      <w:rPr>
        <w:rStyle w:val="897"/>
        <w:sz w:val="28"/>
        <w:szCs w:val="28"/>
      </w:rPr>
    </w:r>
  </w:p>
  <w:p>
    <w:pPr>
      <w:pStyle w:val="896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6"/>
      <w:rPr>
        <w:rStyle w:val="897"/>
      </w:rPr>
      <w:framePr w:wrap="around" w:vAnchor="text" w:hAnchor="margin" w:xAlign="center" w:y="1"/>
    </w:pPr>
    <w:r>
      <w:rPr>
        <w:rStyle w:val="897"/>
      </w:rPr>
      <w:fldChar w:fldCharType="begin"/>
    </w:r>
    <w:r>
      <w:rPr>
        <w:rStyle w:val="897"/>
      </w:rPr>
      <w:instrText xml:space="preserve">PAGE  </w:instrText>
    </w:r>
    <w:r>
      <w:rPr>
        <w:rStyle w:val="897"/>
      </w:rPr>
      <w:fldChar w:fldCharType="end"/>
    </w:r>
    <w:r>
      <w:rPr>
        <w:rStyle w:val="897"/>
      </w:rPr>
    </w:r>
    <w:r>
      <w:rPr>
        <w:rStyle w:val="897"/>
      </w:rPr>
    </w:r>
  </w:p>
  <w:p>
    <w:pPr>
      <w:pStyle w:val="896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290" w:hanging="750"/>
        <w:tabs>
          <w:tab w:val="num" w:pos="1290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620" w:hanging="360"/>
        <w:tabs>
          <w:tab w:val="num" w:pos="162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340" w:hanging="360"/>
        <w:tabs>
          <w:tab w:val="num" w:pos="234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060" w:hanging="360"/>
        <w:tabs>
          <w:tab w:val="num" w:pos="306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780" w:hanging="360"/>
        <w:tabs>
          <w:tab w:val="num" w:pos="378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500" w:hanging="360"/>
        <w:tabs>
          <w:tab w:val="num" w:pos="450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220" w:hanging="360"/>
        <w:tabs>
          <w:tab w:val="num" w:pos="522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940" w:hanging="360"/>
        <w:tabs>
          <w:tab w:val="num" w:pos="594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660" w:hanging="360"/>
        <w:tabs>
          <w:tab w:val="num" w:pos="6660" w:leader="none"/>
        </w:tabs>
      </w:pPr>
      <w:rPr>
        <w:rFonts w:ascii="Wingdings" w:hAnsi="Wingdings"/>
      </w:rPr>
    </w:lvl>
  </w:abstractNum>
  <w:abstractNum w:abstractNumId="1">
    <w:multiLevelType w:val="hybridMultilevel"/>
    <w:lvl w:ilvl="0">
      <w:start w:val="4"/>
      <w:numFmt w:val="bullet"/>
      <w:isLgl w:val="false"/>
      <w:suff w:val="tab"/>
      <w:lvlText w:val="-"/>
      <w:lvlJc w:val="left"/>
      <w:pPr>
        <w:ind w:left="1215" w:hanging="360"/>
        <w:tabs>
          <w:tab w:val="num" w:pos="1215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935" w:hanging="360"/>
        <w:tabs>
          <w:tab w:val="num" w:pos="1935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655" w:hanging="360"/>
        <w:tabs>
          <w:tab w:val="num" w:pos="2655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75" w:hanging="360"/>
        <w:tabs>
          <w:tab w:val="num" w:pos="3375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95" w:hanging="360"/>
        <w:tabs>
          <w:tab w:val="num" w:pos="4095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15" w:hanging="360"/>
        <w:tabs>
          <w:tab w:val="num" w:pos="4815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35" w:hanging="360"/>
        <w:tabs>
          <w:tab w:val="num" w:pos="5535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55" w:hanging="360"/>
        <w:tabs>
          <w:tab w:val="num" w:pos="6255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75" w:hanging="360"/>
        <w:tabs>
          <w:tab w:val="num" w:pos="6975" w:leader="none"/>
        </w:tabs>
      </w:pPr>
      <w:rPr>
        <w:rFonts w:ascii="Wingdings" w:hAnsi="Wingdings"/>
      </w:rPr>
    </w:lvl>
  </w:abstractNum>
  <w:abstractNum w:abstractNumId="2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3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  <w:tabs>
          <w:tab w:val="num" w:pos="1069" w:leader="none"/>
        </w:tabs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  <w:tabs>
          <w:tab w:val="num" w:pos="1789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  <w:tabs>
          <w:tab w:val="num" w:pos="2509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  <w:tabs>
          <w:tab w:val="num" w:pos="3229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  <w:tabs>
          <w:tab w:val="num" w:pos="3949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  <w:tabs>
          <w:tab w:val="num" w:pos="4669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  <w:tabs>
          <w:tab w:val="num" w:pos="538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  <w:tabs>
          <w:tab w:val="num" w:pos="6109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  <w:tabs>
          <w:tab w:val="num" w:pos="6829" w:leader="none"/>
        </w:tabs>
      </w:pPr>
    </w:lvl>
  </w:abstractNum>
  <w:abstractNum w:abstractNumId="5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870" w:hanging="360"/>
        <w:tabs>
          <w:tab w:val="num" w:pos="870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590" w:hanging="360"/>
        <w:tabs>
          <w:tab w:val="num" w:pos="159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310" w:hanging="360"/>
        <w:tabs>
          <w:tab w:val="num" w:pos="231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030" w:hanging="360"/>
        <w:tabs>
          <w:tab w:val="num" w:pos="303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750" w:hanging="360"/>
        <w:tabs>
          <w:tab w:val="num" w:pos="375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470" w:hanging="360"/>
        <w:tabs>
          <w:tab w:val="num" w:pos="447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90" w:hanging="360"/>
        <w:tabs>
          <w:tab w:val="num" w:pos="519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910" w:hanging="360"/>
        <w:tabs>
          <w:tab w:val="num" w:pos="591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630" w:hanging="360"/>
        <w:tabs>
          <w:tab w:val="num" w:pos="6630" w:leader="none"/>
        </w:tabs>
      </w:pPr>
      <w:rPr>
        <w:rFonts w:ascii="Wingdings" w:hAnsi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900" w:hanging="360"/>
        <w:tabs>
          <w:tab w:val="num" w:pos="900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620" w:hanging="360"/>
        <w:tabs>
          <w:tab w:val="num" w:pos="162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340" w:hanging="360"/>
        <w:tabs>
          <w:tab w:val="num" w:pos="234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060" w:hanging="360"/>
        <w:tabs>
          <w:tab w:val="num" w:pos="306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780" w:hanging="360"/>
        <w:tabs>
          <w:tab w:val="num" w:pos="378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500" w:hanging="360"/>
        <w:tabs>
          <w:tab w:val="num" w:pos="450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220" w:hanging="360"/>
        <w:tabs>
          <w:tab w:val="num" w:pos="522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940" w:hanging="360"/>
        <w:tabs>
          <w:tab w:val="num" w:pos="594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660" w:hanging="360"/>
        <w:tabs>
          <w:tab w:val="num" w:pos="6660" w:leader="none"/>
        </w:tabs>
      </w:pPr>
      <w:rPr>
        <w:rFonts w:ascii="Wingdings" w:hAnsi="Wingdings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06">
    <w:name w:val="Heading 1"/>
    <w:basedOn w:val="884"/>
    <w:next w:val="884"/>
    <w:link w:val="70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07">
    <w:name w:val="Heading 1 Char"/>
    <w:link w:val="706"/>
    <w:uiPriority w:val="9"/>
    <w:rPr>
      <w:rFonts w:ascii="Arial" w:hAnsi="Arial" w:eastAsia="Arial" w:cs="Arial"/>
      <w:sz w:val="40"/>
      <w:szCs w:val="40"/>
    </w:rPr>
  </w:style>
  <w:style w:type="paragraph" w:styleId="708">
    <w:name w:val="Heading 2"/>
    <w:basedOn w:val="884"/>
    <w:next w:val="884"/>
    <w:link w:val="70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09">
    <w:name w:val="Heading 2 Char"/>
    <w:link w:val="708"/>
    <w:uiPriority w:val="9"/>
    <w:rPr>
      <w:rFonts w:ascii="Arial" w:hAnsi="Arial" w:eastAsia="Arial" w:cs="Arial"/>
      <w:sz w:val="34"/>
    </w:rPr>
  </w:style>
  <w:style w:type="paragraph" w:styleId="710">
    <w:name w:val="Heading 3"/>
    <w:basedOn w:val="884"/>
    <w:next w:val="884"/>
    <w:link w:val="71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11">
    <w:name w:val="Heading 3 Char"/>
    <w:link w:val="710"/>
    <w:uiPriority w:val="9"/>
    <w:rPr>
      <w:rFonts w:ascii="Arial" w:hAnsi="Arial" w:eastAsia="Arial" w:cs="Arial"/>
      <w:sz w:val="30"/>
      <w:szCs w:val="30"/>
    </w:rPr>
  </w:style>
  <w:style w:type="paragraph" w:styleId="712">
    <w:name w:val="Heading 4"/>
    <w:basedOn w:val="884"/>
    <w:next w:val="884"/>
    <w:link w:val="71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13">
    <w:name w:val="Heading 4 Char"/>
    <w:link w:val="712"/>
    <w:uiPriority w:val="9"/>
    <w:rPr>
      <w:rFonts w:ascii="Arial" w:hAnsi="Arial" w:eastAsia="Arial" w:cs="Arial"/>
      <w:b/>
      <w:bCs/>
      <w:sz w:val="26"/>
      <w:szCs w:val="26"/>
    </w:rPr>
  </w:style>
  <w:style w:type="paragraph" w:styleId="714">
    <w:name w:val="Heading 5"/>
    <w:basedOn w:val="884"/>
    <w:next w:val="884"/>
    <w:link w:val="71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15">
    <w:name w:val="Heading 5 Char"/>
    <w:link w:val="714"/>
    <w:uiPriority w:val="9"/>
    <w:rPr>
      <w:rFonts w:ascii="Arial" w:hAnsi="Arial" w:eastAsia="Arial" w:cs="Arial"/>
      <w:b/>
      <w:bCs/>
      <w:sz w:val="24"/>
      <w:szCs w:val="24"/>
    </w:rPr>
  </w:style>
  <w:style w:type="paragraph" w:styleId="716">
    <w:name w:val="Heading 6"/>
    <w:basedOn w:val="884"/>
    <w:next w:val="884"/>
    <w:link w:val="71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17">
    <w:name w:val="Heading 6 Char"/>
    <w:link w:val="716"/>
    <w:uiPriority w:val="9"/>
    <w:rPr>
      <w:rFonts w:ascii="Arial" w:hAnsi="Arial" w:eastAsia="Arial" w:cs="Arial"/>
      <w:b/>
      <w:bCs/>
      <w:sz w:val="22"/>
      <w:szCs w:val="22"/>
    </w:rPr>
  </w:style>
  <w:style w:type="paragraph" w:styleId="718">
    <w:name w:val="Heading 7"/>
    <w:basedOn w:val="884"/>
    <w:next w:val="884"/>
    <w:link w:val="71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19">
    <w:name w:val="Heading 7 Char"/>
    <w:link w:val="71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20">
    <w:name w:val="Heading 8"/>
    <w:basedOn w:val="884"/>
    <w:next w:val="884"/>
    <w:link w:val="72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21">
    <w:name w:val="Heading 8 Char"/>
    <w:link w:val="720"/>
    <w:uiPriority w:val="9"/>
    <w:rPr>
      <w:rFonts w:ascii="Arial" w:hAnsi="Arial" w:eastAsia="Arial" w:cs="Arial"/>
      <w:i/>
      <w:iCs/>
      <w:sz w:val="22"/>
      <w:szCs w:val="22"/>
    </w:rPr>
  </w:style>
  <w:style w:type="paragraph" w:styleId="722">
    <w:name w:val="Heading 9"/>
    <w:basedOn w:val="884"/>
    <w:next w:val="884"/>
    <w:link w:val="72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3">
    <w:name w:val="Heading 9 Char"/>
    <w:link w:val="722"/>
    <w:uiPriority w:val="9"/>
    <w:rPr>
      <w:rFonts w:ascii="Arial" w:hAnsi="Arial" w:eastAsia="Arial" w:cs="Arial"/>
      <w:i/>
      <w:iCs/>
      <w:sz w:val="21"/>
      <w:szCs w:val="21"/>
    </w:rPr>
  </w:style>
  <w:style w:type="paragraph" w:styleId="724">
    <w:name w:val="List Paragraph"/>
    <w:basedOn w:val="884"/>
    <w:uiPriority w:val="34"/>
    <w:qFormat/>
    <w:pPr>
      <w:contextualSpacing/>
      <w:ind w:left="720"/>
    </w:pPr>
  </w:style>
  <w:style w:type="paragraph" w:styleId="725">
    <w:name w:val="No Spacing"/>
    <w:uiPriority w:val="1"/>
    <w:qFormat/>
    <w:pPr>
      <w:spacing w:before="0" w:after="0" w:line="240" w:lineRule="auto"/>
    </w:pPr>
  </w:style>
  <w:style w:type="paragraph" w:styleId="726">
    <w:name w:val="Title"/>
    <w:basedOn w:val="884"/>
    <w:next w:val="884"/>
    <w:link w:val="72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27">
    <w:name w:val="Title Char"/>
    <w:link w:val="726"/>
    <w:uiPriority w:val="10"/>
    <w:rPr>
      <w:sz w:val="48"/>
      <w:szCs w:val="48"/>
    </w:rPr>
  </w:style>
  <w:style w:type="paragraph" w:styleId="728">
    <w:name w:val="Subtitle"/>
    <w:basedOn w:val="884"/>
    <w:next w:val="884"/>
    <w:link w:val="729"/>
    <w:uiPriority w:val="11"/>
    <w:qFormat/>
    <w:pPr>
      <w:spacing w:before="200" w:after="200"/>
    </w:pPr>
    <w:rPr>
      <w:sz w:val="24"/>
      <w:szCs w:val="24"/>
    </w:rPr>
  </w:style>
  <w:style w:type="character" w:styleId="729">
    <w:name w:val="Subtitle Char"/>
    <w:link w:val="728"/>
    <w:uiPriority w:val="11"/>
    <w:rPr>
      <w:sz w:val="24"/>
      <w:szCs w:val="24"/>
    </w:rPr>
  </w:style>
  <w:style w:type="paragraph" w:styleId="730">
    <w:name w:val="Quote"/>
    <w:basedOn w:val="884"/>
    <w:next w:val="884"/>
    <w:link w:val="731"/>
    <w:uiPriority w:val="29"/>
    <w:qFormat/>
    <w:pPr>
      <w:ind w:left="720" w:right="720"/>
    </w:pPr>
    <w:rPr>
      <w:i/>
    </w:rPr>
  </w:style>
  <w:style w:type="character" w:styleId="731">
    <w:name w:val="Quote Char"/>
    <w:link w:val="730"/>
    <w:uiPriority w:val="29"/>
    <w:rPr>
      <w:i/>
    </w:rPr>
  </w:style>
  <w:style w:type="paragraph" w:styleId="732">
    <w:name w:val="Intense Quote"/>
    <w:basedOn w:val="884"/>
    <w:next w:val="884"/>
    <w:link w:val="73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3">
    <w:name w:val="Intense Quote Char"/>
    <w:link w:val="732"/>
    <w:uiPriority w:val="30"/>
    <w:rPr>
      <w:i/>
    </w:rPr>
  </w:style>
  <w:style w:type="paragraph" w:styleId="734">
    <w:name w:val="Header"/>
    <w:basedOn w:val="884"/>
    <w:link w:val="73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35">
    <w:name w:val="Header Char"/>
    <w:link w:val="734"/>
    <w:uiPriority w:val="99"/>
  </w:style>
  <w:style w:type="paragraph" w:styleId="736">
    <w:name w:val="Footer"/>
    <w:basedOn w:val="884"/>
    <w:link w:val="73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37">
    <w:name w:val="Footer Char"/>
    <w:link w:val="736"/>
    <w:uiPriority w:val="99"/>
  </w:style>
  <w:style w:type="paragraph" w:styleId="738">
    <w:name w:val="Caption"/>
    <w:basedOn w:val="884"/>
    <w:next w:val="884"/>
    <w:link w:val="73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39">
    <w:name w:val="Caption Char"/>
    <w:link w:val="738"/>
    <w:uiPriority w:val="35"/>
    <w:rPr>
      <w:b/>
      <w:bCs/>
      <w:color w:val="4f81bd" w:themeColor="accent1"/>
      <w:sz w:val="18"/>
      <w:szCs w:val="18"/>
    </w:rPr>
  </w:style>
  <w:style w:type="table" w:styleId="740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1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2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3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4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5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7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9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0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71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72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73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74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75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76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77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78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79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80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81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82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83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84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85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86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87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8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9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04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05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06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07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08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09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10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5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6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7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8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9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0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1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32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33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34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35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36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37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38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39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40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41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42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43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44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45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6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7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8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9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50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51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52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3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54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55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56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57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58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59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60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61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62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63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64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65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66">
    <w:name w:val="Hyperlink"/>
    <w:uiPriority w:val="99"/>
    <w:unhideWhenUsed/>
    <w:rPr>
      <w:color w:val="0000ff" w:themeColor="hyperlink"/>
      <w:u w:val="single"/>
    </w:rPr>
  </w:style>
  <w:style w:type="paragraph" w:styleId="867">
    <w:name w:val="footnote text"/>
    <w:basedOn w:val="884"/>
    <w:link w:val="868"/>
    <w:uiPriority w:val="99"/>
    <w:semiHidden/>
    <w:unhideWhenUsed/>
    <w:pPr>
      <w:spacing w:after="40" w:line="240" w:lineRule="auto"/>
    </w:pPr>
    <w:rPr>
      <w:sz w:val="18"/>
    </w:rPr>
  </w:style>
  <w:style w:type="character" w:styleId="868">
    <w:name w:val="Footnote Text Char"/>
    <w:link w:val="867"/>
    <w:uiPriority w:val="99"/>
    <w:rPr>
      <w:sz w:val="18"/>
    </w:rPr>
  </w:style>
  <w:style w:type="character" w:styleId="869">
    <w:name w:val="footnote reference"/>
    <w:uiPriority w:val="99"/>
    <w:unhideWhenUsed/>
    <w:rPr>
      <w:vertAlign w:val="superscript"/>
    </w:rPr>
  </w:style>
  <w:style w:type="paragraph" w:styleId="870">
    <w:name w:val="endnote text"/>
    <w:basedOn w:val="884"/>
    <w:link w:val="871"/>
    <w:uiPriority w:val="99"/>
    <w:semiHidden/>
    <w:unhideWhenUsed/>
    <w:pPr>
      <w:spacing w:after="0" w:line="240" w:lineRule="auto"/>
    </w:pPr>
    <w:rPr>
      <w:sz w:val="20"/>
    </w:rPr>
  </w:style>
  <w:style w:type="character" w:styleId="871">
    <w:name w:val="Endnote Text Char"/>
    <w:link w:val="870"/>
    <w:uiPriority w:val="99"/>
    <w:rPr>
      <w:sz w:val="20"/>
    </w:rPr>
  </w:style>
  <w:style w:type="character" w:styleId="872">
    <w:name w:val="endnote reference"/>
    <w:uiPriority w:val="99"/>
    <w:semiHidden/>
    <w:unhideWhenUsed/>
    <w:rPr>
      <w:vertAlign w:val="superscript"/>
    </w:rPr>
  </w:style>
  <w:style w:type="paragraph" w:styleId="873">
    <w:name w:val="toc 1"/>
    <w:basedOn w:val="884"/>
    <w:next w:val="884"/>
    <w:uiPriority w:val="39"/>
    <w:unhideWhenUsed/>
    <w:pPr>
      <w:ind w:left="0" w:right="0" w:firstLine="0"/>
      <w:spacing w:after="57"/>
    </w:pPr>
  </w:style>
  <w:style w:type="paragraph" w:styleId="874">
    <w:name w:val="toc 2"/>
    <w:basedOn w:val="884"/>
    <w:next w:val="884"/>
    <w:uiPriority w:val="39"/>
    <w:unhideWhenUsed/>
    <w:pPr>
      <w:ind w:left="283" w:right="0" w:firstLine="0"/>
      <w:spacing w:after="57"/>
    </w:pPr>
  </w:style>
  <w:style w:type="paragraph" w:styleId="875">
    <w:name w:val="toc 3"/>
    <w:basedOn w:val="884"/>
    <w:next w:val="884"/>
    <w:uiPriority w:val="39"/>
    <w:unhideWhenUsed/>
    <w:pPr>
      <w:ind w:left="567" w:right="0" w:firstLine="0"/>
      <w:spacing w:after="57"/>
    </w:pPr>
  </w:style>
  <w:style w:type="paragraph" w:styleId="876">
    <w:name w:val="toc 4"/>
    <w:basedOn w:val="884"/>
    <w:next w:val="884"/>
    <w:uiPriority w:val="39"/>
    <w:unhideWhenUsed/>
    <w:pPr>
      <w:ind w:left="850" w:right="0" w:firstLine="0"/>
      <w:spacing w:after="57"/>
    </w:pPr>
  </w:style>
  <w:style w:type="paragraph" w:styleId="877">
    <w:name w:val="toc 5"/>
    <w:basedOn w:val="884"/>
    <w:next w:val="884"/>
    <w:uiPriority w:val="39"/>
    <w:unhideWhenUsed/>
    <w:pPr>
      <w:ind w:left="1134" w:right="0" w:firstLine="0"/>
      <w:spacing w:after="57"/>
    </w:pPr>
  </w:style>
  <w:style w:type="paragraph" w:styleId="878">
    <w:name w:val="toc 6"/>
    <w:basedOn w:val="884"/>
    <w:next w:val="884"/>
    <w:uiPriority w:val="39"/>
    <w:unhideWhenUsed/>
    <w:pPr>
      <w:ind w:left="1417" w:right="0" w:firstLine="0"/>
      <w:spacing w:after="57"/>
    </w:pPr>
  </w:style>
  <w:style w:type="paragraph" w:styleId="879">
    <w:name w:val="toc 7"/>
    <w:basedOn w:val="884"/>
    <w:next w:val="884"/>
    <w:uiPriority w:val="39"/>
    <w:unhideWhenUsed/>
    <w:pPr>
      <w:ind w:left="1701" w:right="0" w:firstLine="0"/>
      <w:spacing w:after="57"/>
    </w:pPr>
  </w:style>
  <w:style w:type="paragraph" w:styleId="880">
    <w:name w:val="toc 8"/>
    <w:basedOn w:val="884"/>
    <w:next w:val="884"/>
    <w:uiPriority w:val="39"/>
    <w:unhideWhenUsed/>
    <w:pPr>
      <w:ind w:left="1984" w:right="0" w:firstLine="0"/>
      <w:spacing w:after="57"/>
    </w:pPr>
  </w:style>
  <w:style w:type="paragraph" w:styleId="881">
    <w:name w:val="toc 9"/>
    <w:basedOn w:val="884"/>
    <w:next w:val="884"/>
    <w:uiPriority w:val="39"/>
    <w:unhideWhenUsed/>
    <w:pPr>
      <w:ind w:left="2268" w:right="0" w:firstLine="0"/>
      <w:spacing w:after="57"/>
    </w:pPr>
  </w:style>
  <w:style w:type="paragraph" w:styleId="882">
    <w:name w:val="TOC Heading"/>
    <w:uiPriority w:val="39"/>
    <w:unhideWhenUsed/>
  </w:style>
  <w:style w:type="paragraph" w:styleId="883">
    <w:name w:val="table of figures"/>
    <w:basedOn w:val="884"/>
    <w:next w:val="884"/>
    <w:uiPriority w:val="99"/>
    <w:unhideWhenUsed/>
    <w:pPr>
      <w:spacing w:after="0" w:afterAutospacing="0"/>
    </w:pPr>
  </w:style>
  <w:style w:type="paragraph" w:styleId="884" w:default="1">
    <w:name w:val="Normal"/>
    <w:next w:val="884"/>
    <w:link w:val="884"/>
    <w:qFormat/>
    <w:rPr>
      <w:sz w:val="24"/>
      <w:szCs w:val="24"/>
      <w:lang w:val="ru-RU" w:eastAsia="ru-RU" w:bidi="ar-SA"/>
    </w:rPr>
  </w:style>
  <w:style w:type="paragraph" w:styleId="885">
    <w:name w:val="Заголовок 1"/>
    <w:basedOn w:val="884"/>
    <w:next w:val="884"/>
    <w:link w:val="884"/>
    <w:qFormat/>
    <w:pPr>
      <w:ind w:left="720"/>
      <w:jc w:val="both"/>
      <w:keepNext/>
      <w:outlineLvl w:val="0"/>
    </w:pPr>
    <w:rPr>
      <w:sz w:val="28"/>
    </w:rPr>
  </w:style>
  <w:style w:type="character" w:styleId="886">
    <w:name w:val="Основной шрифт абзаца"/>
    <w:next w:val="886"/>
    <w:link w:val="884"/>
    <w:semiHidden/>
  </w:style>
  <w:style w:type="table" w:styleId="887">
    <w:name w:val="Обычная таблица"/>
    <w:next w:val="887"/>
    <w:link w:val="884"/>
    <w:uiPriority w:val="99"/>
    <w:semiHidden/>
    <w:unhideWhenUsed/>
    <w:tblPr/>
  </w:style>
  <w:style w:type="numbering" w:styleId="888">
    <w:name w:val="Нет списка"/>
    <w:next w:val="888"/>
    <w:link w:val="884"/>
    <w:uiPriority w:val="99"/>
    <w:semiHidden/>
    <w:unhideWhenUsed/>
  </w:style>
  <w:style w:type="paragraph" w:styleId="889">
    <w:name w:val="Название"/>
    <w:basedOn w:val="884"/>
    <w:next w:val="889"/>
    <w:link w:val="884"/>
    <w:qFormat/>
    <w:pPr>
      <w:jc w:val="center"/>
    </w:pPr>
    <w:rPr>
      <w:b/>
      <w:bCs/>
    </w:rPr>
  </w:style>
  <w:style w:type="paragraph" w:styleId="890">
    <w:name w:val="Основной текст с отступом"/>
    <w:basedOn w:val="884"/>
    <w:next w:val="890"/>
    <w:link w:val="884"/>
    <w:semiHidden/>
    <w:pPr>
      <w:ind w:hanging="570"/>
      <w:jc w:val="both"/>
    </w:pPr>
    <w:rPr>
      <w:sz w:val="28"/>
    </w:rPr>
  </w:style>
  <w:style w:type="paragraph" w:styleId="891">
    <w:name w:val="Основной текст с отступом 2"/>
    <w:basedOn w:val="884"/>
    <w:next w:val="891"/>
    <w:link w:val="884"/>
    <w:semiHidden/>
    <w:pPr>
      <w:ind w:firstLine="570"/>
      <w:jc w:val="both"/>
    </w:pPr>
    <w:rPr>
      <w:sz w:val="28"/>
    </w:rPr>
  </w:style>
  <w:style w:type="paragraph" w:styleId="892">
    <w:name w:val="Основной текст"/>
    <w:basedOn w:val="884"/>
    <w:next w:val="892"/>
    <w:link w:val="884"/>
    <w:semiHidden/>
    <w:pPr>
      <w:jc w:val="both"/>
    </w:pPr>
    <w:rPr>
      <w:sz w:val="28"/>
    </w:rPr>
  </w:style>
  <w:style w:type="paragraph" w:styleId="893">
    <w:name w:val="ConsNonformat"/>
    <w:next w:val="893"/>
    <w:link w:val="884"/>
    <w:pPr>
      <w:widowControl w:val="off"/>
    </w:pPr>
    <w:rPr>
      <w:rFonts w:ascii="Courier New" w:hAnsi="Courier New" w:cs="Courier New"/>
      <w:lang w:val="ru-RU" w:eastAsia="ru-RU" w:bidi="ar-SA"/>
    </w:rPr>
  </w:style>
  <w:style w:type="paragraph" w:styleId="894">
    <w:name w:val="ConsNormal"/>
    <w:next w:val="894"/>
    <w:link w:val="884"/>
    <w:pPr>
      <w:ind w:firstLine="720"/>
      <w:widowControl w:val="off"/>
    </w:pPr>
    <w:rPr>
      <w:rFonts w:ascii="Arial" w:hAnsi="Arial" w:cs="Arial"/>
      <w:lang w:val="ru-RU" w:eastAsia="ru-RU" w:bidi="ar-SA"/>
    </w:rPr>
  </w:style>
  <w:style w:type="paragraph" w:styleId="895">
    <w:name w:val="Основной текст с отступом 3"/>
    <w:basedOn w:val="884"/>
    <w:next w:val="895"/>
    <w:link w:val="906"/>
    <w:pPr>
      <w:ind w:firstLine="540"/>
      <w:jc w:val="both"/>
    </w:pPr>
    <w:rPr>
      <w:sz w:val="28"/>
      <w:lang w:val="en-US" w:eastAsia="en-US"/>
    </w:rPr>
  </w:style>
  <w:style w:type="paragraph" w:styleId="896">
    <w:name w:val="Верхний колонтитул"/>
    <w:basedOn w:val="884"/>
    <w:next w:val="896"/>
    <w:link w:val="908"/>
    <w:uiPriority w:val="99"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character" w:styleId="897">
    <w:name w:val="Номер страницы"/>
    <w:basedOn w:val="886"/>
    <w:next w:val="897"/>
    <w:link w:val="884"/>
    <w:semiHidden/>
  </w:style>
  <w:style w:type="paragraph" w:styleId="898">
    <w:name w:val="Основной текст 2"/>
    <w:basedOn w:val="884"/>
    <w:next w:val="898"/>
    <w:link w:val="884"/>
    <w:semiHidden/>
    <w:pPr>
      <w:jc w:val="center"/>
    </w:pPr>
    <w:rPr>
      <w:sz w:val="28"/>
    </w:rPr>
  </w:style>
  <w:style w:type="paragraph" w:styleId="899">
    <w:name w:val="ConsPlusTitle"/>
    <w:next w:val="899"/>
    <w:link w:val="884"/>
    <w:pPr>
      <w:widowControl w:val="off"/>
    </w:pPr>
    <w:rPr>
      <w:rFonts w:ascii="Arial" w:hAnsi="Arial" w:cs="Arial"/>
      <w:b/>
      <w:bCs/>
      <w:lang w:val="ru-RU" w:eastAsia="ru-RU" w:bidi="ar-SA"/>
    </w:rPr>
  </w:style>
  <w:style w:type="paragraph" w:styleId="900">
    <w:name w:val="ConsTitle"/>
    <w:next w:val="900"/>
    <w:link w:val="884"/>
    <w:pPr>
      <w:ind w:right="19772"/>
    </w:pPr>
    <w:rPr>
      <w:rFonts w:ascii="Arial" w:hAnsi="Arial" w:cs="Arial"/>
      <w:b/>
      <w:bCs/>
      <w:lang w:val="ru-RU" w:eastAsia="ru-RU" w:bidi="ar-SA"/>
    </w:rPr>
  </w:style>
  <w:style w:type="paragraph" w:styleId="901">
    <w:name w:val="Текст выноски"/>
    <w:basedOn w:val="884"/>
    <w:next w:val="901"/>
    <w:link w:val="884"/>
    <w:semiHidden/>
    <w:rPr>
      <w:rFonts w:ascii="Tahoma" w:hAnsi="Tahoma" w:cs="Tahoma"/>
      <w:sz w:val="16"/>
      <w:szCs w:val="16"/>
    </w:rPr>
  </w:style>
  <w:style w:type="paragraph" w:styleId="902">
    <w:name w:val="Нижний колонтитул"/>
    <w:basedOn w:val="884"/>
    <w:next w:val="902"/>
    <w:link w:val="903"/>
    <w:uiPriority w:val="99"/>
    <w:semiHidden/>
    <w:unhideWhenUsed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character" w:styleId="903">
    <w:name w:val="Нижний колонтитул Знак"/>
    <w:next w:val="903"/>
    <w:link w:val="902"/>
    <w:uiPriority w:val="99"/>
    <w:semiHidden/>
    <w:rPr>
      <w:sz w:val="24"/>
      <w:szCs w:val="24"/>
    </w:rPr>
  </w:style>
  <w:style w:type="character" w:styleId="904">
    <w:name w:val="Гиперссылка"/>
    <w:next w:val="904"/>
    <w:link w:val="884"/>
    <w:uiPriority w:val="99"/>
    <w:unhideWhenUsed/>
    <w:rPr>
      <w:color w:val="0000ff"/>
      <w:u w:val="single"/>
    </w:rPr>
  </w:style>
  <w:style w:type="character" w:styleId="905">
    <w:name w:val="Просмотренная гиперссылка"/>
    <w:next w:val="905"/>
    <w:link w:val="884"/>
    <w:uiPriority w:val="99"/>
    <w:semiHidden/>
    <w:unhideWhenUsed/>
    <w:rPr>
      <w:color w:val="800080"/>
      <w:u w:val="single"/>
    </w:rPr>
  </w:style>
  <w:style w:type="character" w:styleId="906">
    <w:name w:val="Основной текст с отступом 3 Знак"/>
    <w:next w:val="906"/>
    <w:link w:val="895"/>
    <w:rPr>
      <w:sz w:val="28"/>
      <w:szCs w:val="24"/>
    </w:rPr>
  </w:style>
  <w:style w:type="paragraph" w:styleId="907">
    <w:name w:val="ConsPlusNormal"/>
    <w:next w:val="907"/>
    <w:link w:val="884"/>
    <w:pPr>
      <w:ind w:firstLine="720"/>
    </w:pPr>
    <w:rPr>
      <w:rFonts w:ascii="Arial" w:hAnsi="Arial" w:eastAsia="Calibri" w:cs="Arial"/>
      <w:sz w:val="24"/>
      <w:szCs w:val="24"/>
      <w:lang w:val="ru-RU" w:eastAsia="ru-RU" w:bidi="ar-SA"/>
    </w:rPr>
  </w:style>
  <w:style w:type="character" w:styleId="908">
    <w:name w:val="Верхний колонтитул Знак"/>
    <w:next w:val="908"/>
    <w:link w:val="896"/>
    <w:uiPriority w:val="99"/>
    <w:rPr>
      <w:sz w:val="24"/>
      <w:szCs w:val="24"/>
    </w:rPr>
  </w:style>
  <w:style w:type="character" w:styleId="909" w:default="1">
    <w:name w:val="Default Paragraph Font"/>
    <w:uiPriority w:val="1"/>
    <w:semiHidden/>
    <w:unhideWhenUsed/>
  </w:style>
  <w:style w:type="numbering" w:styleId="910" w:default="1">
    <w:name w:val="No List"/>
    <w:uiPriority w:val="99"/>
    <w:semiHidden/>
    <w:unhideWhenUsed/>
  </w:style>
  <w:style w:type="table" w:styleId="911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yperlink" Target="consultantplus://offline/ref=A4C4F91C828477192A20E1DC23B4B9AB0615757151F9727172C7396081929A76n734F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gufo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user</dc:creator>
  <cp:lastModifiedBy>u31</cp:lastModifiedBy>
  <cp:revision>6</cp:revision>
  <dcterms:created xsi:type="dcterms:W3CDTF">2025-04-16T11:27:00Z</dcterms:created>
  <dcterms:modified xsi:type="dcterms:W3CDTF">2026-04-22T08:45:44Z</dcterms:modified>
  <cp:version>983040</cp:version>
</cp:coreProperties>
</file>