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theme/themeOverride9.xml" ContentType="application/vnd.openxmlformats-officedocument.themeOverride+xml"/>
  <Override PartName="/word/charts/chart1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0.xml" ContentType="application/vnd.openxmlformats-officedocument.themeOverride+xml"/>
  <Override PartName="/word/charts/chart1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1.xml" ContentType="application/vnd.openxmlformats-officedocument.themeOverride+xml"/>
  <Override PartName="/word/charts/chart1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2.xml" ContentType="application/vnd.openxmlformats-officedocument.themeOverride+xml"/>
  <Override PartName="/word/charts/chart1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3.xml" ContentType="application/vnd.openxmlformats-officedocument.themeOverride+xml"/>
  <Override PartName="/word/charts/chart19.xml" ContentType="application/vnd.openxmlformats-officedocument.drawingml.chart+xml"/>
  <Override PartName="/word/theme/themeOverride14.xml" ContentType="application/vnd.openxmlformats-officedocument.themeOverride+xml"/>
  <Override PartName="/word/charts/chart20.xml" ContentType="application/vnd.openxmlformats-officedocument.drawingml.chart+xml"/>
  <Override PartName="/word/theme/themeOverride15.xml" ContentType="application/vnd.openxmlformats-officedocument.themeOverride+xml"/>
  <Override PartName="/word/charts/chart21.xml" ContentType="application/vnd.openxmlformats-officedocument.drawingml.chart+xml"/>
  <Override PartName="/word/theme/themeOverride16.xml" ContentType="application/vnd.openxmlformats-officedocument.themeOverride+xml"/>
  <Override PartName="/word/charts/chart22.xml" ContentType="application/vnd.openxmlformats-officedocument.drawingml.chart+xml"/>
  <Override PartName="/word/theme/themeOverride17.xml" ContentType="application/vnd.openxmlformats-officedocument.themeOverride+xml"/>
  <Override PartName="/word/charts/chart2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8.xml" ContentType="application/vnd.openxmlformats-officedocument.themeOverride+xml"/>
  <Override PartName="/word/charts/chart2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9.xml" ContentType="application/vnd.openxmlformats-officedocument.themeOverride+xml"/>
  <Override PartName="/word/charts/chart25.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0.xml" ContentType="application/vnd.openxmlformats-officedocument.themeOverride+xml"/>
  <Override PartName="/word/charts/chart26.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1.xml" ContentType="application/vnd.openxmlformats-officedocument.themeOverride+xml"/>
  <Override PartName="/word/charts/chart27.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9714E1" w14:textId="77777777" w:rsidR="00C04416" w:rsidRPr="00996B2B" w:rsidRDefault="007C0C63" w:rsidP="0076482B">
      <w:pPr>
        <w:widowControl w:val="0"/>
        <w:ind w:left="-709" w:firstLine="0"/>
        <w:jc w:val="center"/>
      </w:pPr>
      <w:r>
        <w:t xml:space="preserve"> </w:t>
      </w:r>
      <w:r w:rsidR="00C04416" w:rsidRPr="00996B2B">
        <w:rPr>
          <w:noProof/>
          <w:lang w:eastAsia="ru-RU"/>
        </w:rPr>
        <w:drawing>
          <wp:inline distT="0" distB="0" distL="0" distR="0" wp14:anchorId="0930FF44" wp14:editId="6E4EC441">
            <wp:extent cx="3819525" cy="36209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Ульяновской_области_(2013).sv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19525" cy="3620979"/>
                    </a:xfrm>
                    <a:prstGeom prst="rect">
                      <a:avLst/>
                    </a:prstGeom>
                  </pic:spPr>
                </pic:pic>
              </a:graphicData>
            </a:graphic>
          </wp:inline>
        </w:drawing>
      </w:r>
    </w:p>
    <w:p w14:paraId="0AE3FC78" w14:textId="77777777" w:rsidR="00BF7A5F" w:rsidRDefault="00BF7A5F" w:rsidP="0076482B">
      <w:pPr>
        <w:widowControl w:val="0"/>
        <w:ind w:left="-567" w:right="283" w:firstLine="0"/>
        <w:jc w:val="center"/>
      </w:pPr>
    </w:p>
    <w:p w14:paraId="675943AF" w14:textId="02485D3D" w:rsidR="00BF7A5F" w:rsidRDefault="002D250D" w:rsidP="0076482B">
      <w:pPr>
        <w:widowControl w:val="0"/>
        <w:spacing w:before="600"/>
        <w:ind w:left="-567" w:right="283" w:firstLine="0"/>
        <w:jc w:val="center"/>
        <w:rPr>
          <w:rFonts w:ascii="Impact" w:hAnsi="Impact"/>
          <w:b/>
          <w:bCs/>
          <w:color w:val="54849A"/>
          <w:sz w:val="160"/>
          <w:szCs w:val="96"/>
          <w14:textOutline w14:w="9525" w14:cap="flat" w14:cmpd="sng" w14:algn="ctr">
            <w14:solidFill>
              <w14:schemeClr w14:val="bg1"/>
            </w14:solidFill>
            <w14:prstDash w14:val="solid"/>
            <w14:round/>
          </w14:textOutline>
        </w:rPr>
      </w:pPr>
      <w:r>
        <w:rPr>
          <w:rFonts w:ascii="Impact" w:hAnsi="Impact"/>
          <w:b/>
          <w:bCs/>
          <w:color w:val="54849A" w:themeColor="accent5"/>
          <w:sz w:val="126"/>
          <w:szCs w:val="96"/>
          <w14:textOutline w14:w="9525" w14:cap="flat" w14:cmpd="sng" w14:algn="ctr">
            <w14:solidFill>
              <w14:schemeClr w14:val="bg1"/>
            </w14:solidFill>
            <w14:prstDash w14:val="solid"/>
            <w14:round/>
          </w14:textOutline>
        </w:rPr>
        <w:t>ОТЧЁТ</w:t>
      </w:r>
    </w:p>
    <w:p w14:paraId="66868456" w14:textId="77777777" w:rsidR="00BF7A5F" w:rsidRDefault="00BF7A5F" w:rsidP="0076482B">
      <w:pPr>
        <w:widowControl w:val="0"/>
        <w:ind w:left="-567" w:right="283" w:firstLine="0"/>
        <w:jc w:val="center"/>
        <w:rPr>
          <w:rFonts w:ascii="Impact" w:hAnsi="Impact"/>
          <w:b/>
          <w:color w:val="54849A" w:themeColor="accent5"/>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ГУБЕРНАТОРА УЛЬЯНОВСКОЙ ОБЛАСТИ</w:t>
      </w:r>
    </w:p>
    <w:p w14:paraId="518FC96F" w14:textId="77777777" w:rsidR="00BF7A5F" w:rsidRDefault="00BF7A5F" w:rsidP="0076482B">
      <w:pPr>
        <w:widowControl w:val="0"/>
        <w:ind w:left="-567" w:right="283" w:firstLine="0"/>
        <w:jc w:val="center"/>
        <w:rPr>
          <w:rFonts w:ascii="Impact" w:hAnsi="Impact"/>
          <w:b/>
          <w:bCs/>
          <w:color w:val="54849A"/>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О РЕЗУЛЬТАТАХ ДЕЯТЕЛЬНОСТИ</w:t>
      </w:r>
    </w:p>
    <w:p w14:paraId="142F7A46" w14:textId="77777777" w:rsidR="00BF7A5F" w:rsidRDefault="00BF7A5F" w:rsidP="0076482B">
      <w:pPr>
        <w:widowControl w:val="0"/>
        <w:ind w:left="-567" w:right="283" w:firstLine="0"/>
        <w:jc w:val="center"/>
        <w:rPr>
          <w:szCs w:val="48"/>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ПРАВИТЕЛЬСТВА УЛЬЯНОВСКОЙ</w:t>
      </w:r>
      <w:r>
        <w:rPr>
          <w:rFonts w:ascii="Impact" w:hAnsi="Impact"/>
          <w:b/>
          <w:bCs/>
          <w:color w:val="54849A"/>
          <w:sz w:val="56"/>
          <w:szCs w:val="48"/>
          <w14:textOutline w14:w="9525" w14:cap="flat" w14:cmpd="sng" w14:algn="ctr">
            <w14:solidFill>
              <w14:schemeClr w14:val="bg1"/>
            </w14:solidFill>
            <w14:prstDash w14:val="solid"/>
            <w14:round/>
          </w14:textOutline>
        </w:rPr>
        <w:t xml:space="preserve"> </w:t>
      </w:r>
      <w:r>
        <w:rPr>
          <w:rFonts w:ascii="Impact" w:hAnsi="Impact"/>
          <w:b/>
          <w:bCs/>
          <w:color w:val="54849A" w:themeColor="accent5"/>
          <w:sz w:val="56"/>
          <w:szCs w:val="48"/>
          <w14:textOutline w14:w="9525" w14:cap="flat" w14:cmpd="sng" w14:algn="ctr">
            <w14:solidFill>
              <w14:schemeClr w14:val="bg1"/>
            </w14:solidFill>
            <w14:prstDash w14:val="solid"/>
            <w14:round/>
          </w14:textOutline>
        </w:rPr>
        <w:t>ОБЛАСТИ</w:t>
      </w:r>
      <w:r>
        <w:t xml:space="preserve"> </w:t>
      </w:r>
    </w:p>
    <w:p w14:paraId="7C7285D3" w14:textId="4127C20F" w:rsidR="00BF7A5F" w:rsidRDefault="00BF7A5F" w:rsidP="0076482B">
      <w:pPr>
        <w:widowControl w:val="0"/>
        <w:ind w:left="-567" w:right="283" w:firstLine="0"/>
        <w:jc w:val="center"/>
        <w:rPr>
          <w:rFonts w:ascii="Impact" w:hAnsi="Impact"/>
          <w:b/>
          <w:color w:val="54849A" w:themeColor="accent5"/>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ЗА 202</w:t>
      </w:r>
      <w:r w:rsidR="0044048F">
        <w:rPr>
          <w:rFonts w:ascii="Impact" w:hAnsi="Impact"/>
          <w:b/>
          <w:bCs/>
          <w:color w:val="54849A" w:themeColor="accent5"/>
          <w:sz w:val="56"/>
          <w:szCs w:val="48"/>
          <w14:textOutline w14:w="9525" w14:cap="flat" w14:cmpd="sng" w14:algn="ctr">
            <w14:solidFill>
              <w14:schemeClr w14:val="bg1"/>
            </w14:solidFill>
            <w14:prstDash w14:val="solid"/>
            <w14:round/>
          </w14:textOutline>
        </w:rPr>
        <w:t>5</w:t>
      </w:r>
      <w:r>
        <w:rPr>
          <w:rFonts w:ascii="Impact" w:hAnsi="Impact"/>
          <w:b/>
          <w:bCs/>
          <w:color w:val="54849A" w:themeColor="accent5"/>
          <w:sz w:val="56"/>
          <w:szCs w:val="48"/>
          <w14:textOutline w14:w="9525" w14:cap="flat" w14:cmpd="sng" w14:algn="ctr">
            <w14:solidFill>
              <w14:schemeClr w14:val="bg1"/>
            </w14:solidFill>
            <w14:prstDash w14:val="solid"/>
            <w14:round/>
          </w14:textOutline>
        </w:rPr>
        <w:t xml:space="preserve"> ГОД</w:t>
      </w:r>
    </w:p>
    <w:p w14:paraId="5084EAE9" w14:textId="77777777" w:rsidR="00BF7A5F" w:rsidRDefault="00BF7A5F" w:rsidP="0076482B">
      <w:pPr>
        <w:widowControl w:val="0"/>
        <w:ind w:left="-567" w:right="283" w:firstLine="0"/>
        <w:jc w:val="center"/>
        <w:rPr>
          <w:rFonts w:ascii="Impact" w:hAnsi="Impact"/>
          <w:b/>
          <w:color w:val="54849A"/>
          <w:sz w:val="56"/>
          <w:szCs w:val="48"/>
          <w14:textOutline w14:w="9525" w14:cap="flat" w14:cmpd="sng" w14:algn="ctr">
            <w14:solidFill>
              <w14:schemeClr w14:val="bg1"/>
            </w14:solidFill>
            <w14:prstDash w14:val="solid"/>
            <w14:round/>
          </w14:textOutline>
        </w:rPr>
      </w:pPr>
    </w:p>
    <w:p w14:paraId="1634BED8" w14:textId="77777777" w:rsidR="00BF7A5F" w:rsidRDefault="00BF7A5F" w:rsidP="0076482B">
      <w:pPr>
        <w:widowControl w:val="0"/>
        <w:ind w:left="-567" w:right="283" w:firstLine="0"/>
        <w:jc w:val="center"/>
        <w:rPr>
          <w:rFonts w:ascii="Impact" w:hAnsi="Impact"/>
          <w:b/>
          <w:color w:val="54849A"/>
          <w:sz w:val="56"/>
          <w:szCs w:val="48"/>
          <w14:textOutline w14:w="9525" w14:cap="flat" w14:cmpd="sng" w14:algn="ctr">
            <w14:solidFill>
              <w14:schemeClr w14:val="bg1"/>
            </w14:solidFill>
            <w14:prstDash w14:val="solid"/>
            <w14:round/>
          </w14:textOutline>
        </w:rPr>
      </w:pPr>
    </w:p>
    <w:p w14:paraId="008A21EA" w14:textId="77777777" w:rsidR="00BF7A5F" w:rsidRDefault="00BF7A5F" w:rsidP="0076482B">
      <w:pPr>
        <w:widowControl w:val="0"/>
        <w:ind w:left="-567" w:right="283" w:firstLine="0"/>
        <w:jc w:val="center"/>
        <w:rPr>
          <w:rFonts w:ascii="Impact" w:hAnsi="Impact"/>
          <w:b/>
          <w:color w:val="54849A"/>
          <w:sz w:val="56"/>
          <w:szCs w:val="48"/>
          <w14:textOutline w14:w="9525" w14:cap="flat" w14:cmpd="sng" w14:algn="ctr">
            <w14:solidFill>
              <w14:schemeClr w14:val="bg1"/>
            </w14:solidFill>
            <w14:prstDash w14:val="solid"/>
            <w14:round/>
          </w14:textOutline>
        </w:rPr>
      </w:pPr>
    </w:p>
    <w:p w14:paraId="4E43BF63" w14:textId="77777777" w:rsidR="00BF7A5F" w:rsidRDefault="00BF7A5F" w:rsidP="0076482B">
      <w:pPr>
        <w:widowControl w:val="0"/>
        <w:tabs>
          <w:tab w:val="left" w:pos="4535"/>
        </w:tabs>
        <w:ind w:left="-567" w:right="283" w:firstLine="0"/>
        <w:jc w:val="center"/>
        <w:rPr>
          <w:rFonts w:ascii="Impact" w:hAnsi="Impact"/>
          <w:b/>
          <w:bCs/>
          <w:color w:val="54849A"/>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 xml:space="preserve">ТОМ </w:t>
      </w:r>
      <w:r>
        <w:rPr>
          <w:rFonts w:ascii="Impact" w:hAnsi="Impact"/>
          <w:b/>
          <w:bCs/>
          <w:color w:val="54849A" w:themeColor="accent5"/>
          <w:sz w:val="56"/>
          <w:szCs w:val="48"/>
          <w:lang w:val="en-US"/>
          <w14:textOutline w14:w="9525" w14:cap="flat" w14:cmpd="sng" w14:algn="ctr">
            <w14:solidFill>
              <w14:schemeClr w14:val="bg1"/>
            </w14:solidFill>
            <w14:prstDash w14:val="solid"/>
            <w14:round/>
          </w14:textOutline>
        </w:rPr>
        <w:t>I</w:t>
      </w:r>
    </w:p>
    <w:p w14:paraId="1AF8551F" w14:textId="77777777" w:rsidR="00C04416" w:rsidRPr="00996B2B" w:rsidRDefault="00C04416" w:rsidP="0076482B">
      <w:pPr>
        <w:widowControl w:val="0"/>
        <w:spacing w:after="160"/>
        <w:ind w:firstLine="0"/>
        <w:jc w:val="left"/>
        <w:rPr>
          <w:rFonts w:ascii="PT Astra Serif" w:hAnsi="PT Astra Serif"/>
          <w:b/>
          <w:sz w:val="32"/>
        </w:rPr>
      </w:pPr>
      <w:r w:rsidRPr="00996B2B">
        <w:rPr>
          <w:rFonts w:ascii="PT Astra Serif" w:hAnsi="PT Astra Serif"/>
          <w:b/>
          <w:sz w:val="32"/>
        </w:rPr>
        <w:br w:type="page"/>
      </w:r>
    </w:p>
    <w:p w14:paraId="43E6528A" w14:textId="77777777" w:rsidR="00843571" w:rsidRPr="007020C3" w:rsidRDefault="00843571" w:rsidP="0076482B">
      <w:pPr>
        <w:widowControl w:val="0"/>
        <w:ind w:firstLine="0"/>
        <w:jc w:val="center"/>
        <w:rPr>
          <w:rFonts w:ascii="PT Astra Serif" w:hAnsi="PT Astra Serif"/>
          <w:b/>
          <w:color w:val="000000" w:themeColor="text1"/>
          <w:sz w:val="32"/>
        </w:rPr>
      </w:pPr>
      <w:r w:rsidRPr="007020C3">
        <w:rPr>
          <w:rFonts w:ascii="PT Astra Serif" w:hAnsi="PT Astra Serif"/>
          <w:b/>
          <w:color w:val="000000" w:themeColor="text1"/>
          <w:sz w:val="32"/>
        </w:rPr>
        <w:lastRenderedPageBreak/>
        <w:t>Содержание</w:t>
      </w:r>
    </w:p>
    <w:p w14:paraId="75F94E86" w14:textId="77777777" w:rsidR="002F263F" w:rsidRPr="0084473C" w:rsidRDefault="002F263F" w:rsidP="0076482B">
      <w:pPr>
        <w:widowControl w:val="0"/>
        <w:ind w:firstLine="0"/>
        <w:jc w:val="center"/>
        <w:rPr>
          <w:rFonts w:ascii="PT Astra Serif" w:hAnsi="PT Astra Serif"/>
          <w:b/>
          <w:color w:val="000000" w:themeColor="text1"/>
          <w:sz w:val="32"/>
          <w:highlight w:val="red"/>
        </w:rPr>
      </w:pPr>
    </w:p>
    <w:sdt>
      <w:sdtPr>
        <w:rPr>
          <w:i/>
          <w:color w:val="000000" w:themeColor="text1"/>
          <w:highlight w:val="red"/>
        </w:rPr>
        <w:id w:val="1984653651"/>
        <w:docPartObj>
          <w:docPartGallery w:val="Table of Contents"/>
          <w:docPartUnique/>
        </w:docPartObj>
      </w:sdtPr>
      <w:sdtEndPr>
        <w:rPr>
          <w:i w:val="0"/>
          <w:color w:val="auto"/>
        </w:rPr>
      </w:sdtEndPr>
      <w:sdtContent>
        <w:p w14:paraId="57450713" w14:textId="535E36FE" w:rsidR="004111DA" w:rsidRPr="00F660A1" w:rsidRDefault="00843571" w:rsidP="00F660A1">
          <w:pPr>
            <w:pStyle w:val="11"/>
            <w:rPr>
              <w:rFonts w:asciiTheme="minorHAnsi" w:eastAsiaTheme="minorEastAsia" w:hAnsiTheme="minorHAnsi"/>
              <w:noProof/>
              <w:sz w:val="22"/>
              <w:lang w:eastAsia="ru-RU"/>
            </w:rPr>
          </w:pPr>
          <w:r w:rsidRPr="0084473C">
            <w:rPr>
              <w:rFonts w:ascii="PT Astra Serif" w:hAnsi="PT Astra Serif"/>
              <w:i/>
              <w:color w:val="000000" w:themeColor="text1"/>
              <w:highlight w:val="red"/>
            </w:rPr>
            <w:fldChar w:fldCharType="begin"/>
          </w:r>
          <w:r w:rsidRPr="0084473C">
            <w:rPr>
              <w:rFonts w:ascii="PT Astra Serif" w:hAnsi="PT Astra Serif"/>
              <w:color w:val="000000" w:themeColor="text1"/>
              <w:highlight w:val="red"/>
            </w:rPr>
            <w:instrText xml:space="preserve"> TOC \o "1-3" \h \z \u </w:instrText>
          </w:r>
          <w:r w:rsidRPr="0084473C">
            <w:rPr>
              <w:rFonts w:ascii="PT Astra Serif" w:hAnsi="PT Astra Serif"/>
              <w:i/>
              <w:color w:val="000000" w:themeColor="text1"/>
              <w:highlight w:val="red"/>
            </w:rPr>
            <w:fldChar w:fldCharType="separate"/>
          </w:r>
          <w:hyperlink w:anchor="_Toc226016696" w:history="1">
            <w:r w:rsidR="004111DA" w:rsidRPr="00F660A1">
              <w:rPr>
                <w:rStyle w:val="af1"/>
                <w:b/>
                <w:noProof/>
              </w:rPr>
              <w:t>I. РАЗВИТИЕ ЧЕЛОВЕЧЕСКОГО ПОТЕНЦИАЛА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_Toc226016696 \h </w:instrText>
            </w:r>
            <w:r w:rsidR="004111DA" w:rsidRPr="00F660A1">
              <w:rPr>
                <w:noProof/>
                <w:webHidden/>
              </w:rPr>
            </w:r>
            <w:r w:rsidR="004111DA" w:rsidRPr="00F660A1">
              <w:rPr>
                <w:noProof/>
                <w:webHidden/>
              </w:rPr>
              <w:fldChar w:fldCharType="separate"/>
            </w:r>
            <w:r w:rsidR="001306E4">
              <w:rPr>
                <w:noProof/>
                <w:webHidden/>
              </w:rPr>
              <w:t>3</w:t>
            </w:r>
            <w:r w:rsidR="004111DA" w:rsidRPr="00F660A1">
              <w:rPr>
                <w:noProof/>
                <w:webHidden/>
              </w:rPr>
              <w:fldChar w:fldCharType="end"/>
            </w:r>
          </w:hyperlink>
        </w:p>
        <w:p w14:paraId="0E2D3DE5" w14:textId="62D2A5DA" w:rsidR="004111DA" w:rsidRPr="00F660A1" w:rsidRDefault="009B14F6" w:rsidP="00F660A1">
          <w:pPr>
            <w:pStyle w:val="11"/>
            <w:rPr>
              <w:rFonts w:asciiTheme="minorHAnsi" w:eastAsiaTheme="minorEastAsia" w:hAnsiTheme="minorHAnsi"/>
              <w:noProof/>
              <w:sz w:val="22"/>
              <w:lang w:eastAsia="ru-RU"/>
            </w:rPr>
          </w:pPr>
          <w:hyperlink w:anchor="_Toc226016697" w:history="1">
            <w:r w:rsidR="004111DA" w:rsidRPr="00F660A1">
              <w:rPr>
                <w:rStyle w:val="af1"/>
                <w:noProof/>
              </w:rPr>
              <w:t>ОБРАЗОВАНИЕ</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_Toc226016697 \h </w:instrText>
            </w:r>
            <w:r w:rsidR="004111DA" w:rsidRPr="00F660A1">
              <w:rPr>
                <w:noProof/>
                <w:webHidden/>
              </w:rPr>
            </w:r>
            <w:r w:rsidR="004111DA" w:rsidRPr="00F660A1">
              <w:rPr>
                <w:noProof/>
                <w:webHidden/>
              </w:rPr>
              <w:fldChar w:fldCharType="separate"/>
            </w:r>
            <w:r w:rsidR="001306E4">
              <w:rPr>
                <w:noProof/>
                <w:webHidden/>
              </w:rPr>
              <w:t>4</w:t>
            </w:r>
            <w:r w:rsidR="004111DA" w:rsidRPr="00F660A1">
              <w:rPr>
                <w:noProof/>
                <w:webHidden/>
              </w:rPr>
              <w:fldChar w:fldCharType="end"/>
            </w:r>
          </w:hyperlink>
        </w:p>
        <w:p w14:paraId="78AC336F" w14:textId="779D4E7C" w:rsidR="004111DA" w:rsidRPr="00F660A1" w:rsidRDefault="009B14F6" w:rsidP="00F660A1">
          <w:pPr>
            <w:pStyle w:val="11"/>
            <w:rPr>
              <w:rFonts w:asciiTheme="minorHAnsi" w:eastAsiaTheme="minorEastAsia" w:hAnsiTheme="minorHAnsi"/>
              <w:noProof/>
              <w:sz w:val="22"/>
              <w:lang w:eastAsia="ru-RU"/>
            </w:rPr>
          </w:pPr>
          <w:hyperlink w:anchor="_Toc226016698" w:history="1">
            <w:r w:rsidR="004111DA" w:rsidRPr="00F660A1">
              <w:rPr>
                <w:rStyle w:val="af1"/>
                <w:noProof/>
              </w:rPr>
              <w:t>ЗДРАВООХРАНЕНИЕ</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_Toc226016698 \h </w:instrText>
            </w:r>
            <w:r w:rsidR="004111DA" w:rsidRPr="00F660A1">
              <w:rPr>
                <w:noProof/>
                <w:webHidden/>
              </w:rPr>
            </w:r>
            <w:r w:rsidR="004111DA" w:rsidRPr="00F660A1">
              <w:rPr>
                <w:noProof/>
                <w:webHidden/>
              </w:rPr>
              <w:fldChar w:fldCharType="separate"/>
            </w:r>
            <w:r w:rsidR="001306E4">
              <w:rPr>
                <w:noProof/>
                <w:webHidden/>
              </w:rPr>
              <w:t>20</w:t>
            </w:r>
            <w:r w:rsidR="004111DA" w:rsidRPr="00F660A1">
              <w:rPr>
                <w:noProof/>
                <w:webHidden/>
              </w:rPr>
              <w:fldChar w:fldCharType="end"/>
            </w:r>
          </w:hyperlink>
        </w:p>
        <w:p w14:paraId="013E20D7" w14:textId="61842D80" w:rsidR="004111DA" w:rsidRPr="00F660A1" w:rsidRDefault="009B14F6" w:rsidP="00F660A1">
          <w:pPr>
            <w:pStyle w:val="11"/>
            <w:rPr>
              <w:rFonts w:asciiTheme="minorHAnsi" w:eastAsiaTheme="minorEastAsia" w:hAnsiTheme="minorHAnsi"/>
              <w:noProof/>
              <w:sz w:val="22"/>
              <w:lang w:eastAsia="ru-RU"/>
            </w:rPr>
          </w:pPr>
          <w:hyperlink w:anchor="_Toc226016699" w:history="1">
            <w:r w:rsidR="004111DA" w:rsidRPr="00F660A1">
              <w:rPr>
                <w:rStyle w:val="af1"/>
                <w:noProof/>
              </w:rPr>
              <w:t>СОЦИАЛЬНАЯ ПОДДЕРЖКА НАСЕЛЕНИЯ</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_Toc226016699 \h </w:instrText>
            </w:r>
            <w:r w:rsidR="004111DA" w:rsidRPr="00F660A1">
              <w:rPr>
                <w:noProof/>
                <w:webHidden/>
              </w:rPr>
            </w:r>
            <w:r w:rsidR="004111DA" w:rsidRPr="00F660A1">
              <w:rPr>
                <w:noProof/>
                <w:webHidden/>
              </w:rPr>
              <w:fldChar w:fldCharType="separate"/>
            </w:r>
            <w:r w:rsidR="001306E4">
              <w:rPr>
                <w:noProof/>
                <w:webHidden/>
              </w:rPr>
              <w:t>46</w:t>
            </w:r>
            <w:r w:rsidR="004111DA" w:rsidRPr="00F660A1">
              <w:rPr>
                <w:noProof/>
                <w:webHidden/>
              </w:rPr>
              <w:fldChar w:fldCharType="end"/>
            </w:r>
          </w:hyperlink>
        </w:p>
        <w:p w14:paraId="477E80CB" w14:textId="71C762F0" w:rsidR="004111DA" w:rsidRPr="00F660A1" w:rsidRDefault="009B14F6" w:rsidP="00F660A1">
          <w:pPr>
            <w:pStyle w:val="11"/>
            <w:rPr>
              <w:rFonts w:asciiTheme="minorHAnsi" w:eastAsiaTheme="minorEastAsia" w:hAnsiTheme="minorHAnsi"/>
              <w:noProof/>
              <w:sz w:val="22"/>
              <w:lang w:eastAsia="ru-RU"/>
            </w:rPr>
          </w:pPr>
          <w:hyperlink w:anchor="_Toc226016700" w:history="1">
            <w:r w:rsidR="004111DA" w:rsidRPr="00F660A1">
              <w:rPr>
                <w:rStyle w:val="af1"/>
                <w:noProof/>
              </w:rPr>
              <w:t>РЫНОК ТРУДА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_Toc226016700 \h </w:instrText>
            </w:r>
            <w:r w:rsidR="004111DA" w:rsidRPr="00F660A1">
              <w:rPr>
                <w:noProof/>
                <w:webHidden/>
              </w:rPr>
            </w:r>
            <w:r w:rsidR="004111DA" w:rsidRPr="00F660A1">
              <w:rPr>
                <w:noProof/>
                <w:webHidden/>
              </w:rPr>
              <w:fldChar w:fldCharType="separate"/>
            </w:r>
            <w:r w:rsidR="001306E4">
              <w:rPr>
                <w:noProof/>
                <w:webHidden/>
              </w:rPr>
              <w:t>64</w:t>
            </w:r>
            <w:r w:rsidR="004111DA" w:rsidRPr="00F660A1">
              <w:rPr>
                <w:noProof/>
                <w:webHidden/>
              </w:rPr>
              <w:fldChar w:fldCharType="end"/>
            </w:r>
          </w:hyperlink>
        </w:p>
        <w:p w14:paraId="5B1FB76C" w14:textId="6339CBE7" w:rsidR="004111DA" w:rsidRPr="00F660A1" w:rsidRDefault="009B14F6" w:rsidP="00F660A1">
          <w:pPr>
            <w:pStyle w:val="11"/>
            <w:rPr>
              <w:rFonts w:asciiTheme="minorHAnsi" w:eastAsiaTheme="minorEastAsia" w:hAnsiTheme="minorHAnsi"/>
              <w:noProof/>
              <w:sz w:val="22"/>
              <w:lang w:eastAsia="ru-RU"/>
            </w:rPr>
          </w:pPr>
          <w:hyperlink w:anchor="_Toc226016701" w:history="1">
            <w:r w:rsidR="004111DA" w:rsidRPr="00F660A1">
              <w:rPr>
                <w:rStyle w:val="af1"/>
                <w:rFonts w:ascii="PT Astra Serif" w:eastAsia="Calibri" w:hAnsi="PT Astra Serif" w:cs="Times New Roman"/>
                <w:noProof/>
                <w:kern w:val="2"/>
                <w:lang w:eastAsia="x-none"/>
              </w:rPr>
              <w:t>ФИЗИЧЕСКАЯ КУЛЬТУРА И СПОРТ</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_Toc226016701 \h </w:instrText>
            </w:r>
            <w:r w:rsidR="004111DA" w:rsidRPr="00F660A1">
              <w:rPr>
                <w:noProof/>
                <w:webHidden/>
              </w:rPr>
            </w:r>
            <w:r w:rsidR="004111DA" w:rsidRPr="00F660A1">
              <w:rPr>
                <w:noProof/>
                <w:webHidden/>
              </w:rPr>
              <w:fldChar w:fldCharType="separate"/>
            </w:r>
            <w:r w:rsidR="001306E4">
              <w:rPr>
                <w:noProof/>
                <w:webHidden/>
              </w:rPr>
              <w:t>76</w:t>
            </w:r>
            <w:r w:rsidR="004111DA" w:rsidRPr="00F660A1">
              <w:rPr>
                <w:noProof/>
                <w:webHidden/>
              </w:rPr>
              <w:fldChar w:fldCharType="end"/>
            </w:r>
          </w:hyperlink>
        </w:p>
        <w:p w14:paraId="6ACCA111" w14:textId="1433E9E5" w:rsidR="004111DA" w:rsidRPr="00F660A1" w:rsidRDefault="009B14F6" w:rsidP="00F660A1">
          <w:pPr>
            <w:pStyle w:val="11"/>
            <w:rPr>
              <w:rFonts w:asciiTheme="minorHAnsi" w:eastAsiaTheme="minorEastAsia" w:hAnsiTheme="minorHAnsi"/>
              <w:noProof/>
              <w:sz w:val="22"/>
              <w:lang w:eastAsia="ru-RU"/>
            </w:rPr>
          </w:pPr>
          <w:hyperlink w:anchor="_Toc226016702" w:history="1">
            <w:r w:rsidR="004111DA" w:rsidRPr="00F660A1">
              <w:rPr>
                <w:rStyle w:val="af1"/>
                <w:rFonts w:ascii="PT Astra Serif" w:eastAsia="Calibri" w:hAnsi="PT Astra Serif" w:cs="Times New Roman"/>
                <w:noProof/>
                <w:lang w:val="x-none" w:eastAsia="x-none"/>
              </w:rPr>
              <w:t>МОЛОДЁЖНАЯ ПОЛИТИКА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_Toc226016702 \h </w:instrText>
            </w:r>
            <w:r w:rsidR="004111DA" w:rsidRPr="00F660A1">
              <w:rPr>
                <w:noProof/>
                <w:webHidden/>
              </w:rPr>
            </w:r>
            <w:r w:rsidR="004111DA" w:rsidRPr="00F660A1">
              <w:rPr>
                <w:noProof/>
                <w:webHidden/>
              </w:rPr>
              <w:fldChar w:fldCharType="separate"/>
            </w:r>
            <w:r w:rsidR="001306E4">
              <w:rPr>
                <w:noProof/>
                <w:webHidden/>
              </w:rPr>
              <w:t>89</w:t>
            </w:r>
            <w:r w:rsidR="004111DA" w:rsidRPr="00F660A1">
              <w:rPr>
                <w:noProof/>
                <w:webHidden/>
              </w:rPr>
              <w:fldChar w:fldCharType="end"/>
            </w:r>
          </w:hyperlink>
        </w:p>
        <w:p w14:paraId="474C0C86" w14:textId="7E182597" w:rsidR="004111DA" w:rsidRPr="00F660A1" w:rsidRDefault="009B14F6" w:rsidP="00F660A1">
          <w:pPr>
            <w:pStyle w:val="11"/>
            <w:rPr>
              <w:rFonts w:asciiTheme="minorHAnsi" w:eastAsiaTheme="minorEastAsia" w:hAnsiTheme="minorHAnsi"/>
              <w:noProof/>
              <w:sz w:val="22"/>
              <w:lang w:eastAsia="ru-RU"/>
            </w:rPr>
          </w:pPr>
          <w:hyperlink w:anchor="_Toc226016703" w:history="1">
            <w:r w:rsidR="004111DA" w:rsidRPr="00F660A1">
              <w:rPr>
                <w:rStyle w:val="af1"/>
                <w:rFonts w:ascii="PT Astra Serif" w:eastAsia="Times New Roman" w:hAnsi="PT Astra Serif"/>
                <w:noProof/>
                <w:lang w:val="x-none"/>
              </w:rPr>
              <w:t>КУЛЬТУРА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_Toc226016703 \h </w:instrText>
            </w:r>
            <w:r w:rsidR="004111DA" w:rsidRPr="00F660A1">
              <w:rPr>
                <w:noProof/>
                <w:webHidden/>
              </w:rPr>
            </w:r>
            <w:r w:rsidR="004111DA" w:rsidRPr="00F660A1">
              <w:rPr>
                <w:noProof/>
                <w:webHidden/>
              </w:rPr>
              <w:fldChar w:fldCharType="separate"/>
            </w:r>
            <w:r w:rsidR="001306E4">
              <w:rPr>
                <w:noProof/>
                <w:webHidden/>
              </w:rPr>
              <w:t>93</w:t>
            </w:r>
            <w:r w:rsidR="004111DA" w:rsidRPr="00F660A1">
              <w:rPr>
                <w:noProof/>
                <w:webHidden/>
              </w:rPr>
              <w:fldChar w:fldCharType="end"/>
            </w:r>
          </w:hyperlink>
        </w:p>
        <w:p w14:paraId="4B895A8E" w14:textId="2E74CF0F" w:rsidR="004111DA" w:rsidRPr="00F660A1" w:rsidRDefault="009B14F6" w:rsidP="00F660A1">
          <w:pPr>
            <w:pStyle w:val="11"/>
            <w:rPr>
              <w:rFonts w:asciiTheme="minorHAnsi" w:eastAsiaTheme="minorEastAsia" w:hAnsiTheme="minorHAnsi"/>
              <w:noProof/>
              <w:sz w:val="22"/>
              <w:lang w:eastAsia="ru-RU"/>
            </w:rPr>
          </w:pPr>
          <w:hyperlink w:anchor="_Toc226016704" w:history="1">
            <w:r w:rsidR="004111DA" w:rsidRPr="00F660A1">
              <w:rPr>
                <w:rStyle w:val="af1"/>
                <w:rFonts w:ascii="PT Astra Serif" w:eastAsia="Calibri" w:hAnsi="PT Astra Serif" w:cs="Times New Roman"/>
                <w:noProof/>
                <w:lang w:eastAsia="x-none"/>
              </w:rPr>
              <w:t>ОХРАНА ОБЪЕКТОВ КУЛЬТУРНОГО НАСЛЕДИЯ</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_Toc226016704 \h </w:instrText>
            </w:r>
            <w:r w:rsidR="004111DA" w:rsidRPr="00F660A1">
              <w:rPr>
                <w:noProof/>
                <w:webHidden/>
              </w:rPr>
            </w:r>
            <w:r w:rsidR="004111DA" w:rsidRPr="00F660A1">
              <w:rPr>
                <w:noProof/>
                <w:webHidden/>
              </w:rPr>
              <w:fldChar w:fldCharType="separate"/>
            </w:r>
            <w:r w:rsidR="001306E4">
              <w:rPr>
                <w:noProof/>
                <w:webHidden/>
              </w:rPr>
              <w:t>112</w:t>
            </w:r>
            <w:r w:rsidR="004111DA" w:rsidRPr="00F660A1">
              <w:rPr>
                <w:noProof/>
                <w:webHidden/>
              </w:rPr>
              <w:fldChar w:fldCharType="end"/>
            </w:r>
          </w:hyperlink>
        </w:p>
        <w:p w14:paraId="6F63C64F" w14:textId="539D1285" w:rsidR="004111DA" w:rsidRPr="00F660A1" w:rsidRDefault="009B14F6" w:rsidP="00F660A1">
          <w:pPr>
            <w:pStyle w:val="11"/>
            <w:rPr>
              <w:rFonts w:asciiTheme="minorHAnsi" w:eastAsiaTheme="minorEastAsia" w:hAnsiTheme="minorHAnsi"/>
              <w:noProof/>
              <w:sz w:val="22"/>
              <w:lang w:eastAsia="ru-RU"/>
            </w:rPr>
          </w:pPr>
          <w:hyperlink w:anchor="_Toc226016705" w:history="1">
            <w:r w:rsidR="004111DA" w:rsidRPr="00F660A1">
              <w:rPr>
                <w:rStyle w:val="af1"/>
                <w:rFonts w:ascii="PT Astra Serif" w:eastAsia="Calibri" w:hAnsi="PT Astra Serif" w:cs="Times New Roman"/>
                <w:noProof/>
                <w:lang w:val="x-none" w:eastAsia="x-none"/>
              </w:rPr>
              <w:t>ТУРИЗМ</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_Toc226016705 \h </w:instrText>
            </w:r>
            <w:r w:rsidR="004111DA" w:rsidRPr="00F660A1">
              <w:rPr>
                <w:noProof/>
                <w:webHidden/>
              </w:rPr>
            </w:r>
            <w:r w:rsidR="004111DA" w:rsidRPr="00F660A1">
              <w:rPr>
                <w:noProof/>
                <w:webHidden/>
              </w:rPr>
              <w:fldChar w:fldCharType="separate"/>
            </w:r>
            <w:r w:rsidR="001306E4">
              <w:rPr>
                <w:noProof/>
                <w:webHidden/>
              </w:rPr>
              <w:t>117</w:t>
            </w:r>
            <w:r w:rsidR="004111DA" w:rsidRPr="00F660A1">
              <w:rPr>
                <w:noProof/>
                <w:webHidden/>
              </w:rPr>
              <w:fldChar w:fldCharType="end"/>
            </w:r>
          </w:hyperlink>
        </w:p>
        <w:p w14:paraId="61BBC4E6" w14:textId="61ACB325" w:rsidR="004111DA" w:rsidRPr="00F660A1" w:rsidRDefault="009B14F6" w:rsidP="00F660A1">
          <w:pPr>
            <w:pStyle w:val="11"/>
            <w:rPr>
              <w:rFonts w:asciiTheme="minorHAnsi" w:eastAsiaTheme="minorEastAsia" w:hAnsiTheme="minorHAnsi"/>
              <w:noProof/>
              <w:sz w:val="22"/>
              <w:lang w:eastAsia="ru-RU"/>
            </w:rPr>
          </w:pPr>
          <w:hyperlink w:anchor="_Toc226016706" w:history="1">
            <w:r w:rsidR="004111DA" w:rsidRPr="00F660A1">
              <w:rPr>
                <w:rStyle w:val="af1"/>
                <w:b/>
                <w:noProof/>
                <w:lang w:val="en-US"/>
              </w:rPr>
              <w:t>II</w:t>
            </w:r>
            <w:r w:rsidR="004111DA" w:rsidRPr="00F660A1">
              <w:rPr>
                <w:rStyle w:val="af1"/>
                <w:b/>
                <w:noProof/>
              </w:rPr>
              <w:t>. ГОСУДАРСТВЕННОЕ УПРАВЛЕНИЕ</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_Toc226016706 \h </w:instrText>
            </w:r>
            <w:r w:rsidR="004111DA" w:rsidRPr="00F660A1">
              <w:rPr>
                <w:noProof/>
                <w:webHidden/>
              </w:rPr>
            </w:r>
            <w:r w:rsidR="004111DA" w:rsidRPr="00F660A1">
              <w:rPr>
                <w:noProof/>
                <w:webHidden/>
              </w:rPr>
              <w:fldChar w:fldCharType="separate"/>
            </w:r>
            <w:r w:rsidR="001306E4">
              <w:rPr>
                <w:noProof/>
                <w:webHidden/>
              </w:rPr>
              <w:t>138</w:t>
            </w:r>
            <w:r w:rsidR="004111DA" w:rsidRPr="00F660A1">
              <w:rPr>
                <w:noProof/>
                <w:webHidden/>
              </w:rPr>
              <w:fldChar w:fldCharType="end"/>
            </w:r>
          </w:hyperlink>
        </w:p>
        <w:p w14:paraId="7B7DA3A9" w14:textId="6CA8B39D" w:rsidR="004111DA" w:rsidRPr="00F660A1" w:rsidRDefault="009B14F6" w:rsidP="00F660A1">
          <w:pPr>
            <w:pStyle w:val="11"/>
            <w:rPr>
              <w:rFonts w:asciiTheme="minorHAnsi" w:eastAsiaTheme="minorEastAsia" w:hAnsiTheme="minorHAnsi"/>
              <w:noProof/>
              <w:sz w:val="22"/>
              <w:lang w:eastAsia="ru-RU"/>
            </w:rPr>
          </w:pPr>
          <w:hyperlink w:anchor="_Toc226016707" w:history="1">
            <w:r w:rsidR="004111DA" w:rsidRPr="00F660A1">
              <w:rPr>
                <w:rStyle w:val="af1"/>
                <w:rFonts w:ascii="PT Astra Serif" w:eastAsia="Calibri" w:hAnsi="PT Astra Serif" w:cs="Times New Roman"/>
                <w:noProof/>
                <w:lang w:val="x-none" w:eastAsia="x-none"/>
              </w:rPr>
              <w:t>БЮДЖЕТНАЯ ПОЛИТИКА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_Toc226016707 \h </w:instrText>
            </w:r>
            <w:r w:rsidR="004111DA" w:rsidRPr="00F660A1">
              <w:rPr>
                <w:noProof/>
                <w:webHidden/>
              </w:rPr>
            </w:r>
            <w:r w:rsidR="004111DA" w:rsidRPr="00F660A1">
              <w:rPr>
                <w:noProof/>
                <w:webHidden/>
              </w:rPr>
              <w:fldChar w:fldCharType="separate"/>
            </w:r>
            <w:r w:rsidR="001306E4">
              <w:rPr>
                <w:noProof/>
                <w:webHidden/>
              </w:rPr>
              <w:t>139</w:t>
            </w:r>
            <w:r w:rsidR="004111DA" w:rsidRPr="00F660A1">
              <w:rPr>
                <w:noProof/>
                <w:webHidden/>
              </w:rPr>
              <w:fldChar w:fldCharType="end"/>
            </w:r>
          </w:hyperlink>
        </w:p>
        <w:p w14:paraId="1DFC911E" w14:textId="4C7C51DB" w:rsidR="004111DA" w:rsidRPr="00F660A1" w:rsidRDefault="009B14F6" w:rsidP="00F660A1">
          <w:pPr>
            <w:pStyle w:val="11"/>
            <w:rPr>
              <w:rFonts w:asciiTheme="minorHAnsi" w:eastAsiaTheme="minorEastAsia" w:hAnsiTheme="minorHAnsi"/>
              <w:noProof/>
              <w:sz w:val="22"/>
              <w:lang w:eastAsia="ru-RU"/>
            </w:rPr>
          </w:pPr>
          <w:hyperlink w:anchor="_Toc226016708" w:history="1">
            <w:r w:rsidR="004111DA" w:rsidRPr="00F660A1">
              <w:rPr>
                <w:rStyle w:val="af1"/>
                <w:rFonts w:ascii="PT Astra Serif" w:eastAsia="Calibri" w:hAnsi="PT Astra Serif"/>
                <w:noProof/>
              </w:rPr>
              <w:t>ГОСУДАРСТВЕННЫЕ ЗАКУПКИ</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_Toc226016708 \h </w:instrText>
            </w:r>
            <w:r w:rsidR="004111DA" w:rsidRPr="00F660A1">
              <w:rPr>
                <w:noProof/>
                <w:webHidden/>
              </w:rPr>
            </w:r>
            <w:r w:rsidR="004111DA" w:rsidRPr="00F660A1">
              <w:rPr>
                <w:noProof/>
                <w:webHidden/>
              </w:rPr>
              <w:fldChar w:fldCharType="separate"/>
            </w:r>
            <w:r w:rsidR="001306E4">
              <w:rPr>
                <w:noProof/>
                <w:webHidden/>
              </w:rPr>
              <w:t>169</w:t>
            </w:r>
            <w:r w:rsidR="004111DA" w:rsidRPr="00F660A1">
              <w:rPr>
                <w:noProof/>
                <w:webHidden/>
              </w:rPr>
              <w:fldChar w:fldCharType="end"/>
            </w:r>
          </w:hyperlink>
        </w:p>
        <w:p w14:paraId="7D57F626" w14:textId="0721AB5C" w:rsidR="004111DA" w:rsidRPr="00F660A1" w:rsidRDefault="009B14F6" w:rsidP="00F660A1">
          <w:pPr>
            <w:pStyle w:val="11"/>
            <w:rPr>
              <w:rFonts w:asciiTheme="minorHAnsi" w:eastAsiaTheme="minorEastAsia" w:hAnsiTheme="minorHAnsi"/>
              <w:noProof/>
              <w:sz w:val="22"/>
              <w:lang w:eastAsia="ru-RU"/>
            </w:rPr>
          </w:pPr>
          <w:hyperlink w:anchor="_Toc226016709" w:history="1">
            <w:r w:rsidR="004111DA" w:rsidRPr="00F660A1">
              <w:rPr>
                <w:rStyle w:val="af1"/>
                <w:rFonts w:ascii="PT Astra Serif" w:hAnsi="PT Astra Serif"/>
                <w:noProof/>
                <w:shd w:val="clear" w:color="auto" w:fill="FFFFFF"/>
                <w:lang w:eastAsia="x-none"/>
              </w:rPr>
              <w:t>ВЗАИМОДЕЙСТВИЕ С ИНСТИТУТАМИ ГРАЖДАНСКОГО ОБЩЕСТВА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_Toc226016709 \h </w:instrText>
            </w:r>
            <w:r w:rsidR="004111DA" w:rsidRPr="00F660A1">
              <w:rPr>
                <w:noProof/>
                <w:webHidden/>
              </w:rPr>
            </w:r>
            <w:r w:rsidR="004111DA" w:rsidRPr="00F660A1">
              <w:rPr>
                <w:noProof/>
                <w:webHidden/>
              </w:rPr>
              <w:fldChar w:fldCharType="separate"/>
            </w:r>
            <w:r w:rsidR="001306E4">
              <w:rPr>
                <w:noProof/>
                <w:webHidden/>
              </w:rPr>
              <w:t>190</w:t>
            </w:r>
            <w:r w:rsidR="004111DA" w:rsidRPr="00F660A1">
              <w:rPr>
                <w:noProof/>
                <w:webHidden/>
              </w:rPr>
              <w:fldChar w:fldCharType="end"/>
            </w:r>
          </w:hyperlink>
        </w:p>
        <w:p w14:paraId="328B103C" w14:textId="6B1E4126" w:rsidR="004111DA" w:rsidRPr="00F660A1" w:rsidRDefault="009B14F6" w:rsidP="00F660A1">
          <w:pPr>
            <w:pStyle w:val="11"/>
            <w:rPr>
              <w:rFonts w:asciiTheme="minorHAnsi" w:eastAsiaTheme="minorEastAsia" w:hAnsiTheme="minorHAnsi"/>
              <w:noProof/>
              <w:sz w:val="22"/>
              <w:lang w:eastAsia="ru-RU"/>
            </w:rPr>
          </w:pPr>
          <w:hyperlink w:anchor="_Toc226016710" w:history="1">
            <w:r w:rsidR="004111DA" w:rsidRPr="00F660A1">
              <w:rPr>
                <w:rStyle w:val="af1"/>
                <w:rFonts w:cs="Calibri"/>
                <w:noProof/>
              </w:rPr>
              <w:t>МЕЖДУНАРОДНАЯ И МЕЖРЕГИОНАЛЬНАЯ ПОЛИТИКА</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_Toc226016710 \h </w:instrText>
            </w:r>
            <w:r w:rsidR="004111DA" w:rsidRPr="00F660A1">
              <w:rPr>
                <w:noProof/>
                <w:webHidden/>
              </w:rPr>
            </w:r>
            <w:r w:rsidR="004111DA" w:rsidRPr="00F660A1">
              <w:rPr>
                <w:noProof/>
                <w:webHidden/>
              </w:rPr>
              <w:fldChar w:fldCharType="separate"/>
            </w:r>
            <w:r w:rsidR="001306E4">
              <w:rPr>
                <w:noProof/>
                <w:webHidden/>
              </w:rPr>
              <w:t>211</w:t>
            </w:r>
            <w:r w:rsidR="004111DA" w:rsidRPr="00F660A1">
              <w:rPr>
                <w:noProof/>
                <w:webHidden/>
              </w:rPr>
              <w:fldChar w:fldCharType="end"/>
            </w:r>
          </w:hyperlink>
        </w:p>
        <w:p w14:paraId="1BFA8E2A" w14:textId="238F591A" w:rsidR="004111DA" w:rsidRPr="00F660A1" w:rsidRDefault="009B14F6" w:rsidP="00F660A1">
          <w:pPr>
            <w:pStyle w:val="11"/>
            <w:rPr>
              <w:rFonts w:asciiTheme="minorHAnsi" w:eastAsiaTheme="minorEastAsia" w:hAnsiTheme="minorHAnsi"/>
              <w:noProof/>
              <w:sz w:val="22"/>
              <w:lang w:eastAsia="ru-RU"/>
            </w:rPr>
          </w:pPr>
          <w:hyperlink w:anchor="_Toc226016711" w:history="1">
            <w:r w:rsidR="004111DA" w:rsidRPr="00F660A1">
              <w:rPr>
                <w:rStyle w:val="af1"/>
                <w:rFonts w:ascii="PT Astra Serif" w:eastAsia="PT Astra Serif" w:hAnsi="PT Astra Serif" w:cstheme="majorBidi"/>
                <w:noProof/>
                <w:shd w:val="clear" w:color="auto" w:fill="FFFFFF"/>
                <w:lang w:eastAsia="ru-RU"/>
              </w:rPr>
              <w:t>КАДРОВАЯ ПОЛИТИКА В ИСПОЛНИТЕЛЬНЫХ ОРГАНАХ УЛЬЯНОВСКОЙ ОБЛАСТИ</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_Toc226016711 \h </w:instrText>
            </w:r>
            <w:r w:rsidR="004111DA" w:rsidRPr="00F660A1">
              <w:rPr>
                <w:noProof/>
                <w:webHidden/>
              </w:rPr>
            </w:r>
            <w:r w:rsidR="004111DA" w:rsidRPr="00F660A1">
              <w:rPr>
                <w:noProof/>
                <w:webHidden/>
              </w:rPr>
              <w:fldChar w:fldCharType="separate"/>
            </w:r>
            <w:r w:rsidR="001306E4">
              <w:rPr>
                <w:noProof/>
                <w:webHidden/>
              </w:rPr>
              <w:t>227</w:t>
            </w:r>
            <w:r w:rsidR="004111DA" w:rsidRPr="00F660A1">
              <w:rPr>
                <w:noProof/>
                <w:webHidden/>
              </w:rPr>
              <w:fldChar w:fldCharType="end"/>
            </w:r>
          </w:hyperlink>
        </w:p>
        <w:p w14:paraId="762C95DB" w14:textId="13983F65" w:rsidR="004111DA" w:rsidRDefault="009B14F6" w:rsidP="00F660A1">
          <w:pPr>
            <w:pStyle w:val="11"/>
            <w:rPr>
              <w:rFonts w:asciiTheme="minorHAnsi" w:eastAsiaTheme="minorEastAsia" w:hAnsiTheme="minorHAnsi"/>
              <w:noProof/>
              <w:sz w:val="22"/>
              <w:lang w:eastAsia="ru-RU"/>
            </w:rPr>
          </w:pPr>
          <w:hyperlink w:anchor="_Toc226016712" w:history="1">
            <w:r w:rsidR="004111DA" w:rsidRPr="00F660A1">
              <w:rPr>
                <w:rStyle w:val="af1"/>
                <w:rFonts w:ascii="PT Astra Serif" w:eastAsia="PT Astra Serif" w:hAnsi="PT Astra Serif" w:cstheme="majorBidi"/>
                <w:noProof/>
                <w:shd w:val="clear" w:color="auto" w:fill="FFFFFF"/>
                <w:lang w:eastAsia="ru-RU"/>
              </w:rPr>
              <w:t xml:space="preserve">ПРАВОТВОРЧЕСКАЯ ДЕЯТЕЛЬНОСТЬ И ОКАЗАНИЕ </w:t>
            </w:r>
            <w:r w:rsidR="00B5198B">
              <w:rPr>
                <w:rStyle w:val="af1"/>
                <w:rFonts w:ascii="PT Astra Serif" w:eastAsia="PT Astra Serif" w:hAnsi="PT Astra Serif" w:cstheme="majorBidi"/>
                <w:noProof/>
                <w:shd w:val="clear" w:color="auto" w:fill="FFFFFF"/>
                <w:lang w:eastAsia="ru-RU"/>
              </w:rPr>
              <w:br/>
            </w:r>
            <w:r w:rsidR="004111DA" w:rsidRPr="00F660A1">
              <w:rPr>
                <w:rStyle w:val="af1"/>
                <w:rFonts w:ascii="PT Astra Serif" w:eastAsia="PT Astra Serif" w:hAnsi="PT Astra Serif" w:cstheme="majorBidi"/>
                <w:noProof/>
                <w:shd w:val="clear" w:color="auto" w:fill="FFFFFF"/>
                <w:lang w:eastAsia="ru-RU"/>
              </w:rPr>
              <w:t>БЕСПЛАТНОЙ ЮРИДИЧЕСКОЙ ПОМОЩИ</w:t>
            </w:r>
            <w:r w:rsidR="004111DA" w:rsidRPr="00F660A1">
              <w:rPr>
                <w:noProof/>
                <w:webHidden/>
              </w:rPr>
              <w:tab/>
            </w:r>
            <w:r w:rsidR="004111DA" w:rsidRPr="00F660A1">
              <w:rPr>
                <w:noProof/>
                <w:webHidden/>
              </w:rPr>
              <w:fldChar w:fldCharType="begin"/>
            </w:r>
            <w:r w:rsidR="004111DA" w:rsidRPr="00F660A1">
              <w:rPr>
                <w:noProof/>
                <w:webHidden/>
              </w:rPr>
              <w:instrText xml:space="preserve"> PAGEREF _Toc226016712 \h </w:instrText>
            </w:r>
            <w:r w:rsidR="004111DA" w:rsidRPr="00F660A1">
              <w:rPr>
                <w:noProof/>
                <w:webHidden/>
              </w:rPr>
            </w:r>
            <w:r w:rsidR="004111DA" w:rsidRPr="00F660A1">
              <w:rPr>
                <w:noProof/>
                <w:webHidden/>
              </w:rPr>
              <w:fldChar w:fldCharType="separate"/>
            </w:r>
            <w:r w:rsidR="001306E4">
              <w:rPr>
                <w:noProof/>
                <w:webHidden/>
              </w:rPr>
              <w:t>240</w:t>
            </w:r>
            <w:r w:rsidR="004111DA" w:rsidRPr="00F660A1">
              <w:rPr>
                <w:noProof/>
                <w:webHidden/>
              </w:rPr>
              <w:fldChar w:fldCharType="end"/>
            </w:r>
          </w:hyperlink>
        </w:p>
        <w:p w14:paraId="277DE008" w14:textId="63535203" w:rsidR="004111DA" w:rsidRDefault="009B14F6" w:rsidP="00F660A1">
          <w:pPr>
            <w:pStyle w:val="11"/>
            <w:rPr>
              <w:rFonts w:asciiTheme="minorHAnsi" w:eastAsiaTheme="minorEastAsia" w:hAnsiTheme="minorHAnsi"/>
              <w:noProof/>
              <w:sz w:val="22"/>
              <w:lang w:eastAsia="ru-RU"/>
            </w:rPr>
          </w:pPr>
          <w:hyperlink w:anchor="_Toc226016713" w:history="1">
            <w:r w:rsidR="004111DA" w:rsidRPr="00F660A1">
              <w:rPr>
                <w:rStyle w:val="af1"/>
                <w:rFonts w:ascii="PT Astra Serif" w:eastAsia="Times New Roman" w:hAnsi="PT Astra Serif" w:cs="Times New Roman"/>
                <w:noProof/>
                <w:lang w:val="uk-UA" w:eastAsia="ru-RU"/>
              </w:rPr>
              <w:t>ОБРАЩЕНИЯ ГРАЖДАН</w:t>
            </w:r>
            <w:r w:rsidR="004111DA">
              <w:rPr>
                <w:noProof/>
                <w:webHidden/>
              </w:rPr>
              <w:tab/>
            </w:r>
            <w:r w:rsidR="004111DA">
              <w:rPr>
                <w:noProof/>
                <w:webHidden/>
              </w:rPr>
              <w:fldChar w:fldCharType="begin"/>
            </w:r>
            <w:r w:rsidR="004111DA">
              <w:rPr>
                <w:noProof/>
                <w:webHidden/>
              </w:rPr>
              <w:instrText xml:space="preserve"> PAGEREF _Toc226016713 \h </w:instrText>
            </w:r>
            <w:r w:rsidR="004111DA">
              <w:rPr>
                <w:noProof/>
                <w:webHidden/>
              </w:rPr>
            </w:r>
            <w:r w:rsidR="004111DA">
              <w:rPr>
                <w:noProof/>
                <w:webHidden/>
              </w:rPr>
              <w:fldChar w:fldCharType="separate"/>
            </w:r>
            <w:r w:rsidR="001306E4">
              <w:rPr>
                <w:noProof/>
                <w:webHidden/>
              </w:rPr>
              <w:t>250</w:t>
            </w:r>
            <w:r w:rsidR="004111DA">
              <w:rPr>
                <w:noProof/>
                <w:webHidden/>
              </w:rPr>
              <w:fldChar w:fldCharType="end"/>
            </w:r>
          </w:hyperlink>
        </w:p>
        <w:p w14:paraId="59224CCA" w14:textId="72919D1B" w:rsidR="00843571" w:rsidRPr="00996B2B" w:rsidRDefault="00843571" w:rsidP="00F660A1">
          <w:pPr>
            <w:pStyle w:val="11"/>
          </w:pPr>
          <w:r w:rsidRPr="0084473C">
            <w:rPr>
              <w:highlight w:val="red"/>
            </w:rPr>
            <w:fldChar w:fldCharType="end"/>
          </w:r>
        </w:p>
      </w:sdtContent>
    </w:sdt>
    <w:p w14:paraId="0EDD0E1F" w14:textId="1733B924" w:rsidR="00064D86" w:rsidRPr="00642CC1" w:rsidRDefault="00064D86" w:rsidP="0076482B">
      <w:pPr>
        <w:widowControl w:val="0"/>
        <w:ind w:firstLine="0"/>
        <w:jc w:val="center"/>
        <w:rPr>
          <w:rFonts w:ascii="PT Astra Serif" w:hAnsi="PT Astra Serif"/>
          <w:color w:val="000000" w:themeColor="text1"/>
        </w:rPr>
      </w:pPr>
      <w:bookmarkStart w:id="0" w:name="_Toc129961293"/>
    </w:p>
    <w:p w14:paraId="36526994" w14:textId="20833ADF" w:rsidR="00642CC1" w:rsidRDefault="00642CC1">
      <w:pPr>
        <w:spacing w:after="160" w:line="259" w:lineRule="auto"/>
        <w:ind w:firstLine="0"/>
        <w:jc w:val="left"/>
        <w:rPr>
          <w:rFonts w:ascii="PT Astra Serif" w:hAnsi="PT Astra Serif"/>
          <w:color w:val="000000" w:themeColor="text1"/>
        </w:rPr>
      </w:pPr>
      <w:r>
        <w:rPr>
          <w:rFonts w:ascii="PT Astra Serif" w:hAnsi="PT Astra Serif"/>
          <w:color w:val="000000" w:themeColor="text1"/>
        </w:rPr>
        <w:br w:type="page"/>
      </w:r>
    </w:p>
    <w:p w14:paraId="65764338" w14:textId="77777777" w:rsidR="00223BE2" w:rsidRDefault="00223BE2">
      <w:pPr>
        <w:spacing w:after="160" w:line="259" w:lineRule="auto"/>
        <w:ind w:firstLine="0"/>
        <w:jc w:val="left"/>
        <w:rPr>
          <w:rFonts w:ascii="PT Astra Serif" w:hAnsi="PT Astra Serif"/>
          <w:color w:val="000000" w:themeColor="text1"/>
        </w:rPr>
      </w:pPr>
    </w:p>
    <w:p w14:paraId="1956B268" w14:textId="64B338C2" w:rsidR="00F26B7A" w:rsidRDefault="00F26B7A" w:rsidP="0076482B">
      <w:pPr>
        <w:pStyle w:val="1ff0"/>
        <w:widowControl w:val="0"/>
        <w:outlineLvl w:val="9"/>
      </w:pPr>
    </w:p>
    <w:p w14:paraId="4A954C42" w14:textId="3925C4AB" w:rsidR="00642CC1" w:rsidRDefault="00642CC1" w:rsidP="0076482B">
      <w:pPr>
        <w:pStyle w:val="1ff0"/>
        <w:widowControl w:val="0"/>
        <w:outlineLvl w:val="9"/>
      </w:pPr>
    </w:p>
    <w:p w14:paraId="78F6A7AA" w14:textId="524454A6" w:rsidR="00642CC1" w:rsidRDefault="00642CC1" w:rsidP="0076482B">
      <w:pPr>
        <w:pStyle w:val="1ff0"/>
        <w:widowControl w:val="0"/>
        <w:outlineLvl w:val="9"/>
      </w:pPr>
    </w:p>
    <w:p w14:paraId="22704E1B" w14:textId="57B38571" w:rsidR="00642CC1" w:rsidRDefault="00642CC1" w:rsidP="0076482B">
      <w:pPr>
        <w:pStyle w:val="1ff0"/>
        <w:widowControl w:val="0"/>
        <w:outlineLvl w:val="9"/>
      </w:pPr>
    </w:p>
    <w:p w14:paraId="1D132DE6" w14:textId="5F2A919B" w:rsidR="00642CC1" w:rsidRDefault="00642CC1" w:rsidP="0076482B">
      <w:pPr>
        <w:pStyle w:val="1ff0"/>
        <w:widowControl w:val="0"/>
        <w:outlineLvl w:val="9"/>
      </w:pPr>
    </w:p>
    <w:p w14:paraId="7F20E290" w14:textId="14875B32" w:rsidR="00642CC1" w:rsidRDefault="00642CC1" w:rsidP="0076482B">
      <w:pPr>
        <w:pStyle w:val="1ff0"/>
        <w:widowControl w:val="0"/>
        <w:outlineLvl w:val="9"/>
      </w:pPr>
    </w:p>
    <w:p w14:paraId="27C23D45" w14:textId="63B8D902" w:rsidR="00642CC1" w:rsidRDefault="00642CC1" w:rsidP="0076482B">
      <w:pPr>
        <w:pStyle w:val="1ff0"/>
        <w:widowControl w:val="0"/>
        <w:outlineLvl w:val="9"/>
      </w:pPr>
    </w:p>
    <w:p w14:paraId="456A1F4E" w14:textId="144E5E21" w:rsidR="00642CC1" w:rsidRDefault="00642CC1" w:rsidP="0076482B">
      <w:pPr>
        <w:pStyle w:val="1ff0"/>
        <w:widowControl w:val="0"/>
        <w:outlineLvl w:val="9"/>
      </w:pPr>
    </w:p>
    <w:p w14:paraId="1D7DC912" w14:textId="5C3A0121" w:rsidR="00642CC1" w:rsidRDefault="00642CC1" w:rsidP="0076482B">
      <w:pPr>
        <w:pStyle w:val="1ff0"/>
        <w:widowControl w:val="0"/>
        <w:outlineLvl w:val="9"/>
      </w:pPr>
    </w:p>
    <w:p w14:paraId="384A369D" w14:textId="580DF767" w:rsidR="00642CC1" w:rsidRDefault="00642CC1" w:rsidP="0076482B">
      <w:pPr>
        <w:pStyle w:val="1ff0"/>
        <w:widowControl w:val="0"/>
        <w:outlineLvl w:val="9"/>
      </w:pPr>
    </w:p>
    <w:p w14:paraId="2AD90469" w14:textId="04FF3AED" w:rsidR="00642CC1" w:rsidRDefault="00642CC1" w:rsidP="0076482B">
      <w:pPr>
        <w:pStyle w:val="1ff0"/>
        <w:widowControl w:val="0"/>
        <w:outlineLvl w:val="9"/>
      </w:pPr>
    </w:p>
    <w:p w14:paraId="4E844BB5" w14:textId="3BFF7F97" w:rsidR="00642CC1" w:rsidRDefault="00642CC1" w:rsidP="0076482B">
      <w:pPr>
        <w:pStyle w:val="1ff0"/>
        <w:widowControl w:val="0"/>
        <w:outlineLvl w:val="9"/>
      </w:pPr>
    </w:p>
    <w:p w14:paraId="53CEA051" w14:textId="3BCB1D34" w:rsidR="00642CC1" w:rsidRDefault="00642CC1" w:rsidP="0076482B">
      <w:pPr>
        <w:pStyle w:val="1ff0"/>
        <w:widowControl w:val="0"/>
        <w:outlineLvl w:val="9"/>
      </w:pPr>
    </w:p>
    <w:p w14:paraId="7A2C1B85" w14:textId="2B326141" w:rsidR="00642CC1" w:rsidRDefault="00642CC1" w:rsidP="0076482B">
      <w:pPr>
        <w:pStyle w:val="1ff0"/>
        <w:widowControl w:val="0"/>
        <w:outlineLvl w:val="9"/>
      </w:pPr>
    </w:p>
    <w:p w14:paraId="3B12C525" w14:textId="54D3C24B" w:rsidR="00906D84" w:rsidRDefault="00906D84" w:rsidP="0076482B">
      <w:pPr>
        <w:pStyle w:val="1ff0"/>
        <w:widowControl w:val="0"/>
      </w:pPr>
      <w:bookmarkStart w:id="1" w:name="_Toc226016696"/>
      <w:r w:rsidRPr="00996B2B">
        <w:t>I. РАЗВИТИЕ ЧЕЛОВЕЧЕСКОГО ПОТЕНЦИАЛА</w:t>
      </w:r>
      <w:bookmarkEnd w:id="1"/>
      <w:r w:rsidRPr="00996B2B">
        <w:t xml:space="preserve"> </w:t>
      </w:r>
    </w:p>
    <w:p w14:paraId="5AD1A7DD" w14:textId="2DFD0F02" w:rsidR="00594C19" w:rsidRDefault="00594C19" w:rsidP="0076482B">
      <w:pPr>
        <w:pStyle w:val="1ff0"/>
        <w:widowControl w:val="0"/>
        <w:outlineLvl w:val="9"/>
      </w:pPr>
    </w:p>
    <w:p w14:paraId="603582DC" w14:textId="77777777" w:rsidR="00594C19" w:rsidRPr="00996B2B" w:rsidRDefault="00594C19" w:rsidP="0076482B">
      <w:pPr>
        <w:pStyle w:val="1ff0"/>
        <w:widowControl w:val="0"/>
        <w:outlineLvl w:val="9"/>
      </w:pPr>
    </w:p>
    <w:p w14:paraId="5A21F77A" w14:textId="77777777" w:rsidR="00906D84" w:rsidRPr="00996B2B" w:rsidRDefault="00906D84" w:rsidP="0076482B">
      <w:pPr>
        <w:widowControl w:val="0"/>
        <w:spacing w:after="160"/>
        <w:ind w:firstLine="0"/>
        <w:jc w:val="left"/>
        <w:rPr>
          <w:rFonts w:ascii="PT Astra Serif" w:eastAsia="Calibri" w:hAnsi="PT Astra Serif" w:cs="Times New Roman"/>
          <w:b/>
          <w:color w:val="000000" w:themeColor="text1"/>
          <w:szCs w:val="28"/>
          <w:lang w:val="x-none" w:eastAsia="x-none"/>
        </w:rPr>
      </w:pPr>
      <w:r w:rsidRPr="00996B2B">
        <w:rPr>
          <w:color w:val="000000" w:themeColor="text1"/>
        </w:rPr>
        <w:br w:type="page"/>
      </w:r>
    </w:p>
    <w:p w14:paraId="641FF7C2" w14:textId="77777777" w:rsidR="007A5B9F" w:rsidRPr="00996B2B" w:rsidRDefault="007A5B9F" w:rsidP="0076482B">
      <w:pPr>
        <w:pStyle w:val="1ff0"/>
        <w:widowControl w:val="0"/>
        <w:rPr>
          <w:highlight w:val="yellow"/>
        </w:rPr>
      </w:pPr>
      <w:bookmarkStart w:id="2" w:name="_Toc226016697"/>
      <w:r w:rsidRPr="00996B2B">
        <w:lastRenderedPageBreak/>
        <w:t>ОБРАЗОВАНИЕ</w:t>
      </w:r>
      <w:bookmarkEnd w:id="0"/>
      <w:bookmarkEnd w:id="2"/>
    </w:p>
    <w:p w14:paraId="40D689A1" w14:textId="77777777" w:rsidR="00996B2B" w:rsidRDefault="00996B2B" w:rsidP="0076482B">
      <w:pPr>
        <w:widowControl w:val="0"/>
        <w:ind w:firstLine="708"/>
        <w:rPr>
          <w:rFonts w:ascii="PT Astra Serif" w:eastAsia="PT Astra Serif" w:hAnsi="PT Astra Serif" w:cs="PT Astra Serif"/>
          <w:b/>
          <w:bCs/>
          <w:szCs w:val="28"/>
          <w:highlight w:val="white"/>
        </w:rPr>
      </w:pPr>
    </w:p>
    <w:p w14:paraId="25826203" w14:textId="77777777" w:rsidR="00C548A9" w:rsidRDefault="00C548A9" w:rsidP="00C548A9">
      <w:pPr>
        <w:widowControl w:val="0"/>
        <w:ind w:firstLine="0"/>
        <w:jc w:val="center"/>
        <w:rPr>
          <w:rFonts w:ascii="PT Astra Serif" w:eastAsia="PT Astra Serif" w:hAnsi="PT Astra Serif" w:cs="PT Astra Serif"/>
          <w:b/>
          <w:bCs/>
          <w:szCs w:val="28"/>
        </w:rPr>
      </w:pPr>
      <w:r w:rsidRPr="00F42725">
        <w:rPr>
          <w:rFonts w:ascii="PT Astra Serif" w:eastAsia="PT Astra Serif" w:hAnsi="PT Astra Serif" w:cs="PT Astra Serif"/>
          <w:b/>
          <w:bCs/>
          <w:szCs w:val="28"/>
        </w:rPr>
        <w:t>Объём финансирования в 2025 году</w:t>
      </w:r>
    </w:p>
    <w:p w14:paraId="15F6CB35" w14:textId="77777777" w:rsidR="00C548A9" w:rsidRPr="00F42725" w:rsidRDefault="00C548A9" w:rsidP="00C548A9">
      <w:pPr>
        <w:widowControl w:val="0"/>
        <w:jc w:val="center"/>
        <w:rPr>
          <w:rFonts w:ascii="PT Astra Serif" w:eastAsia="PT Astra Serif" w:hAnsi="PT Astra Serif" w:cs="PT Astra Serif"/>
          <w:b/>
          <w:bCs/>
          <w:szCs w:val="28"/>
        </w:rPr>
      </w:pPr>
    </w:p>
    <w:p w14:paraId="37DE79FC"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 xml:space="preserve">Система образования Ульяновской области – одна из важнейших, постоянно развивающихся социальных сфер региона, основная цель которой заключается в обеспечении доступного, качественного и безопасного образования, соответствующего потребностям граждан и перспективным задачам развития экономики Ульяновской области. </w:t>
      </w:r>
    </w:p>
    <w:p w14:paraId="6CFA8831"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 xml:space="preserve">На отрасль «Образования» в 2025 году </w:t>
      </w:r>
      <w:r w:rsidRPr="00F42725">
        <w:rPr>
          <w:rFonts w:ascii="PT Astra Serif" w:eastAsia="PT Astra Serif" w:hAnsi="PT Astra Serif" w:cs="PT Astra Serif"/>
          <w:b/>
          <w:szCs w:val="28"/>
        </w:rPr>
        <w:t xml:space="preserve">первоначально </w:t>
      </w:r>
      <w:r w:rsidRPr="00F42725">
        <w:rPr>
          <w:rFonts w:ascii="PT Astra Serif" w:eastAsia="PT Astra Serif" w:hAnsi="PT Astra Serif" w:cs="PT Astra Serif"/>
          <w:szCs w:val="28"/>
        </w:rPr>
        <w:t xml:space="preserve">было запланировано </w:t>
      </w:r>
      <w:r w:rsidRPr="00F42725">
        <w:rPr>
          <w:rFonts w:ascii="PT Astra Serif" w:eastAsia="PT Astra Serif" w:hAnsi="PT Astra Serif" w:cs="PT Astra Serif"/>
          <w:b/>
          <w:szCs w:val="28"/>
        </w:rPr>
        <w:t>25</w:t>
      </w:r>
      <w:r>
        <w:rPr>
          <w:rFonts w:ascii="PT Astra Serif" w:eastAsia="PT Astra Serif" w:hAnsi="PT Astra Serif" w:cs="PT Astra Serif"/>
          <w:b/>
          <w:szCs w:val="28"/>
        </w:rPr>
        <w:t> </w:t>
      </w:r>
      <w:r w:rsidRPr="00F42725">
        <w:rPr>
          <w:rFonts w:ascii="PT Astra Serif" w:eastAsia="PT Astra Serif" w:hAnsi="PT Astra Serif" w:cs="PT Astra Serif"/>
          <w:b/>
          <w:szCs w:val="28"/>
        </w:rPr>
        <w:t>326</w:t>
      </w:r>
      <w:r>
        <w:rPr>
          <w:rFonts w:ascii="PT Astra Serif" w:eastAsia="PT Astra Serif" w:hAnsi="PT Astra Serif" w:cs="PT Astra Serif"/>
          <w:b/>
          <w:szCs w:val="28"/>
        </w:rPr>
        <w:t> </w:t>
      </w:r>
      <w:r w:rsidRPr="00F42725">
        <w:rPr>
          <w:rFonts w:ascii="PT Astra Serif" w:eastAsia="PT Astra Serif" w:hAnsi="PT Astra Serif" w:cs="PT Astra Serif"/>
          <w:b/>
          <w:szCs w:val="28"/>
        </w:rPr>
        <w:t>518,1 тыс. рублей</w:t>
      </w:r>
      <w:r w:rsidRPr="00F42725">
        <w:rPr>
          <w:rFonts w:ascii="PT Astra Serif" w:eastAsia="PT Astra Serif" w:hAnsi="PT Astra Serif" w:cs="PT Astra Serif"/>
          <w:szCs w:val="28"/>
        </w:rPr>
        <w:t>, из них:</w:t>
      </w:r>
    </w:p>
    <w:p w14:paraId="6247C339" w14:textId="77777777" w:rsidR="00C548A9" w:rsidRPr="004A5780"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23 154 214,0 тыс. рублей средства областного бюджета</w:t>
      </w:r>
      <w:r>
        <w:rPr>
          <w:rFonts w:ascii="PT Astra Serif" w:eastAsia="PT Astra Serif" w:hAnsi="PT Astra Serif" w:cs="PT Astra Serif"/>
          <w:szCs w:val="28"/>
        </w:rPr>
        <w:t>;</w:t>
      </w:r>
    </w:p>
    <w:p w14:paraId="7619529F"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2 172 304,1 тыс. рублей средства федерального бюджета</w:t>
      </w:r>
      <w:r>
        <w:rPr>
          <w:rFonts w:ascii="PT Astra Serif" w:eastAsia="PT Astra Serif" w:hAnsi="PT Astra Serif" w:cs="PT Astra Serif"/>
          <w:szCs w:val="28"/>
        </w:rPr>
        <w:t>.</w:t>
      </w:r>
    </w:p>
    <w:p w14:paraId="448393B3"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 xml:space="preserve">Из </w:t>
      </w:r>
      <w:r w:rsidRPr="00F42725">
        <w:rPr>
          <w:rFonts w:ascii="PT Astra Serif" w:eastAsia="PT Astra Serif" w:hAnsi="PT Astra Serif" w:cs="PT Astra Serif"/>
          <w:b/>
          <w:szCs w:val="28"/>
        </w:rPr>
        <w:t>дополнительных доходов</w:t>
      </w:r>
      <w:r w:rsidRPr="00F42725">
        <w:rPr>
          <w:rFonts w:ascii="PT Astra Serif" w:eastAsia="PT Astra Serif" w:hAnsi="PT Astra Serif" w:cs="PT Astra Serif"/>
          <w:szCs w:val="28"/>
        </w:rPr>
        <w:t xml:space="preserve"> областного бюджета Ульяновской области на систему образования в 2025 году было выделено </w:t>
      </w:r>
      <w:r w:rsidRPr="00F42725">
        <w:rPr>
          <w:rFonts w:ascii="PT Astra Serif" w:eastAsia="PT Astra Serif" w:hAnsi="PT Astra Serif" w:cs="PT Astra Serif"/>
          <w:b/>
          <w:szCs w:val="28"/>
        </w:rPr>
        <w:t>509</w:t>
      </w:r>
      <w:r>
        <w:rPr>
          <w:rFonts w:ascii="PT Astra Serif" w:eastAsia="PT Astra Serif" w:hAnsi="PT Astra Serif" w:cs="PT Astra Serif"/>
          <w:b/>
          <w:szCs w:val="28"/>
        </w:rPr>
        <w:t> </w:t>
      </w:r>
      <w:r w:rsidRPr="00F42725">
        <w:rPr>
          <w:rFonts w:ascii="PT Astra Serif" w:eastAsia="PT Astra Serif" w:hAnsi="PT Astra Serif" w:cs="PT Astra Serif"/>
          <w:b/>
          <w:szCs w:val="28"/>
        </w:rPr>
        <w:t>144,7 тыс. рублей</w:t>
      </w:r>
      <w:r w:rsidRPr="00F42725">
        <w:rPr>
          <w:rFonts w:ascii="PT Astra Serif" w:eastAsia="PT Astra Serif" w:hAnsi="PT Astra Serif" w:cs="PT Astra Serif"/>
          <w:szCs w:val="28"/>
        </w:rPr>
        <w:t>, а также 861 372,0 тыс. рублей дополнительно из федерального бюджета в рамках государственной программы Российской Федерации «Развитие образования».</w:t>
      </w:r>
    </w:p>
    <w:p w14:paraId="06C61046"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szCs w:val="28"/>
        </w:rPr>
        <w:t xml:space="preserve">Соответственно итоговое финансирование на функционирование </w:t>
      </w:r>
      <w:r>
        <w:rPr>
          <w:rFonts w:ascii="PT Astra Serif" w:eastAsia="PT Astra Serif" w:hAnsi="PT Astra Serif" w:cs="PT Astra Serif"/>
          <w:szCs w:val="28"/>
        </w:rPr>
        <w:br/>
      </w:r>
      <w:r w:rsidRPr="00F42725">
        <w:rPr>
          <w:rFonts w:ascii="PT Astra Serif" w:eastAsia="PT Astra Serif" w:hAnsi="PT Astra Serif" w:cs="PT Astra Serif"/>
          <w:szCs w:val="28"/>
        </w:rPr>
        <w:t>и развитие системы образования Ульяновской области было направлено:</w:t>
      </w:r>
    </w:p>
    <w:p w14:paraId="776B0386"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b/>
          <w:szCs w:val="28"/>
        </w:rPr>
        <w:t>26 697 035,4</w:t>
      </w:r>
      <w:r w:rsidRPr="00F42725">
        <w:rPr>
          <w:rFonts w:eastAsia="Times New Roman" w:cs="Times New Roman"/>
          <w:szCs w:val="28"/>
        </w:rPr>
        <w:t> </w:t>
      </w:r>
      <w:r w:rsidRPr="00F42725">
        <w:rPr>
          <w:rFonts w:ascii="PT Astra Serif" w:eastAsia="PT Astra Serif" w:hAnsi="PT Astra Serif" w:cs="PT Astra Serif"/>
          <w:szCs w:val="28"/>
        </w:rPr>
        <w:t>тыс</w:t>
      </w:r>
      <w:r w:rsidRPr="007B3EFF">
        <w:rPr>
          <w:rFonts w:ascii="PT Astra Serif" w:eastAsia="PT Astra Serif" w:hAnsi="PT Astra Serif" w:cs="PT Astra Serif"/>
          <w:szCs w:val="28"/>
        </w:rPr>
        <w:t>.</w:t>
      </w:r>
      <w:r w:rsidRPr="007B3EFF">
        <w:rPr>
          <w:rFonts w:eastAsia="Times New Roman" w:cs="Times New Roman"/>
          <w:szCs w:val="28"/>
        </w:rPr>
        <w:t> </w:t>
      </w:r>
      <w:r w:rsidRPr="007B3EFF">
        <w:rPr>
          <w:rFonts w:ascii="PT Astra Serif" w:eastAsia="PT Astra Serif" w:hAnsi="PT Astra Serif" w:cs="PT Astra Serif"/>
          <w:szCs w:val="28"/>
        </w:rPr>
        <w:t>рублей</w:t>
      </w:r>
      <w:r w:rsidRPr="00F42725">
        <w:rPr>
          <w:rFonts w:ascii="PT Astra Serif" w:eastAsia="PT Astra Serif" w:hAnsi="PT Astra Serif" w:cs="PT Astra Serif"/>
          <w:b/>
          <w:szCs w:val="28"/>
        </w:rPr>
        <w:t xml:space="preserve"> </w:t>
      </w:r>
      <w:r w:rsidRPr="00F42725">
        <w:rPr>
          <w:rFonts w:ascii="PT Astra Serif" w:eastAsia="PT Astra Serif" w:hAnsi="PT Astra Serif" w:cs="PT Astra Serif"/>
          <w:szCs w:val="28"/>
        </w:rPr>
        <w:t>из них:</w:t>
      </w:r>
    </w:p>
    <w:p w14:paraId="5F73316D"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b/>
          <w:szCs w:val="28"/>
        </w:rPr>
        <w:t xml:space="preserve">23 663 358,7 </w:t>
      </w:r>
      <w:r w:rsidRPr="00F42725">
        <w:rPr>
          <w:rFonts w:ascii="PT Astra Serif" w:eastAsia="PT Astra Serif" w:hAnsi="PT Astra Serif" w:cs="PT Astra Serif"/>
          <w:szCs w:val="28"/>
        </w:rPr>
        <w:t>тыс. рублей средства областного бюджета;</w:t>
      </w:r>
    </w:p>
    <w:p w14:paraId="613C0547" w14:textId="77777777" w:rsidR="00C548A9" w:rsidRPr="00F42725" w:rsidRDefault="00C548A9" w:rsidP="00C548A9">
      <w:pPr>
        <w:widowControl w:val="0"/>
        <w:ind w:firstLine="720"/>
        <w:rPr>
          <w:rFonts w:ascii="PT Astra Serif" w:eastAsia="PT Astra Serif" w:hAnsi="PT Astra Serif" w:cs="PT Astra Serif"/>
          <w:szCs w:val="28"/>
        </w:rPr>
      </w:pPr>
      <w:r w:rsidRPr="00F42725">
        <w:rPr>
          <w:rFonts w:ascii="PT Astra Serif" w:eastAsia="PT Astra Serif" w:hAnsi="PT Astra Serif" w:cs="PT Astra Serif"/>
          <w:b/>
          <w:szCs w:val="28"/>
        </w:rPr>
        <w:t>3 033 676,7</w:t>
      </w:r>
      <w:r w:rsidRPr="00F42725">
        <w:rPr>
          <w:rFonts w:ascii="PT Astra Serif" w:eastAsia="PT Astra Serif" w:hAnsi="PT Astra Serif" w:cs="PT Astra Serif"/>
          <w:szCs w:val="28"/>
        </w:rPr>
        <w:t xml:space="preserve"> тыс. рублей средства федерального бюджета.</w:t>
      </w:r>
    </w:p>
    <w:p w14:paraId="56A35719" w14:textId="0BAF5ED5" w:rsidR="00C548A9" w:rsidRPr="00F42725" w:rsidRDefault="00C548A9" w:rsidP="00C548A9">
      <w:pPr>
        <w:widowControl w:val="0"/>
        <w:shd w:val="clear" w:color="auto" w:fill="FFFFFF"/>
        <w:ind w:firstLine="720"/>
        <w:rPr>
          <w:rFonts w:ascii="PT Astra Serif" w:eastAsia="Times New Roman" w:hAnsi="PT Astra Serif" w:cs="Times New Roman"/>
          <w:szCs w:val="28"/>
        </w:rPr>
      </w:pPr>
      <w:r w:rsidRPr="00F42725">
        <w:rPr>
          <w:rFonts w:ascii="PT Astra Serif" w:eastAsia="Times New Roman" w:hAnsi="PT Astra Serif" w:cs="Times New Roman"/>
          <w:szCs w:val="28"/>
        </w:rPr>
        <w:t xml:space="preserve">Что на 10,7% больше (2 588 761,8 тыс. рублей) по сравнению </w:t>
      </w:r>
      <w:r w:rsidR="00C23BDD">
        <w:rPr>
          <w:rFonts w:ascii="PT Astra Serif" w:eastAsia="Times New Roman" w:hAnsi="PT Astra Serif" w:cs="Times New Roman"/>
          <w:szCs w:val="28"/>
        </w:rPr>
        <w:br/>
      </w:r>
      <w:r w:rsidRPr="00F42725">
        <w:rPr>
          <w:rFonts w:ascii="PT Astra Serif" w:eastAsia="Times New Roman" w:hAnsi="PT Astra Serif" w:cs="Times New Roman"/>
          <w:szCs w:val="28"/>
        </w:rPr>
        <w:t xml:space="preserve">с предыдущим 2024 годом </w:t>
      </w:r>
      <w:r w:rsidRPr="00F42725">
        <w:rPr>
          <w:rFonts w:ascii="PT Astra Serif" w:eastAsia="Times New Roman" w:hAnsi="PT Astra Serif" w:cs="Times New Roman"/>
          <w:b/>
          <w:szCs w:val="28"/>
        </w:rPr>
        <w:t>24</w:t>
      </w:r>
      <w:r>
        <w:rPr>
          <w:rFonts w:ascii="PT Astra Serif" w:eastAsia="Times New Roman" w:hAnsi="PT Astra Serif" w:cs="Times New Roman"/>
          <w:b/>
          <w:szCs w:val="28"/>
        </w:rPr>
        <w:t> </w:t>
      </w:r>
      <w:r w:rsidRPr="00F42725">
        <w:rPr>
          <w:rFonts w:ascii="PT Astra Serif" w:eastAsia="Times New Roman" w:hAnsi="PT Astra Serif" w:cs="Times New Roman"/>
          <w:b/>
          <w:szCs w:val="28"/>
        </w:rPr>
        <w:t>108 273,6</w:t>
      </w:r>
      <w:r w:rsidRPr="00F42725">
        <w:rPr>
          <w:rFonts w:eastAsia="Times New Roman" w:cs="Times New Roman"/>
          <w:b/>
          <w:szCs w:val="28"/>
        </w:rPr>
        <w:t> </w:t>
      </w:r>
      <w:r w:rsidRPr="00F42725">
        <w:rPr>
          <w:rFonts w:ascii="PT Astra Serif" w:eastAsia="Times New Roman" w:hAnsi="PT Astra Serif" w:cs="PT Astra Serif"/>
          <w:b/>
          <w:szCs w:val="28"/>
        </w:rPr>
        <w:t>тыс</w:t>
      </w:r>
      <w:r w:rsidRPr="00F42725">
        <w:rPr>
          <w:rFonts w:ascii="PT Astra Serif" w:eastAsia="Times New Roman" w:hAnsi="PT Astra Serif" w:cs="Times New Roman"/>
          <w:b/>
          <w:szCs w:val="28"/>
        </w:rPr>
        <w:t>.</w:t>
      </w:r>
      <w:r w:rsidRPr="00F42725">
        <w:rPr>
          <w:rFonts w:eastAsia="Times New Roman" w:cs="Times New Roman"/>
          <w:b/>
          <w:szCs w:val="28"/>
        </w:rPr>
        <w:t> </w:t>
      </w:r>
      <w:r w:rsidRPr="00F42725">
        <w:rPr>
          <w:rFonts w:ascii="PT Astra Serif" w:eastAsia="Times New Roman" w:hAnsi="PT Astra Serif" w:cs="PT Astra Serif"/>
          <w:b/>
          <w:szCs w:val="28"/>
        </w:rPr>
        <w:t>рублей</w:t>
      </w:r>
      <w:r w:rsidRPr="00F42725">
        <w:rPr>
          <w:rFonts w:ascii="PT Astra Serif" w:eastAsia="Times New Roman" w:hAnsi="PT Astra Serif" w:cs="Times New Roman"/>
          <w:szCs w:val="28"/>
        </w:rPr>
        <w:t xml:space="preserve"> из них:</w:t>
      </w:r>
    </w:p>
    <w:p w14:paraId="53513FE9" w14:textId="77777777" w:rsidR="00C548A9" w:rsidRPr="00F42725" w:rsidRDefault="00C548A9" w:rsidP="00C548A9">
      <w:pPr>
        <w:widowControl w:val="0"/>
        <w:shd w:val="clear" w:color="auto" w:fill="FFFFFF"/>
        <w:ind w:firstLine="720"/>
        <w:rPr>
          <w:rFonts w:ascii="PT Astra Serif" w:eastAsia="Times New Roman" w:hAnsi="PT Astra Serif" w:cs="Times New Roman"/>
          <w:b/>
          <w:szCs w:val="28"/>
        </w:rPr>
      </w:pPr>
      <w:r w:rsidRPr="00F42725">
        <w:rPr>
          <w:rFonts w:ascii="PT Astra Serif" w:eastAsia="Times New Roman" w:hAnsi="PT Astra Serif" w:cs="Times New Roman"/>
          <w:b/>
          <w:szCs w:val="28"/>
        </w:rPr>
        <w:t>21</w:t>
      </w:r>
      <w:r>
        <w:rPr>
          <w:rFonts w:ascii="PT Astra Serif" w:eastAsia="Times New Roman" w:hAnsi="PT Astra Serif" w:cs="Times New Roman"/>
          <w:b/>
          <w:szCs w:val="28"/>
        </w:rPr>
        <w:t> </w:t>
      </w:r>
      <w:r w:rsidRPr="00F42725">
        <w:rPr>
          <w:rFonts w:ascii="PT Astra Serif" w:eastAsia="Times New Roman" w:hAnsi="PT Astra Serif" w:cs="Times New Roman"/>
          <w:b/>
          <w:szCs w:val="28"/>
        </w:rPr>
        <w:t>129</w:t>
      </w:r>
      <w:r>
        <w:rPr>
          <w:rFonts w:ascii="PT Astra Serif" w:eastAsia="Times New Roman" w:hAnsi="PT Astra Serif" w:cs="Times New Roman"/>
          <w:b/>
          <w:szCs w:val="28"/>
        </w:rPr>
        <w:t> </w:t>
      </w:r>
      <w:r w:rsidRPr="00F42725">
        <w:rPr>
          <w:rFonts w:ascii="PT Astra Serif" w:eastAsia="Times New Roman" w:hAnsi="PT Astra Serif" w:cs="Times New Roman"/>
          <w:b/>
          <w:szCs w:val="28"/>
        </w:rPr>
        <w:t>980,3 тыс. рублей средства областного бюджета;</w:t>
      </w:r>
    </w:p>
    <w:p w14:paraId="6F0DA1B6" w14:textId="77777777" w:rsidR="00C548A9" w:rsidRPr="00F42725" w:rsidRDefault="00C548A9" w:rsidP="00C548A9">
      <w:pPr>
        <w:widowControl w:val="0"/>
        <w:shd w:val="clear" w:color="auto" w:fill="FFFFFF"/>
        <w:ind w:firstLine="720"/>
        <w:rPr>
          <w:rFonts w:ascii="PT Astra Serif" w:eastAsia="Times New Roman" w:hAnsi="PT Astra Serif" w:cs="Times New Roman"/>
          <w:szCs w:val="28"/>
        </w:rPr>
      </w:pPr>
      <w:r w:rsidRPr="00F42725">
        <w:rPr>
          <w:rFonts w:ascii="PT Astra Serif" w:eastAsia="Times New Roman" w:hAnsi="PT Astra Serif" w:cs="Times New Roman"/>
          <w:b/>
          <w:szCs w:val="28"/>
        </w:rPr>
        <w:t>2</w:t>
      </w:r>
      <w:r>
        <w:rPr>
          <w:rFonts w:ascii="PT Astra Serif" w:eastAsia="Times New Roman" w:hAnsi="PT Astra Serif" w:cs="Times New Roman"/>
          <w:b/>
          <w:szCs w:val="28"/>
        </w:rPr>
        <w:t> </w:t>
      </w:r>
      <w:r w:rsidRPr="00F42725">
        <w:rPr>
          <w:rFonts w:ascii="PT Astra Serif" w:eastAsia="Times New Roman" w:hAnsi="PT Astra Serif" w:cs="Times New Roman"/>
          <w:b/>
          <w:szCs w:val="28"/>
        </w:rPr>
        <w:t>978 293,4 тыс. рублей средства федерального бюджета</w:t>
      </w:r>
      <w:r w:rsidRPr="00F42725">
        <w:rPr>
          <w:rFonts w:ascii="PT Astra Serif" w:eastAsia="Times New Roman" w:hAnsi="PT Astra Serif" w:cs="Times New Roman"/>
          <w:szCs w:val="28"/>
        </w:rPr>
        <w:t>.</w:t>
      </w:r>
    </w:p>
    <w:p w14:paraId="7901BBAC" w14:textId="77777777" w:rsidR="00C548A9" w:rsidRPr="00F660A1" w:rsidRDefault="00C548A9" w:rsidP="00C548A9">
      <w:pPr>
        <w:widowControl w:val="0"/>
        <w:shd w:val="clear" w:color="auto" w:fill="FFFFFF"/>
        <w:ind w:firstLine="720"/>
        <w:rPr>
          <w:rFonts w:ascii="PT Astra Serif" w:eastAsia="Times New Roman" w:hAnsi="PT Astra Serif" w:cs="Times New Roman"/>
          <w:spacing w:val="-18"/>
          <w:szCs w:val="28"/>
        </w:rPr>
      </w:pPr>
      <w:r w:rsidRPr="00F42725">
        <w:rPr>
          <w:rFonts w:ascii="PT Astra Serif" w:eastAsia="Times New Roman" w:hAnsi="PT Astra Serif" w:cs="Times New Roman"/>
          <w:b/>
          <w:bCs/>
          <w:szCs w:val="28"/>
        </w:rPr>
        <w:t>Основная часть</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 xml:space="preserve">средств областного бюджета </w:t>
      </w:r>
      <w:r>
        <w:rPr>
          <w:rFonts w:ascii="PT Astra Serif" w:eastAsia="Times New Roman" w:hAnsi="PT Astra Serif" w:cs="Times New Roman"/>
          <w:b/>
          <w:bCs/>
          <w:szCs w:val="28"/>
        </w:rPr>
        <w:t xml:space="preserve">в 2025 году </w:t>
      </w:r>
      <w:r w:rsidRPr="00F660A1">
        <w:rPr>
          <w:rFonts w:ascii="PT Astra Serif" w:eastAsia="Times New Roman" w:hAnsi="PT Astra Serif" w:cs="Times New Roman"/>
          <w:spacing w:val="-19"/>
          <w:szCs w:val="28"/>
        </w:rPr>
        <w:t xml:space="preserve">направлена </w:t>
      </w:r>
      <w:r w:rsidRPr="00F660A1">
        <w:rPr>
          <w:rFonts w:ascii="PT Astra Serif" w:eastAsia="Times New Roman" w:hAnsi="PT Astra Serif" w:cs="Times New Roman"/>
          <w:b/>
          <w:bCs/>
          <w:spacing w:val="-19"/>
          <w:szCs w:val="28"/>
        </w:rPr>
        <w:t>на</w:t>
      </w:r>
      <w:r w:rsidRPr="00F660A1">
        <w:rPr>
          <w:rFonts w:ascii="PT Astra Serif" w:eastAsia="Times New Roman" w:hAnsi="PT Astra Serif" w:cs="Times New Roman"/>
          <w:b/>
          <w:bCs/>
          <w:spacing w:val="-18"/>
          <w:szCs w:val="28"/>
        </w:rPr>
        <w:t>:</w:t>
      </w:r>
    </w:p>
    <w:p w14:paraId="5289BFBA" w14:textId="77777777" w:rsidR="00C548A9" w:rsidRPr="00F42725" w:rsidRDefault="00C548A9" w:rsidP="00C548A9">
      <w:pPr>
        <w:widowControl w:val="0"/>
        <w:shd w:val="clear" w:color="auto" w:fill="FFFFFF"/>
        <w:ind w:firstLine="720"/>
        <w:rPr>
          <w:rFonts w:ascii="PT Astra Serif" w:eastAsia="Times New Roman" w:hAnsi="PT Astra Serif" w:cs="Times New Roman"/>
          <w:bCs/>
          <w:szCs w:val="28"/>
        </w:rPr>
      </w:pPr>
      <w:r w:rsidRPr="00F42725">
        <w:rPr>
          <w:rFonts w:ascii="PT Astra Serif" w:eastAsia="Times New Roman" w:hAnsi="PT Astra Serif" w:cs="Times New Roman"/>
          <w:bCs/>
          <w:szCs w:val="28"/>
        </w:rPr>
        <w:t>заработную плату работникам организаций 20 864 991,64 тыс. рублей или 78,1%, в том числе:</w:t>
      </w:r>
    </w:p>
    <w:p w14:paraId="098D215C" w14:textId="77777777" w:rsidR="00C548A9" w:rsidRPr="00F42725" w:rsidRDefault="00C548A9" w:rsidP="00C548A9">
      <w:pPr>
        <w:widowControl w:val="0"/>
        <w:shd w:val="clear" w:color="auto" w:fill="FFFFFF"/>
        <w:ind w:firstLine="720"/>
        <w:rPr>
          <w:rFonts w:ascii="PT Astra Serif" w:eastAsia="Times New Roman" w:hAnsi="PT Astra Serif" w:cs="Times New Roman"/>
          <w:bCs/>
          <w:szCs w:val="28"/>
        </w:rPr>
      </w:pPr>
      <w:r w:rsidRPr="00F42725">
        <w:rPr>
          <w:rFonts w:ascii="PT Astra Serif" w:eastAsia="Times New Roman" w:hAnsi="PT Astra Serif" w:cs="Times New Roman"/>
          <w:bCs/>
          <w:szCs w:val="28"/>
        </w:rPr>
        <w:t xml:space="preserve">субвенции (дошкольное образование) – 5 935 696,3 тыс. рублей; </w:t>
      </w:r>
    </w:p>
    <w:p w14:paraId="06457149" w14:textId="77777777" w:rsidR="00C548A9" w:rsidRPr="00F42725" w:rsidRDefault="00C548A9" w:rsidP="00C548A9">
      <w:pPr>
        <w:widowControl w:val="0"/>
        <w:shd w:val="clear" w:color="auto" w:fill="FFFFFF"/>
        <w:ind w:firstLine="720"/>
        <w:rPr>
          <w:rFonts w:ascii="PT Astra Serif" w:eastAsia="Times New Roman" w:hAnsi="PT Astra Serif" w:cs="Times New Roman"/>
          <w:bCs/>
          <w:szCs w:val="28"/>
        </w:rPr>
      </w:pPr>
      <w:r w:rsidRPr="00F42725">
        <w:rPr>
          <w:rFonts w:ascii="PT Astra Serif" w:eastAsia="Times New Roman" w:hAnsi="PT Astra Serif" w:cs="Times New Roman"/>
          <w:bCs/>
          <w:szCs w:val="28"/>
        </w:rPr>
        <w:t xml:space="preserve">субвенции (общее образование) – 11 236 113,1 тыс. рублей; подведомственная сеть – 3 693 182,24 тыс. рублей. </w:t>
      </w:r>
    </w:p>
    <w:p w14:paraId="3117AD1A" w14:textId="77777777" w:rsidR="00C548A9" w:rsidRPr="00F42725" w:rsidRDefault="00C548A9" w:rsidP="00C548A9">
      <w:pPr>
        <w:widowControl w:val="0"/>
        <w:shd w:val="clear" w:color="auto" w:fill="FFFFFF"/>
        <w:ind w:firstLine="720"/>
        <w:rPr>
          <w:rFonts w:ascii="PT Astra Serif" w:eastAsia="Times New Roman" w:hAnsi="PT Astra Serif" w:cs="Times New Roman"/>
          <w:b/>
          <w:bCs/>
          <w:szCs w:val="28"/>
        </w:rPr>
      </w:pPr>
      <w:r w:rsidRPr="00F42725">
        <w:rPr>
          <w:rFonts w:ascii="PT Astra Serif" w:eastAsia="Times New Roman" w:hAnsi="PT Astra Serif" w:cs="Times New Roman"/>
          <w:bCs/>
          <w:szCs w:val="28"/>
        </w:rPr>
        <w:t>реализацию 4 региональных проектов: «Все лучшее детям», «Педагоги и наставники», «Поддержка семьи», «Профессионалитет» –</w:t>
      </w:r>
      <w:r w:rsidRPr="00F42725">
        <w:rPr>
          <w:rFonts w:ascii="PT Astra Serif" w:eastAsia="Times New Roman" w:hAnsi="PT Astra Serif" w:cs="Times New Roman"/>
          <w:b/>
          <w:bCs/>
          <w:szCs w:val="28"/>
        </w:rPr>
        <w:t xml:space="preserve"> 2</w:t>
      </w:r>
      <w:r>
        <w:rPr>
          <w:rFonts w:ascii="PT Astra Serif" w:eastAsia="Times New Roman" w:hAnsi="PT Astra Serif" w:cs="Times New Roman"/>
          <w:b/>
          <w:bCs/>
          <w:szCs w:val="28"/>
        </w:rPr>
        <w:t> </w:t>
      </w:r>
      <w:r w:rsidRPr="00F42725">
        <w:rPr>
          <w:rFonts w:ascii="PT Astra Serif" w:eastAsia="Times New Roman" w:hAnsi="PT Astra Serif" w:cs="Times New Roman"/>
          <w:b/>
          <w:bCs/>
          <w:szCs w:val="28"/>
        </w:rPr>
        <w:t>588</w:t>
      </w:r>
      <w:r>
        <w:rPr>
          <w:rFonts w:ascii="PT Astra Serif" w:eastAsia="Times New Roman" w:hAnsi="PT Astra Serif" w:cs="Times New Roman"/>
          <w:b/>
          <w:bCs/>
          <w:szCs w:val="28"/>
        </w:rPr>
        <w:t> </w:t>
      </w:r>
      <w:r w:rsidRPr="00F42725">
        <w:rPr>
          <w:rFonts w:ascii="PT Astra Serif" w:eastAsia="Times New Roman" w:hAnsi="PT Astra Serif" w:cs="Times New Roman"/>
          <w:b/>
          <w:bCs/>
          <w:szCs w:val="28"/>
        </w:rPr>
        <w:t>668,1 тыс. рублей, из них:</w:t>
      </w:r>
    </w:p>
    <w:p w14:paraId="74587F08" w14:textId="77777777" w:rsidR="00C548A9" w:rsidRPr="00F42725" w:rsidRDefault="00C548A9" w:rsidP="00C548A9">
      <w:pPr>
        <w:widowControl w:val="0"/>
        <w:shd w:val="clear" w:color="auto" w:fill="FFFFFF"/>
        <w:ind w:firstLine="720"/>
        <w:rPr>
          <w:rFonts w:ascii="PT Astra Serif" w:eastAsia="Times New Roman" w:hAnsi="PT Astra Serif" w:cs="Times New Roman"/>
          <w:bCs/>
          <w:szCs w:val="28"/>
        </w:rPr>
      </w:pPr>
      <w:r w:rsidRPr="00F42725">
        <w:rPr>
          <w:rFonts w:ascii="PT Astra Serif" w:eastAsia="Times New Roman" w:hAnsi="PT Astra Serif" w:cs="Times New Roman"/>
          <w:b/>
          <w:bCs/>
          <w:szCs w:val="28"/>
        </w:rPr>
        <w:t>2</w:t>
      </w:r>
      <w:r>
        <w:rPr>
          <w:rFonts w:ascii="PT Astra Serif" w:eastAsia="Times New Roman" w:hAnsi="PT Astra Serif" w:cs="Times New Roman"/>
          <w:b/>
          <w:bCs/>
          <w:szCs w:val="28"/>
        </w:rPr>
        <w:t> </w:t>
      </w:r>
      <w:r w:rsidRPr="00F42725">
        <w:rPr>
          <w:rFonts w:ascii="PT Astra Serif" w:eastAsia="Times New Roman" w:hAnsi="PT Astra Serif" w:cs="Times New Roman"/>
          <w:b/>
          <w:bCs/>
          <w:szCs w:val="28"/>
        </w:rPr>
        <w:t>261</w:t>
      </w:r>
      <w:r>
        <w:rPr>
          <w:rFonts w:ascii="PT Astra Serif" w:eastAsia="Times New Roman" w:hAnsi="PT Astra Serif" w:cs="Times New Roman"/>
          <w:b/>
          <w:bCs/>
          <w:szCs w:val="28"/>
        </w:rPr>
        <w:t> </w:t>
      </w:r>
      <w:r w:rsidRPr="00F42725">
        <w:rPr>
          <w:rFonts w:ascii="PT Astra Serif" w:eastAsia="Times New Roman" w:hAnsi="PT Astra Serif" w:cs="Times New Roman"/>
          <w:b/>
          <w:bCs/>
          <w:szCs w:val="28"/>
        </w:rPr>
        <w:t xml:space="preserve">843,8 тыс. рублей </w:t>
      </w:r>
      <w:r w:rsidRPr="00F42725">
        <w:rPr>
          <w:rFonts w:ascii="PT Astra Serif" w:eastAsia="Times New Roman" w:hAnsi="PT Astra Serif" w:cs="Times New Roman"/>
          <w:szCs w:val="28"/>
        </w:rPr>
        <w:t>средства федерального бюджета;</w:t>
      </w:r>
    </w:p>
    <w:p w14:paraId="020E45C7" w14:textId="77777777" w:rsidR="00C548A9" w:rsidRPr="00F42725" w:rsidRDefault="00C548A9" w:rsidP="00C548A9">
      <w:pPr>
        <w:widowControl w:val="0"/>
        <w:shd w:val="clear" w:color="auto" w:fill="FFFFFF"/>
        <w:ind w:firstLine="720"/>
        <w:rPr>
          <w:rFonts w:ascii="PT Astra Serif" w:eastAsia="Times New Roman" w:hAnsi="PT Astra Serif" w:cs="Times New Roman"/>
          <w:szCs w:val="28"/>
        </w:rPr>
      </w:pPr>
      <w:r w:rsidRPr="00F42725">
        <w:rPr>
          <w:rFonts w:ascii="PT Astra Serif" w:eastAsia="Times New Roman" w:hAnsi="PT Astra Serif" w:cs="Times New Roman"/>
          <w:b/>
          <w:bCs/>
          <w:szCs w:val="28"/>
        </w:rPr>
        <w:t>326</w:t>
      </w:r>
      <w:r>
        <w:rPr>
          <w:rFonts w:ascii="PT Astra Serif" w:eastAsia="Times New Roman" w:hAnsi="PT Astra Serif" w:cs="Times New Roman"/>
          <w:b/>
          <w:bCs/>
          <w:szCs w:val="28"/>
        </w:rPr>
        <w:t> </w:t>
      </w:r>
      <w:r w:rsidRPr="00F42725">
        <w:rPr>
          <w:rFonts w:ascii="PT Astra Serif" w:eastAsia="Times New Roman" w:hAnsi="PT Astra Serif" w:cs="Times New Roman"/>
          <w:b/>
          <w:bCs/>
          <w:szCs w:val="28"/>
        </w:rPr>
        <w:t xml:space="preserve">824,3 тыс. рублей </w:t>
      </w:r>
      <w:r w:rsidRPr="00F42725">
        <w:rPr>
          <w:rFonts w:ascii="PT Astra Serif" w:eastAsia="Times New Roman" w:hAnsi="PT Astra Serif" w:cs="Times New Roman"/>
          <w:szCs w:val="28"/>
        </w:rPr>
        <w:t>средства областного бюджета.</w:t>
      </w:r>
    </w:p>
    <w:p w14:paraId="78979E1C" w14:textId="77777777" w:rsidR="00C548A9" w:rsidRDefault="00C548A9" w:rsidP="00C548A9">
      <w:pPr>
        <w:widowControl w:val="0"/>
        <w:shd w:val="clear" w:color="auto" w:fill="FFFFFF"/>
        <w:rPr>
          <w:rFonts w:ascii="PT Astra Serif" w:eastAsia="Times New Roman" w:hAnsi="PT Astra Serif" w:cs="Times New Roman"/>
          <w:szCs w:val="28"/>
        </w:rPr>
      </w:pPr>
    </w:p>
    <w:p w14:paraId="6B998890" w14:textId="77777777" w:rsidR="00C548A9" w:rsidRPr="007E4A3E" w:rsidRDefault="00C548A9" w:rsidP="00C23BDD">
      <w:pPr>
        <w:widowControl w:val="0"/>
        <w:shd w:val="clear" w:color="auto" w:fill="FFFFFF"/>
        <w:ind w:firstLine="0"/>
        <w:jc w:val="center"/>
        <w:rPr>
          <w:rFonts w:ascii="PT Astra Serif" w:eastAsia="Times New Roman" w:hAnsi="PT Astra Serif" w:cs="Times New Roman"/>
          <w:b/>
          <w:szCs w:val="28"/>
        </w:rPr>
      </w:pPr>
      <w:r w:rsidRPr="007E4A3E">
        <w:rPr>
          <w:rFonts w:ascii="PT Astra Serif" w:eastAsia="Times New Roman" w:hAnsi="PT Astra Serif" w:cs="Times New Roman"/>
          <w:b/>
          <w:szCs w:val="28"/>
        </w:rPr>
        <w:t>Итоги 2025 года</w:t>
      </w:r>
    </w:p>
    <w:p w14:paraId="7C18FEE9" w14:textId="77777777" w:rsidR="00C548A9" w:rsidRPr="00F42725" w:rsidRDefault="00C548A9" w:rsidP="00C23BDD">
      <w:pPr>
        <w:widowControl w:val="0"/>
        <w:shd w:val="clear" w:color="auto" w:fill="FFFFFF"/>
        <w:ind w:firstLine="0"/>
        <w:rPr>
          <w:rFonts w:ascii="PT Astra Serif" w:eastAsia="Times New Roman" w:hAnsi="PT Astra Serif" w:cs="Times New Roman"/>
          <w:szCs w:val="28"/>
        </w:rPr>
      </w:pPr>
    </w:p>
    <w:p w14:paraId="65F8218F" w14:textId="687FBC21" w:rsidR="00C548A9" w:rsidRDefault="00C548A9" w:rsidP="00C23BDD">
      <w:pPr>
        <w:widowControl w:val="0"/>
        <w:ind w:firstLine="0"/>
        <w:jc w:val="center"/>
        <w:rPr>
          <w:rFonts w:ascii="PT Astra Serif" w:hAnsi="PT Astra Serif" w:cs="Times New Roman"/>
          <w:b/>
          <w:i/>
          <w:szCs w:val="28"/>
        </w:rPr>
      </w:pPr>
      <w:bookmarkStart w:id="3" w:name="_Toc65489092"/>
      <w:r w:rsidRPr="006F0D78">
        <w:rPr>
          <w:rFonts w:ascii="PT Astra Serif" w:hAnsi="PT Astra Serif" w:cs="Times New Roman"/>
          <w:b/>
          <w:i/>
          <w:szCs w:val="28"/>
        </w:rPr>
        <w:t>Заработная плата педагогических работников</w:t>
      </w:r>
      <w:bookmarkEnd w:id="3"/>
    </w:p>
    <w:p w14:paraId="07612325" w14:textId="77777777" w:rsidR="00F660A1" w:rsidRPr="006F0D78" w:rsidRDefault="00F660A1" w:rsidP="00C23BDD">
      <w:pPr>
        <w:widowControl w:val="0"/>
        <w:ind w:firstLine="0"/>
        <w:jc w:val="center"/>
        <w:rPr>
          <w:rFonts w:ascii="PT Astra Serif" w:hAnsi="PT Astra Serif" w:cs="Times New Roman"/>
          <w:b/>
          <w:i/>
          <w:szCs w:val="28"/>
        </w:rPr>
      </w:pPr>
    </w:p>
    <w:p w14:paraId="70909A6D" w14:textId="356BF699" w:rsidR="00C548A9" w:rsidRPr="00F42725" w:rsidRDefault="00C548A9" w:rsidP="00C548A9">
      <w:pPr>
        <w:widowControl w:val="0"/>
        <w:rPr>
          <w:rFonts w:ascii="PT Astra Serif" w:hAnsi="PT Astra Serif" w:cs="Times New Roman"/>
          <w:szCs w:val="28"/>
        </w:rPr>
      </w:pPr>
      <w:r w:rsidRPr="00F42725">
        <w:rPr>
          <w:rFonts w:ascii="PT Astra Serif" w:hAnsi="PT Astra Serif" w:cs="Times New Roman"/>
          <w:szCs w:val="28"/>
        </w:rPr>
        <w:t xml:space="preserve">Одним из основных вопросов в отрасли Образование остаётся заработная плата педагогических работников. С целью повышения престижа </w:t>
      </w:r>
      <w:r w:rsidRPr="00F42725">
        <w:rPr>
          <w:rFonts w:ascii="PT Astra Serif" w:hAnsi="PT Astra Serif" w:cs="Times New Roman"/>
          <w:szCs w:val="28"/>
        </w:rPr>
        <w:lastRenderedPageBreak/>
        <w:t>профессии продолж</w:t>
      </w:r>
      <w:r>
        <w:rPr>
          <w:rFonts w:ascii="PT Astra Serif" w:hAnsi="PT Astra Serif" w:cs="Times New Roman"/>
          <w:szCs w:val="28"/>
        </w:rPr>
        <w:t>ается</w:t>
      </w:r>
      <w:r w:rsidRPr="00F42725">
        <w:rPr>
          <w:rFonts w:ascii="PT Astra Serif" w:hAnsi="PT Astra Serif" w:cs="Times New Roman"/>
          <w:szCs w:val="28"/>
        </w:rPr>
        <w:t xml:space="preserve"> реш</w:t>
      </w:r>
      <w:r>
        <w:rPr>
          <w:rFonts w:ascii="PT Astra Serif" w:hAnsi="PT Astra Serif" w:cs="Times New Roman"/>
          <w:szCs w:val="28"/>
        </w:rPr>
        <w:t>ение</w:t>
      </w:r>
      <w:r w:rsidRPr="00F42725">
        <w:rPr>
          <w:rFonts w:ascii="PT Astra Serif" w:hAnsi="PT Astra Serif" w:cs="Times New Roman"/>
          <w:szCs w:val="28"/>
        </w:rPr>
        <w:t xml:space="preserve"> задач</w:t>
      </w:r>
      <w:r>
        <w:rPr>
          <w:rFonts w:ascii="PT Astra Serif" w:hAnsi="PT Astra Serif" w:cs="Times New Roman"/>
          <w:szCs w:val="28"/>
        </w:rPr>
        <w:t>и</w:t>
      </w:r>
      <w:r w:rsidRPr="00F42725">
        <w:rPr>
          <w:rFonts w:ascii="PT Astra Serif" w:hAnsi="PT Astra Serif" w:cs="Times New Roman"/>
          <w:szCs w:val="28"/>
        </w:rPr>
        <w:t xml:space="preserve"> по повышению заработной платы педагогическим работникам. На данные цели в 2025 году направлено 4</w:t>
      </w:r>
      <w:r>
        <w:rPr>
          <w:rFonts w:ascii="PT Astra Serif" w:hAnsi="PT Astra Serif" w:cs="Times New Roman"/>
          <w:szCs w:val="28"/>
        </w:rPr>
        <w:t> </w:t>
      </w:r>
      <w:r w:rsidRPr="00F42725">
        <w:rPr>
          <w:rFonts w:ascii="PT Astra Serif" w:hAnsi="PT Astra Serif" w:cs="Times New Roman"/>
          <w:szCs w:val="28"/>
        </w:rPr>
        <w:t>240,8 млн. рублей с учётом повышения заработной платы с 01.09.2024</w:t>
      </w:r>
      <w:r w:rsidR="00B5198B">
        <w:rPr>
          <w:rFonts w:ascii="PT Astra Serif" w:hAnsi="PT Astra Serif" w:cs="Times New Roman"/>
          <w:szCs w:val="28"/>
        </w:rPr>
        <w:t xml:space="preserve"> года</w:t>
      </w:r>
      <w:r w:rsidRPr="00F42725">
        <w:rPr>
          <w:rFonts w:ascii="PT Astra Serif" w:hAnsi="PT Astra Serif" w:cs="Times New Roman"/>
          <w:szCs w:val="28"/>
        </w:rPr>
        <w:t xml:space="preserve"> педагогическим работникам школ (на 49,0%), дошкольных учреждений (на 45,5%), организаций дополнительного образования детей (на 43,0%), а также преподавателям и мастерам производственного обучения организаций профессионального образования (на 60 %), что позволило выполнить Указы Президента </w:t>
      </w:r>
      <w:r w:rsidR="000E054B">
        <w:rPr>
          <w:rFonts w:ascii="PT Astra Serif" w:hAnsi="PT Astra Serif" w:cs="Times New Roman"/>
          <w:szCs w:val="28"/>
        </w:rPr>
        <w:t xml:space="preserve">РФ </w:t>
      </w:r>
      <w:r w:rsidRPr="00F42725">
        <w:rPr>
          <w:rFonts w:ascii="PT Astra Serif" w:hAnsi="PT Astra Serif" w:cs="Times New Roman"/>
          <w:szCs w:val="28"/>
        </w:rPr>
        <w:t>по уровню средней заработной платы (в 2025 году – не менее 51</w:t>
      </w:r>
      <w:r>
        <w:rPr>
          <w:rFonts w:ascii="PT Astra Serif" w:hAnsi="PT Astra Serif" w:cs="Times New Roman"/>
          <w:szCs w:val="28"/>
        </w:rPr>
        <w:t> </w:t>
      </w:r>
      <w:r w:rsidRPr="00F42725">
        <w:rPr>
          <w:rFonts w:ascii="PT Astra Serif" w:hAnsi="PT Astra Serif" w:cs="Times New Roman"/>
          <w:szCs w:val="28"/>
        </w:rPr>
        <w:t xml:space="preserve">172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 средняя заработная плата по экономике региона). Это позвол</w:t>
      </w:r>
      <w:r>
        <w:rPr>
          <w:rFonts w:ascii="PT Astra Serif" w:hAnsi="PT Astra Serif" w:cs="Times New Roman"/>
          <w:szCs w:val="28"/>
        </w:rPr>
        <w:t>яет</w:t>
      </w:r>
      <w:r w:rsidRPr="00F42725">
        <w:rPr>
          <w:rFonts w:ascii="PT Astra Serif" w:hAnsi="PT Astra Serif" w:cs="Times New Roman"/>
          <w:szCs w:val="28"/>
        </w:rPr>
        <w:t xml:space="preserve"> не только повысить престиж педагогов, но и увеличи</w:t>
      </w:r>
      <w:r>
        <w:rPr>
          <w:rFonts w:ascii="PT Astra Serif" w:hAnsi="PT Astra Serif" w:cs="Times New Roman"/>
          <w:szCs w:val="28"/>
        </w:rPr>
        <w:t>вает</w:t>
      </w:r>
      <w:r w:rsidRPr="00F42725">
        <w:rPr>
          <w:rFonts w:ascii="PT Astra Serif" w:hAnsi="PT Astra Serif" w:cs="Times New Roman"/>
          <w:szCs w:val="28"/>
        </w:rPr>
        <w:t xml:space="preserve"> интерес молодёжи к педагогике и привлеч</w:t>
      </w:r>
      <w:r>
        <w:rPr>
          <w:rFonts w:ascii="PT Astra Serif" w:hAnsi="PT Astra Serif" w:cs="Times New Roman"/>
          <w:szCs w:val="28"/>
        </w:rPr>
        <w:t>ению</w:t>
      </w:r>
      <w:r w:rsidRPr="00F42725">
        <w:rPr>
          <w:rFonts w:ascii="PT Astra Serif" w:hAnsi="PT Astra Serif" w:cs="Times New Roman"/>
          <w:szCs w:val="28"/>
        </w:rPr>
        <w:t xml:space="preserve"> в профессию «Учитель».</w:t>
      </w:r>
    </w:p>
    <w:p w14:paraId="76813883" w14:textId="77777777" w:rsidR="00C548A9" w:rsidRPr="00F42725" w:rsidRDefault="00C548A9" w:rsidP="00C548A9">
      <w:pPr>
        <w:widowControl w:val="0"/>
        <w:rPr>
          <w:rFonts w:ascii="PT Astra Serif" w:hAnsi="PT Astra Serif" w:cs="Times New Roman"/>
          <w:szCs w:val="28"/>
        </w:rPr>
      </w:pPr>
      <w:r w:rsidRPr="00F42725">
        <w:rPr>
          <w:rFonts w:ascii="PT Astra Serif" w:hAnsi="PT Astra Serif" w:cs="Times New Roman"/>
          <w:szCs w:val="28"/>
        </w:rPr>
        <w:t>Кроме того, с 01.12.2025 проведено повышение на 7,6% должностных окладов работников образовательных организаций, занимающих должности,</w:t>
      </w:r>
      <w:r>
        <w:rPr>
          <w:rFonts w:ascii="PT Astra Serif" w:hAnsi="PT Astra Serif" w:cs="Times New Roman"/>
          <w:szCs w:val="28"/>
        </w:rPr>
        <w:t xml:space="preserve"> </w:t>
      </w:r>
      <w:r w:rsidRPr="00F42725">
        <w:rPr>
          <w:rFonts w:ascii="PT Astra Serif" w:hAnsi="PT Astra Serif" w:cs="Times New Roman"/>
          <w:szCs w:val="28"/>
        </w:rPr>
        <w:t>не отнесённые к педагогическим.</w:t>
      </w:r>
    </w:p>
    <w:p w14:paraId="5661EF9A" w14:textId="77777777" w:rsidR="00C548A9" w:rsidRPr="00F42725" w:rsidRDefault="00C548A9" w:rsidP="00C548A9">
      <w:pPr>
        <w:widowControl w:val="0"/>
        <w:rPr>
          <w:rFonts w:ascii="PT Astra Serif" w:hAnsi="PT Astra Serif" w:cs="Times New Roman"/>
          <w:szCs w:val="28"/>
        </w:rPr>
      </w:pPr>
      <w:r w:rsidRPr="00F42725">
        <w:rPr>
          <w:rFonts w:ascii="PT Astra Serif" w:hAnsi="PT Astra Serif" w:cs="Times New Roman"/>
          <w:szCs w:val="28"/>
        </w:rPr>
        <w:t>Запланированные показатели уровня среднемесячной заработной платы педагогических работников образовательных организаций за 2025 год выполнены и соответствуют целевым значениям, установленным в указа</w:t>
      </w:r>
      <w:r>
        <w:rPr>
          <w:rFonts w:ascii="PT Astra Serif" w:hAnsi="PT Astra Serif" w:cs="Times New Roman"/>
          <w:szCs w:val="28"/>
        </w:rPr>
        <w:t>х Президента РФ от 07.05.2012 № </w:t>
      </w:r>
      <w:r w:rsidRPr="00F42725">
        <w:rPr>
          <w:rFonts w:ascii="PT Astra Serif" w:hAnsi="PT Astra Serif" w:cs="Times New Roman"/>
          <w:szCs w:val="28"/>
        </w:rPr>
        <w:t>597 и от 01.06.2012 №</w:t>
      </w:r>
      <w:r>
        <w:rPr>
          <w:rFonts w:ascii="PT Astra Serif" w:hAnsi="PT Astra Serif" w:cs="Times New Roman"/>
          <w:szCs w:val="28"/>
        </w:rPr>
        <w:t> </w:t>
      </w:r>
      <w:r w:rsidRPr="00F42725">
        <w:rPr>
          <w:rFonts w:ascii="PT Astra Serif" w:hAnsi="PT Astra Serif" w:cs="Times New Roman"/>
          <w:szCs w:val="28"/>
        </w:rPr>
        <w:t>761.</w:t>
      </w:r>
    </w:p>
    <w:p w14:paraId="090AF3BE" w14:textId="77777777" w:rsidR="00C548A9" w:rsidRDefault="00C548A9" w:rsidP="00C23BDD">
      <w:pPr>
        <w:widowControl w:val="0"/>
        <w:ind w:firstLine="0"/>
        <w:rPr>
          <w:rFonts w:ascii="PT Astra Serif" w:hAnsi="PT Astra Serif" w:cs="Times New Roman"/>
          <w:szCs w:val="28"/>
        </w:rPr>
      </w:pPr>
      <w:r w:rsidRPr="00F42725">
        <w:rPr>
          <w:rFonts w:ascii="PT Astra Serif" w:hAnsi="PT Astra Serif" w:cs="Times New Roman"/>
          <w:noProof/>
          <w:szCs w:val="28"/>
          <w:lang w:eastAsia="ru-RU"/>
        </w:rPr>
        <w:drawing>
          <wp:inline distT="0" distB="0" distL="0" distR="0" wp14:anchorId="49DA6603" wp14:editId="7E3BD28E">
            <wp:extent cx="5991148" cy="3144088"/>
            <wp:effectExtent l="0" t="0" r="0" b="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86D5D3E" w14:textId="77777777" w:rsidR="00A52819" w:rsidRPr="00F42725" w:rsidRDefault="00A52819" w:rsidP="00A52819">
      <w:pPr>
        <w:widowControl w:val="0"/>
        <w:rPr>
          <w:rFonts w:ascii="PT Astra Serif" w:hAnsi="PT Astra Serif" w:cs="Times New Roman"/>
          <w:szCs w:val="28"/>
        </w:rPr>
      </w:pPr>
      <w:r>
        <w:rPr>
          <w:rFonts w:ascii="PT Astra Serif" w:hAnsi="PT Astra Serif" w:cs="Times New Roman"/>
          <w:szCs w:val="28"/>
        </w:rPr>
        <w:t>За 2025 год</w:t>
      </w:r>
      <w:r w:rsidRPr="00F42725">
        <w:rPr>
          <w:rFonts w:ascii="PT Astra Serif" w:hAnsi="PT Astra Serif" w:cs="Times New Roman"/>
          <w:szCs w:val="28"/>
        </w:rPr>
        <w:t xml:space="preserve"> уровень среднемесячной заработной платы составил:</w:t>
      </w:r>
    </w:p>
    <w:p w14:paraId="469EF9E0" w14:textId="7FDF1E2A"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1. Педагогических работников общеобразовательных организаций 55</w:t>
      </w:r>
      <w:r>
        <w:rPr>
          <w:rFonts w:ascii="PT Astra Serif" w:hAnsi="PT Astra Serif" w:cs="Times New Roman"/>
          <w:szCs w:val="28"/>
        </w:rPr>
        <w:t> </w:t>
      </w:r>
      <w:r w:rsidRPr="00F42725">
        <w:rPr>
          <w:rFonts w:ascii="PT Astra Serif" w:hAnsi="PT Astra Serif" w:cs="Times New Roman"/>
          <w:szCs w:val="28"/>
        </w:rPr>
        <w:t xml:space="preserve">611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или 109% от уровня среднемесячного дохода по региону (51</w:t>
      </w:r>
      <w:r>
        <w:rPr>
          <w:rFonts w:ascii="PT Astra Serif" w:hAnsi="PT Astra Serif" w:cs="Times New Roman"/>
          <w:szCs w:val="28"/>
        </w:rPr>
        <w:t> </w:t>
      </w:r>
      <w:r w:rsidRPr="00F42725">
        <w:rPr>
          <w:rFonts w:ascii="PT Astra Serif" w:hAnsi="PT Astra Serif" w:cs="Times New Roman"/>
          <w:szCs w:val="28"/>
        </w:rPr>
        <w:t xml:space="preserve">172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5BE4E4DC" w14:textId="43F43EDB"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За период с 2020 года по 2025 год размер среднемесячной заработной платы педагогов школ в Ульяновской области увеличился на 90,5% (с 29</w:t>
      </w:r>
      <w:r>
        <w:rPr>
          <w:rFonts w:ascii="PT Astra Serif" w:hAnsi="PT Astra Serif" w:cs="Times New Roman"/>
          <w:szCs w:val="28"/>
        </w:rPr>
        <w:t> </w:t>
      </w:r>
      <w:r w:rsidRPr="00F42725">
        <w:rPr>
          <w:rFonts w:ascii="PT Astra Serif" w:hAnsi="PT Astra Serif" w:cs="Times New Roman"/>
          <w:szCs w:val="28"/>
        </w:rPr>
        <w:t xml:space="preserve">193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до 55</w:t>
      </w:r>
      <w:r>
        <w:rPr>
          <w:rFonts w:ascii="PT Astra Serif" w:hAnsi="PT Astra Serif" w:cs="Times New Roman"/>
          <w:szCs w:val="28"/>
        </w:rPr>
        <w:t> </w:t>
      </w:r>
      <w:r w:rsidRPr="00F42725">
        <w:rPr>
          <w:rFonts w:ascii="PT Astra Serif" w:hAnsi="PT Astra Serif" w:cs="Times New Roman"/>
          <w:szCs w:val="28"/>
        </w:rPr>
        <w:t xml:space="preserve">611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772CA7A2" w14:textId="28E68460"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2. Педагогических работников дошкольных образовательных организаций 54</w:t>
      </w:r>
      <w:r>
        <w:rPr>
          <w:rFonts w:ascii="PT Astra Serif" w:hAnsi="PT Astra Serif" w:cs="Times New Roman"/>
          <w:szCs w:val="28"/>
        </w:rPr>
        <w:t> </w:t>
      </w:r>
      <w:r w:rsidRPr="00F42725">
        <w:rPr>
          <w:rFonts w:ascii="PT Astra Serif" w:hAnsi="PT Astra Serif" w:cs="Times New Roman"/>
          <w:szCs w:val="28"/>
        </w:rPr>
        <w:t xml:space="preserve">137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или 110,8 % от значения средней заработной платы</w:t>
      </w:r>
      <w:r>
        <w:rPr>
          <w:rFonts w:ascii="PT Astra Serif" w:hAnsi="PT Astra Serif" w:cs="Times New Roman"/>
          <w:szCs w:val="28"/>
        </w:rPr>
        <w:br/>
      </w:r>
      <w:r w:rsidRPr="00F42725">
        <w:rPr>
          <w:rFonts w:ascii="PT Astra Serif" w:hAnsi="PT Astra Serif" w:cs="Times New Roman"/>
          <w:szCs w:val="28"/>
        </w:rPr>
        <w:t xml:space="preserve"> в сфере общего образования (48</w:t>
      </w:r>
      <w:r>
        <w:rPr>
          <w:rFonts w:ascii="PT Astra Serif" w:hAnsi="PT Astra Serif" w:cs="Times New Roman"/>
          <w:szCs w:val="28"/>
        </w:rPr>
        <w:t> </w:t>
      </w:r>
      <w:r w:rsidRPr="00F42725">
        <w:rPr>
          <w:rFonts w:ascii="PT Astra Serif" w:hAnsi="PT Astra Serif" w:cs="Times New Roman"/>
          <w:szCs w:val="28"/>
        </w:rPr>
        <w:t xml:space="preserve">864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0727D848" w14:textId="05E1D6C4"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 xml:space="preserve">За период с 2020 года по 2025 год размер среднемесячной заработной </w:t>
      </w:r>
      <w:r w:rsidRPr="00F42725">
        <w:rPr>
          <w:rFonts w:ascii="PT Astra Serif" w:hAnsi="PT Astra Serif" w:cs="Times New Roman"/>
          <w:szCs w:val="28"/>
        </w:rPr>
        <w:lastRenderedPageBreak/>
        <w:t>платы педагогов дошкольного образования в Ульяновской области увеличился на 107% (с 26</w:t>
      </w:r>
      <w:r>
        <w:rPr>
          <w:rFonts w:ascii="PT Astra Serif" w:hAnsi="PT Astra Serif" w:cs="Times New Roman"/>
          <w:szCs w:val="28"/>
        </w:rPr>
        <w:t> </w:t>
      </w:r>
      <w:r w:rsidRPr="00F42725">
        <w:rPr>
          <w:rFonts w:ascii="PT Astra Serif" w:hAnsi="PT Astra Serif" w:cs="Times New Roman"/>
          <w:szCs w:val="28"/>
        </w:rPr>
        <w:t xml:space="preserve">097 </w:t>
      </w:r>
      <w:r w:rsidR="00B5198B" w:rsidRPr="00F42725">
        <w:rPr>
          <w:rFonts w:ascii="PT Astra Serif" w:eastAsia="Times New Roman" w:hAnsi="PT Astra Serif" w:cs="Times New Roman"/>
          <w:bCs/>
          <w:szCs w:val="28"/>
        </w:rPr>
        <w:t>рублей</w:t>
      </w:r>
      <w:r w:rsidR="00B5198B" w:rsidRPr="00F42725">
        <w:rPr>
          <w:rFonts w:ascii="PT Astra Serif" w:hAnsi="PT Astra Serif" w:cs="Times New Roman"/>
          <w:szCs w:val="28"/>
        </w:rPr>
        <w:t xml:space="preserve"> </w:t>
      </w:r>
      <w:r w:rsidRPr="00F42725">
        <w:rPr>
          <w:rFonts w:ascii="PT Astra Serif" w:hAnsi="PT Astra Serif" w:cs="Times New Roman"/>
          <w:szCs w:val="28"/>
        </w:rPr>
        <w:t>до 54</w:t>
      </w:r>
      <w:r>
        <w:rPr>
          <w:rFonts w:ascii="PT Astra Serif" w:hAnsi="PT Astra Serif" w:cs="Times New Roman"/>
          <w:szCs w:val="28"/>
        </w:rPr>
        <w:t> </w:t>
      </w:r>
      <w:r w:rsidRPr="00F42725">
        <w:rPr>
          <w:rFonts w:ascii="PT Astra Serif" w:hAnsi="PT Astra Serif" w:cs="Times New Roman"/>
          <w:szCs w:val="28"/>
        </w:rPr>
        <w:t xml:space="preserve">137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1EA10153" w14:textId="622FAAF0"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3. Педагогических работников организаций дополнительного образования 53</w:t>
      </w:r>
      <w:r>
        <w:rPr>
          <w:rFonts w:ascii="PT Astra Serif" w:hAnsi="PT Astra Serif" w:cs="Times New Roman"/>
          <w:szCs w:val="28"/>
        </w:rPr>
        <w:t xml:space="preserve"> 385 </w:t>
      </w:r>
      <w:r w:rsidR="00B5198B" w:rsidRPr="00F42725">
        <w:rPr>
          <w:rFonts w:ascii="PT Astra Serif" w:eastAsia="Times New Roman" w:hAnsi="PT Astra Serif" w:cs="Times New Roman"/>
          <w:bCs/>
          <w:szCs w:val="28"/>
        </w:rPr>
        <w:t>рублей</w:t>
      </w:r>
      <w:r>
        <w:rPr>
          <w:rFonts w:ascii="PT Astra Serif" w:hAnsi="PT Astra Serif" w:cs="Times New Roman"/>
          <w:szCs w:val="28"/>
        </w:rPr>
        <w:t xml:space="preserve"> или 102,8</w:t>
      </w:r>
      <w:r w:rsidRPr="00F42725">
        <w:rPr>
          <w:rFonts w:ascii="PT Astra Serif" w:hAnsi="PT Astra Serif" w:cs="Times New Roman"/>
          <w:szCs w:val="28"/>
        </w:rPr>
        <w:t>% к значению средней заработной платы учителей (51</w:t>
      </w:r>
      <w:r>
        <w:rPr>
          <w:rFonts w:ascii="PT Astra Serif" w:hAnsi="PT Astra Serif" w:cs="Times New Roman"/>
          <w:szCs w:val="28"/>
        </w:rPr>
        <w:t> </w:t>
      </w:r>
      <w:r w:rsidRPr="00F42725">
        <w:rPr>
          <w:rFonts w:ascii="PT Astra Serif" w:hAnsi="PT Astra Serif" w:cs="Times New Roman"/>
          <w:szCs w:val="28"/>
        </w:rPr>
        <w:t xml:space="preserve">939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21BC855A" w14:textId="45147624"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За период с 2020 года по 2025 год размер среднемесячной заработной платы педагогов дополнительного образования в Ульяновской области увеличился на 94% (с 27</w:t>
      </w:r>
      <w:r>
        <w:rPr>
          <w:rFonts w:ascii="PT Astra Serif" w:hAnsi="PT Astra Serif" w:cs="Times New Roman"/>
          <w:szCs w:val="28"/>
        </w:rPr>
        <w:t> </w:t>
      </w:r>
      <w:r w:rsidRPr="00F42725">
        <w:rPr>
          <w:rFonts w:ascii="PT Astra Serif" w:hAnsi="PT Astra Serif" w:cs="Times New Roman"/>
          <w:szCs w:val="28"/>
        </w:rPr>
        <w:t>541 рубля до 53</w:t>
      </w:r>
      <w:r>
        <w:rPr>
          <w:rFonts w:ascii="PT Astra Serif" w:hAnsi="PT Astra Serif" w:cs="Times New Roman"/>
          <w:szCs w:val="28"/>
        </w:rPr>
        <w:t> </w:t>
      </w:r>
      <w:r w:rsidRPr="00F42725">
        <w:rPr>
          <w:rFonts w:ascii="PT Astra Serif" w:hAnsi="PT Astra Serif" w:cs="Times New Roman"/>
          <w:szCs w:val="28"/>
        </w:rPr>
        <w:t xml:space="preserve">385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58548A03" w14:textId="731B344E"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4. Преподавателей и мастеров производственного обучения профессиональных образовательных организаций 55</w:t>
      </w:r>
      <w:r>
        <w:rPr>
          <w:rFonts w:ascii="PT Astra Serif" w:hAnsi="PT Astra Serif" w:cs="Times New Roman"/>
          <w:szCs w:val="28"/>
        </w:rPr>
        <w:t> </w:t>
      </w:r>
      <w:r w:rsidRPr="00F42725">
        <w:rPr>
          <w:rFonts w:ascii="PT Astra Serif" w:hAnsi="PT Astra Serif" w:cs="Times New Roman"/>
          <w:szCs w:val="28"/>
        </w:rPr>
        <w:t xml:space="preserve">515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или 109% от уровня среднемесячного дохода по региону (51</w:t>
      </w:r>
      <w:r>
        <w:rPr>
          <w:rFonts w:ascii="PT Astra Serif" w:hAnsi="PT Astra Serif" w:cs="Times New Roman"/>
          <w:szCs w:val="28"/>
        </w:rPr>
        <w:t> </w:t>
      </w:r>
      <w:r w:rsidRPr="00F42725">
        <w:rPr>
          <w:rFonts w:ascii="PT Astra Serif" w:hAnsi="PT Astra Serif" w:cs="Times New Roman"/>
          <w:szCs w:val="28"/>
        </w:rPr>
        <w:t xml:space="preserve">172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3E3F7765" w14:textId="20845625" w:rsidR="00A52819" w:rsidRPr="00F42725" w:rsidRDefault="00A52819" w:rsidP="00A52819">
      <w:pPr>
        <w:widowControl w:val="0"/>
        <w:rPr>
          <w:rFonts w:ascii="PT Astra Serif" w:hAnsi="PT Astra Serif" w:cs="Times New Roman"/>
          <w:szCs w:val="28"/>
        </w:rPr>
      </w:pPr>
      <w:r w:rsidRPr="00F42725">
        <w:rPr>
          <w:rFonts w:ascii="PT Astra Serif" w:hAnsi="PT Astra Serif" w:cs="Times New Roman"/>
          <w:szCs w:val="28"/>
        </w:rPr>
        <w:t>За период с 2020 года по 2025 год размер среднемесячной заработной платы преподавателей и мастеров производственного обучения в Ульяновской области увеличился на 81% (с 30</w:t>
      </w:r>
      <w:r>
        <w:rPr>
          <w:rFonts w:ascii="PT Astra Serif" w:hAnsi="PT Astra Serif" w:cs="Times New Roman"/>
          <w:szCs w:val="28"/>
        </w:rPr>
        <w:t> </w:t>
      </w:r>
      <w:r w:rsidRPr="00F42725">
        <w:rPr>
          <w:rFonts w:ascii="PT Astra Serif" w:hAnsi="PT Astra Serif" w:cs="Times New Roman"/>
          <w:szCs w:val="28"/>
        </w:rPr>
        <w:t xml:space="preserve">613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 xml:space="preserve"> до 55</w:t>
      </w:r>
      <w:r>
        <w:rPr>
          <w:rFonts w:ascii="PT Astra Serif" w:hAnsi="PT Astra Serif" w:cs="Times New Roman"/>
          <w:szCs w:val="28"/>
        </w:rPr>
        <w:t> </w:t>
      </w:r>
      <w:r w:rsidRPr="00F42725">
        <w:rPr>
          <w:rFonts w:ascii="PT Astra Serif" w:hAnsi="PT Astra Serif" w:cs="Times New Roman"/>
          <w:szCs w:val="28"/>
        </w:rPr>
        <w:t xml:space="preserve">515 </w:t>
      </w:r>
      <w:r w:rsidR="00B5198B" w:rsidRPr="00F42725">
        <w:rPr>
          <w:rFonts w:ascii="PT Astra Serif" w:eastAsia="Times New Roman" w:hAnsi="PT Astra Serif" w:cs="Times New Roman"/>
          <w:bCs/>
          <w:szCs w:val="28"/>
        </w:rPr>
        <w:t>рублей</w:t>
      </w:r>
      <w:r w:rsidRPr="00F42725">
        <w:rPr>
          <w:rFonts w:ascii="PT Astra Serif" w:hAnsi="PT Astra Serif" w:cs="Times New Roman"/>
          <w:szCs w:val="28"/>
        </w:rPr>
        <w:t>).</w:t>
      </w:r>
    </w:p>
    <w:p w14:paraId="11C5055D" w14:textId="77777777" w:rsidR="00C548A9" w:rsidRPr="00F42725" w:rsidRDefault="00C548A9" w:rsidP="00C548A9">
      <w:pPr>
        <w:widowControl w:val="0"/>
        <w:rPr>
          <w:rFonts w:ascii="PT Astra Serif" w:eastAsia="PT Astra Serif" w:hAnsi="PT Astra Serif" w:cs="PT Astra Serif"/>
          <w:b/>
          <w:bCs/>
          <w:szCs w:val="28"/>
        </w:rPr>
      </w:pPr>
      <w:r w:rsidRPr="00F42725">
        <w:rPr>
          <w:rFonts w:ascii="PT Astra Serif" w:hAnsi="PT Astra Serif" w:cs="Times New Roman"/>
          <w:szCs w:val="28"/>
        </w:rPr>
        <w:t>На 2026 год поставлена задача сохранения соотношения средней заработной платы педагогических работников в соответствии с майскими</w:t>
      </w:r>
      <w:r>
        <w:rPr>
          <w:rFonts w:ascii="PT Astra Serif" w:hAnsi="PT Astra Serif" w:cs="Times New Roman"/>
          <w:szCs w:val="28"/>
        </w:rPr>
        <w:t xml:space="preserve"> Указами.</w:t>
      </w:r>
    </w:p>
    <w:p w14:paraId="4E6B86D8" w14:textId="77777777" w:rsidR="00C548A9" w:rsidRPr="00F42725" w:rsidRDefault="00C548A9" w:rsidP="00C548A9">
      <w:pPr>
        <w:widowControl w:val="0"/>
        <w:rPr>
          <w:rFonts w:ascii="PT Astra Serif" w:eastAsia="PT Astra Serif" w:hAnsi="PT Astra Serif" w:cs="PT Astra Serif"/>
          <w:b/>
          <w:bCs/>
          <w:iCs/>
          <w:szCs w:val="28"/>
        </w:rPr>
      </w:pPr>
    </w:p>
    <w:p w14:paraId="0E20DFF1" w14:textId="77777777" w:rsidR="00C548A9" w:rsidRDefault="00C548A9" w:rsidP="00C23BDD">
      <w:pPr>
        <w:widowControl w:val="0"/>
        <w:ind w:firstLine="0"/>
        <w:jc w:val="center"/>
        <w:rPr>
          <w:rFonts w:ascii="PT Astra Serif" w:eastAsia="PT Astra Serif" w:hAnsi="PT Astra Serif" w:cs="PT Astra Serif"/>
          <w:b/>
          <w:bCs/>
          <w:iCs/>
          <w:szCs w:val="28"/>
        </w:rPr>
      </w:pPr>
      <w:r w:rsidRPr="00F42725">
        <w:rPr>
          <w:rFonts w:ascii="PT Astra Serif" w:eastAsia="PT Astra Serif" w:hAnsi="PT Astra Serif" w:cs="PT Astra Serif"/>
          <w:b/>
          <w:bCs/>
          <w:iCs/>
          <w:szCs w:val="28"/>
        </w:rPr>
        <w:t>Основные агрегированные показатели деятельности, позиции Ульяновской области в рейтингах</w:t>
      </w:r>
    </w:p>
    <w:p w14:paraId="1E3BE15E" w14:textId="77777777" w:rsidR="00C548A9" w:rsidRPr="00F42725" w:rsidRDefault="00C548A9" w:rsidP="00C548A9">
      <w:pPr>
        <w:widowControl w:val="0"/>
        <w:rPr>
          <w:rFonts w:ascii="PT Astra Serif" w:eastAsia="PT Astra Serif" w:hAnsi="PT Astra Serif" w:cs="PT Astra Serif"/>
          <w:b/>
          <w:bCs/>
          <w:iCs/>
          <w:szCs w:val="28"/>
        </w:rPr>
      </w:pPr>
    </w:p>
    <w:p w14:paraId="7A418B31" w14:textId="77777777" w:rsidR="00C548A9" w:rsidRPr="00F42725" w:rsidRDefault="00C548A9" w:rsidP="00C548A9">
      <w:pPr>
        <w:widowControl w:val="0"/>
        <w:rPr>
          <w:rFonts w:ascii="PT Astra Serif" w:eastAsia="PT Astra Serif" w:hAnsi="PT Astra Serif" w:cs="PT Astra Serif"/>
          <w:bCs/>
          <w:szCs w:val="28"/>
        </w:rPr>
      </w:pPr>
      <w:r w:rsidRPr="00F42725">
        <w:rPr>
          <w:rFonts w:ascii="PT Astra Serif" w:eastAsia="PT Astra Serif" w:hAnsi="PT Astra Serif" w:cs="PT Astra Serif"/>
          <w:b/>
          <w:szCs w:val="28"/>
        </w:rPr>
        <w:t xml:space="preserve">Всероссийский рейтинг качества проведения ЕГЭ. </w:t>
      </w:r>
      <w:r w:rsidRPr="00F42725">
        <w:rPr>
          <w:rFonts w:ascii="PT Astra Serif" w:eastAsia="PT Astra Serif" w:hAnsi="PT Astra Serif" w:cs="PT Astra Serif"/>
          <w:bCs/>
          <w:szCs w:val="28"/>
        </w:rPr>
        <w:t>Ульяновская область четвертый год подряд входит в так называемую «Зелёную зону», что подтверждает качество его проведения.</w:t>
      </w:r>
    </w:p>
    <w:p w14:paraId="3F85D1E9"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В 2025 году впервые Федеральная служба по надзору в сфере образования и науки по итогам оценочных процедур присвоила знаки качества «Высокие образовательные результаты»</w:t>
      </w:r>
      <w:r>
        <w:rPr>
          <w:rFonts w:ascii="PT Astra Serif" w:hAnsi="PT Astra Serif"/>
          <w:szCs w:val="28"/>
        </w:rPr>
        <w:t>.</w:t>
      </w:r>
    </w:p>
    <w:p w14:paraId="0BD29BE8"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В число лучших образовательных учреждений страны вошли сразу шесть учебных заведений нашего региона: Мариинская гимназия, авторский лицей Эдвардса №</w:t>
      </w:r>
      <w:r>
        <w:rPr>
          <w:rFonts w:ascii="PT Astra Serif" w:hAnsi="PT Astra Serif"/>
          <w:szCs w:val="28"/>
        </w:rPr>
        <w:t> </w:t>
      </w:r>
      <w:r w:rsidRPr="00F42725">
        <w:rPr>
          <w:rFonts w:ascii="PT Astra Serif" w:hAnsi="PT Astra Serif"/>
          <w:szCs w:val="28"/>
        </w:rPr>
        <w:t xml:space="preserve">90, </w:t>
      </w:r>
      <w:proofErr w:type="spellStart"/>
      <w:r w:rsidRPr="00F42725">
        <w:rPr>
          <w:rFonts w:ascii="PT Astra Serif" w:hAnsi="PT Astra Serif"/>
          <w:szCs w:val="28"/>
        </w:rPr>
        <w:t>Старокулаткинская</w:t>
      </w:r>
      <w:proofErr w:type="spellEnd"/>
      <w:r w:rsidRPr="00F42725">
        <w:rPr>
          <w:rFonts w:ascii="PT Astra Serif" w:hAnsi="PT Astra Serif"/>
          <w:szCs w:val="28"/>
        </w:rPr>
        <w:t xml:space="preserve"> средняя школа №</w:t>
      </w:r>
      <w:r>
        <w:rPr>
          <w:rFonts w:ascii="PT Astra Serif" w:hAnsi="PT Astra Serif"/>
          <w:szCs w:val="28"/>
        </w:rPr>
        <w:t> </w:t>
      </w:r>
      <w:r w:rsidRPr="00F42725">
        <w:rPr>
          <w:rFonts w:ascii="PT Astra Serif" w:hAnsi="PT Astra Serif"/>
          <w:szCs w:val="28"/>
        </w:rPr>
        <w:t>1, гимназия №</w:t>
      </w:r>
      <w:r>
        <w:rPr>
          <w:rFonts w:ascii="PT Astra Serif" w:hAnsi="PT Astra Serif"/>
          <w:szCs w:val="28"/>
        </w:rPr>
        <w:t> </w:t>
      </w:r>
      <w:r w:rsidRPr="00F42725">
        <w:rPr>
          <w:rFonts w:ascii="PT Astra Serif" w:hAnsi="PT Astra Serif"/>
          <w:szCs w:val="28"/>
        </w:rPr>
        <w:t>33, многопрофильный лицей №</w:t>
      </w:r>
      <w:r>
        <w:rPr>
          <w:rFonts w:ascii="PT Astra Serif" w:hAnsi="PT Astra Serif"/>
          <w:szCs w:val="28"/>
        </w:rPr>
        <w:t> </w:t>
      </w:r>
      <w:r w:rsidRPr="00F42725">
        <w:rPr>
          <w:rFonts w:ascii="PT Astra Serif" w:hAnsi="PT Astra Serif"/>
          <w:szCs w:val="28"/>
        </w:rPr>
        <w:t>20 и гимназия №</w:t>
      </w:r>
      <w:r>
        <w:rPr>
          <w:rFonts w:ascii="PT Astra Serif" w:hAnsi="PT Astra Serif"/>
          <w:szCs w:val="28"/>
        </w:rPr>
        <w:t> </w:t>
      </w:r>
      <w:r w:rsidRPr="00F42725">
        <w:rPr>
          <w:rFonts w:ascii="PT Astra Serif" w:hAnsi="PT Astra Serif"/>
          <w:szCs w:val="28"/>
        </w:rPr>
        <w:t xml:space="preserve">44 имени В.Н. Деева. </w:t>
      </w:r>
    </w:p>
    <w:p w14:paraId="29B3D8F7"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Знак «Высокая культура оценивания» получили 18 ульяновских школ.</w:t>
      </w:r>
    </w:p>
    <w:p w14:paraId="739752B8" w14:textId="0C4934F5" w:rsidR="00C548A9" w:rsidRPr="00F42725" w:rsidRDefault="00C548A9" w:rsidP="00C548A9">
      <w:pPr>
        <w:widowControl w:val="0"/>
        <w:rPr>
          <w:rFonts w:ascii="PT Astra Serif" w:eastAsia="PT Astra Serif" w:hAnsi="PT Astra Serif" w:cs="PT Astra Serif"/>
          <w:iCs/>
          <w:szCs w:val="28"/>
        </w:rPr>
      </w:pPr>
      <w:r w:rsidRPr="00F42725">
        <w:rPr>
          <w:rFonts w:ascii="PT Astra Serif" w:eastAsia="PT Astra Serif" w:hAnsi="PT Astra Serif" w:cs="PT Astra Serif"/>
          <w:b/>
          <w:bCs/>
          <w:iCs/>
          <w:szCs w:val="28"/>
        </w:rPr>
        <w:t>Рейтинг Всероссийской олимпиады школьников.</w:t>
      </w:r>
      <w:r w:rsidRPr="00F42725">
        <w:rPr>
          <w:rFonts w:ascii="PT Astra Serif" w:eastAsia="PT Astra Serif" w:hAnsi="PT Astra Serif" w:cs="PT Astra Serif"/>
          <w:iCs/>
          <w:szCs w:val="28"/>
        </w:rPr>
        <w:t xml:space="preserve"> </w:t>
      </w:r>
      <w:r w:rsidRPr="00F42725">
        <w:rPr>
          <w:rFonts w:ascii="PT Astra Serif" w:eastAsia="PT Astra Serif" w:hAnsi="PT Astra Serif" w:cs="PT Astra Serif"/>
          <w:szCs w:val="28"/>
        </w:rPr>
        <w:t xml:space="preserve">В 2025 году регион стал обладателем 20 дипломов победителей и призёров заключительного этапа </w:t>
      </w:r>
      <w:proofErr w:type="spellStart"/>
      <w:r w:rsidRPr="00F42725">
        <w:rPr>
          <w:rFonts w:ascii="PT Astra Serif" w:eastAsia="PT Astra Serif" w:hAnsi="PT Astra Serif" w:cs="PT Astra Serif"/>
          <w:szCs w:val="28"/>
        </w:rPr>
        <w:t>ВсОШ</w:t>
      </w:r>
      <w:proofErr w:type="spellEnd"/>
      <w:r w:rsidRPr="00F42725">
        <w:rPr>
          <w:rFonts w:ascii="PT Astra Serif" w:eastAsia="PT Astra Serif" w:hAnsi="PT Astra Serif" w:cs="PT Astra Serif"/>
          <w:szCs w:val="28"/>
        </w:rPr>
        <w:t xml:space="preserve"> (что позволило подняться на одиннадцать позиций вверх и </w:t>
      </w:r>
      <w:r w:rsidRPr="00F42725">
        <w:rPr>
          <w:rFonts w:ascii="PT Astra Serif" w:eastAsia="PT Astra Serif" w:hAnsi="PT Astra Serif" w:cs="PT Astra Serif"/>
          <w:b/>
          <w:szCs w:val="28"/>
        </w:rPr>
        <w:t xml:space="preserve">занять </w:t>
      </w:r>
      <w:r w:rsidR="00560161">
        <w:rPr>
          <w:rFonts w:ascii="PT Astra Serif" w:eastAsia="PT Astra Serif" w:hAnsi="PT Astra Serif" w:cs="PT Astra Serif"/>
          <w:b/>
          <w:szCs w:val="28"/>
        </w:rPr>
        <w:br/>
      </w:r>
      <w:r w:rsidRPr="00F42725">
        <w:rPr>
          <w:rFonts w:ascii="PT Astra Serif" w:eastAsia="PT Astra Serif" w:hAnsi="PT Astra Serif" w:cs="PT Astra Serif"/>
          <w:b/>
          <w:szCs w:val="28"/>
        </w:rPr>
        <w:t xml:space="preserve">13 позицию в рейтинге </w:t>
      </w:r>
      <w:r w:rsidRPr="0041600B">
        <w:rPr>
          <w:rFonts w:ascii="PT Astra Serif" w:eastAsia="PT Astra Serif" w:hAnsi="PT Astra Serif" w:cs="PT Astra Serif"/>
          <w:szCs w:val="28"/>
        </w:rPr>
        <w:t>субъектов Российской Федерации</w:t>
      </w:r>
      <w:r w:rsidRPr="00F42725">
        <w:rPr>
          <w:rFonts w:ascii="PT Astra Serif" w:eastAsia="PT Astra Serif" w:hAnsi="PT Astra Serif" w:cs="PT Astra Serif"/>
          <w:szCs w:val="28"/>
        </w:rPr>
        <w:t>).</w:t>
      </w:r>
    </w:p>
    <w:p w14:paraId="0F4D58A1" w14:textId="77777777" w:rsidR="00C548A9" w:rsidRPr="00F42725" w:rsidRDefault="00C548A9" w:rsidP="00C548A9">
      <w:pPr>
        <w:widowControl w:val="0"/>
        <w:rPr>
          <w:rFonts w:ascii="PT Astra Serif" w:eastAsia="PT Astra Serif" w:hAnsi="PT Astra Serif" w:cs="PT Astra Serif"/>
          <w:i/>
          <w:szCs w:val="28"/>
        </w:rPr>
      </w:pPr>
    </w:p>
    <w:p w14:paraId="254DCEAA" w14:textId="0E4989AF" w:rsidR="00C548A9" w:rsidRPr="0041600B" w:rsidRDefault="00C548A9" w:rsidP="00C23BDD">
      <w:pPr>
        <w:widowControl w:val="0"/>
        <w:shd w:val="clear" w:color="auto" w:fill="FFFFFF"/>
        <w:ind w:firstLine="0"/>
        <w:jc w:val="center"/>
        <w:rPr>
          <w:rFonts w:ascii="PT Astra Serif" w:hAnsi="PT Astra Serif" w:cs="Times New Roman"/>
          <w:b/>
          <w:bCs/>
          <w:i/>
          <w:szCs w:val="28"/>
        </w:rPr>
      </w:pPr>
      <w:r w:rsidRPr="0041600B">
        <w:rPr>
          <w:rFonts w:ascii="PT Astra Serif" w:hAnsi="PT Astra Serif" w:cs="Times New Roman"/>
          <w:b/>
          <w:bCs/>
          <w:i/>
          <w:szCs w:val="28"/>
        </w:rPr>
        <w:t>Число занятых в отрасли. Характеристика подведомственной сети</w:t>
      </w:r>
    </w:p>
    <w:p w14:paraId="34FE0FBF" w14:textId="77777777" w:rsidR="00C548A9" w:rsidRDefault="00C548A9" w:rsidP="00C548A9">
      <w:pPr>
        <w:widowControl w:val="0"/>
        <w:shd w:val="clear" w:color="auto" w:fill="FFFFFF"/>
        <w:rPr>
          <w:rFonts w:ascii="PT Astra Serif" w:hAnsi="PT Astra Serif" w:cs="Times New Roman"/>
          <w:b/>
          <w:bCs/>
          <w:szCs w:val="28"/>
        </w:rPr>
      </w:pPr>
    </w:p>
    <w:p w14:paraId="11AEF0E0" w14:textId="77777777" w:rsidR="00C548A9" w:rsidRPr="00F42725" w:rsidRDefault="00C548A9" w:rsidP="00C548A9">
      <w:pPr>
        <w:widowControl w:val="0"/>
        <w:shd w:val="clear" w:color="auto" w:fill="FFFFFF"/>
        <w:rPr>
          <w:rFonts w:ascii="PT Astra Serif" w:hAnsi="PT Astra Serif" w:cs="Times New Roman"/>
          <w:b/>
          <w:bCs/>
          <w:szCs w:val="28"/>
        </w:rPr>
      </w:pPr>
      <w:r w:rsidRPr="00F42725">
        <w:rPr>
          <w:rFonts w:ascii="PT Astra Serif" w:hAnsi="PT Astra Serif" w:cs="Times New Roman"/>
          <w:b/>
          <w:bCs/>
          <w:szCs w:val="28"/>
        </w:rPr>
        <w:t>Сеть образовательных организаций региона</w:t>
      </w:r>
      <w:r>
        <w:rPr>
          <w:rFonts w:ascii="PT Astra Serif" w:hAnsi="PT Astra Serif" w:cs="Times New Roman"/>
          <w:b/>
          <w:bCs/>
          <w:szCs w:val="28"/>
        </w:rPr>
        <w:t>.</w:t>
      </w:r>
    </w:p>
    <w:p w14:paraId="7F5B76B8"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 xml:space="preserve">На территории Ульяновской области функционируют: </w:t>
      </w:r>
    </w:p>
    <w:p w14:paraId="72E67DA2"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407 образовательных организаций, осуществляющих образовательную деятельность по образовательным программам дошкольного образования, присмотр и уход за детьми;</w:t>
      </w:r>
    </w:p>
    <w:p w14:paraId="0F6E9562"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bCs/>
          <w:szCs w:val="28"/>
        </w:rPr>
        <w:t xml:space="preserve">358 </w:t>
      </w:r>
      <w:r w:rsidRPr="00F42725">
        <w:rPr>
          <w:rFonts w:ascii="PT Astra Serif" w:hAnsi="PT Astra Serif" w:cs="Times New Roman"/>
          <w:szCs w:val="28"/>
        </w:rPr>
        <w:t xml:space="preserve">общеобразовательных организаций; </w:t>
      </w:r>
    </w:p>
    <w:p w14:paraId="25286F37" w14:textId="77777777" w:rsidR="00E6353D" w:rsidRPr="00E6353D" w:rsidRDefault="00E6353D" w:rsidP="00E6353D">
      <w:pPr>
        <w:widowControl w:val="0"/>
        <w:shd w:val="clear" w:color="auto" w:fill="FFFFFF"/>
        <w:rPr>
          <w:rFonts w:ascii="PT Astra Serif" w:hAnsi="PT Astra Serif" w:cs="Times New Roman"/>
          <w:szCs w:val="28"/>
        </w:rPr>
      </w:pPr>
      <w:r w:rsidRPr="00E6353D">
        <w:rPr>
          <w:rFonts w:ascii="PT Astra Serif" w:hAnsi="PT Astra Serif" w:cs="Times New Roman"/>
          <w:szCs w:val="28"/>
        </w:rPr>
        <w:lastRenderedPageBreak/>
        <w:t>57 организаций дополнительного образования детей;</w:t>
      </w:r>
    </w:p>
    <w:p w14:paraId="61864505" w14:textId="77777777" w:rsidR="000E054B" w:rsidRPr="000E054B" w:rsidRDefault="000E054B" w:rsidP="000E054B">
      <w:pPr>
        <w:widowControl w:val="0"/>
        <w:shd w:val="clear" w:color="auto" w:fill="FFFFFF"/>
        <w:rPr>
          <w:rFonts w:ascii="PT Astra Serif" w:hAnsi="PT Astra Serif" w:cs="Times New Roman"/>
          <w:szCs w:val="28"/>
        </w:rPr>
      </w:pPr>
      <w:r w:rsidRPr="000E054B">
        <w:rPr>
          <w:rFonts w:ascii="PT Astra Serif" w:hAnsi="PT Astra Serif" w:cs="Times New Roman"/>
          <w:szCs w:val="28"/>
        </w:rPr>
        <w:t>4 частных организации дополнительного образования детей;</w:t>
      </w:r>
    </w:p>
    <w:p w14:paraId="7240BCA8" w14:textId="04916336"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25 профессиональных образовательных организаций регионального подчинения;</w:t>
      </w:r>
    </w:p>
    <w:p w14:paraId="38927D95"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1 профессиональная образовательная организация федерального подчинения;</w:t>
      </w:r>
    </w:p>
    <w:p w14:paraId="66E87D0A"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4 частных профессиональных образовательных организации (в т</w:t>
      </w:r>
      <w:r>
        <w:rPr>
          <w:rFonts w:ascii="PT Astra Serif" w:hAnsi="PT Astra Serif" w:cs="Times New Roman"/>
          <w:szCs w:val="28"/>
        </w:rPr>
        <w:t>ом числе</w:t>
      </w:r>
      <w:r w:rsidRPr="00F42725">
        <w:rPr>
          <w:rFonts w:ascii="PT Astra Serif" w:hAnsi="PT Astra Serif" w:cs="Times New Roman"/>
          <w:szCs w:val="28"/>
        </w:rPr>
        <w:t xml:space="preserve"> 1 филиал);</w:t>
      </w:r>
    </w:p>
    <w:p w14:paraId="0011E684" w14:textId="51242A84"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 xml:space="preserve">10 образовательных организаций высшего образования, в том числе </w:t>
      </w:r>
      <w:r w:rsidR="00C23BDD">
        <w:rPr>
          <w:rFonts w:ascii="PT Astra Serif" w:hAnsi="PT Astra Serif" w:cs="Times New Roman"/>
          <w:szCs w:val="28"/>
        </w:rPr>
        <w:br/>
      </w:r>
      <w:r w:rsidRPr="00F42725">
        <w:rPr>
          <w:rFonts w:ascii="PT Astra Serif" w:hAnsi="PT Astra Serif" w:cs="Times New Roman"/>
          <w:szCs w:val="28"/>
        </w:rPr>
        <w:t>5 федеральных государственных учреждений, 5 филиалов федеральных государственных вузов.</w:t>
      </w:r>
    </w:p>
    <w:p w14:paraId="49C50F6C" w14:textId="71EA32C3" w:rsidR="00C548A9" w:rsidRDefault="00C548A9" w:rsidP="00C548A9">
      <w:pPr>
        <w:widowControl w:val="0"/>
        <w:rPr>
          <w:rFonts w:ascii="PT Astra Serif" w:hAnsi="PT Astra Serif" w:cs="Times New Roman"/>
          <w:szCs w:val="28"/>
        </w:rPr>
      </w:pPr>
      <w:r>
        <w:rPr>
          <w:rFonts w:ascii="PT Astra Serif" w:hAnsi="PT Astra Serif" w:cs="Times New Roman"/>
          <w:szCs w:val="28"/>
        </w:rPr>
        <w:t>Количество обучающихся/</w:t>
      </w:r>
      <w:r w:rsidRPr="00F42725">
        <w:rPr>
          <w:rFonts w:ascii="PT Astra Serif" w:hAnsi="PT Astra Serif" w:cs="Times New Roman"/>
          <w:szCs w:val="28"/>
        </w:rPr>
        <w:t>воспитанников в образовательных организациях Ульяновской области в разрезе уровней об</w:t>
      </w:r>
      <w:r>
        <w:rPr>
          <w:rFonts w:ascii="PT Astra Serif" w:hAnsi="PT Astra Serif" w:cs="Times New Roman"/>
          <w:szCs w:val="28"/>
        </w:rPr>
        <w:t xml:space="preserve">разования представлено в </w:t>
      </w:r>
      <w:r w:rsidR="00F660A1">
        <w:rPr>
          <w:rFonts w:ascii="PT Astra Serif" w:hAnsi="PT Astra Serif" w:cs="Times New Roman"/>
          <w:szCs w:val="28"/>
        </w:rPr>
        <w:t>т</w:t>
      </w:r>
      <w:r>
        <w:rPr>
          <w:rFonts w:ascii="PT Astra Serif" w:hAnsi="PT Astra Serif" w:cs="Times New Roman"/>
          <w:szCs w:val="28"/>
        </w:rPr>
        <w:t>аблице</w:t>
      </w:r>
      <w:r w:rsidRPr="00F42725">
        <w:rPr>
          <w:rFonts w:ascii="PT Astra Serif" w:hAnsi="PT Astra Serif" w:cs="Times New Roman"/>
          <w:szCs w:val="28"/>
        </w:rPr>
        <w:t>.</w:t>
      </w:r>
    </w:p>
    <w:p w14:paraId="27ED884A" w14:textId="77777777" w:rsidR="00C548A9" w:rsidRPr="00F660A1" w:rsidRDefault="00C548A9" w:rsidP="00C548A9">
      <w:pPr>
        <w:widowControl w:val="0"/>
        <w:rPr>
          <w:rFonts w:ascii="PT Astra Serif" w:hAnsi="PT Astra Serif" w:cs="Times New Roman"/>
          <w:sz w:val="20"/>
          <w:szCs w:val="20"/>
        </w:rPr>
      </w:pPr>
    </w:p>
    <w:p w14:paraId="5E924F21" w14:textId="3C0F1081" w:rsidR="00C548A9" w:rsidRDefault="00C548A9" w:rsidP="00C548A9">
      <w:pPr>
        <w:widowControl w:val="0"/>
        <w:jc w:val="center"/>
        <w:rPr>
          <w:rFonts w:ascii="PT Astra Serif" w:hAnsi="PT Astra Serif" w:cs="Times New Roman"/>
          <w:b/>
          <w:sz w:val="20"/>
          <w:szCs w:val="20"/>
        </w:rPr>
      </w:pPr>
      <w:r w:rsidRPr="00B22D7D">
        <w:rPr>
          <w:rFonts w:ascii="PT Astra Serif" w:hAnsi="PT Astra Serif" w:cs="Times New Roman"/>
          <w:b/>
          <w:sz w:val="20"/>
          <w:szCs w:val="20"/>
        </w:rPr>
        <w:t xml:space="preserve">Количество обучающихся/воспитанников в образовательных организациях </w:t>
      </w:r>
      <w:r w:rsidR="00C23BDD">
        <w:rPr>
          <w:rFonts w:ascii="PT Astra Serif" w:hAnsi="PT Astra Serif" w:cs="Times New Roman"/>
          <w:b/>
          <w:sz w:val="20"/>
          <w:szCs w:val="20"/>
        </w:rPr>
        <w:br/>
      </w:r>
      <w:r w:rsidRPr="00B22D7D">
        <w:rPr>
          <w:rFonts w:ascii="PT Astra Serif" w:hAnsi="PT Astra Serif" w:cs="Times New Roman"/>
          <w:b/>
          <w:sz w:val="20"/>
          <w:szCs w:val="20"/>
        </w:rPr>
        <w:t>Ульяновской области в разрезе уровней образования</w:t>
      </w:r>
    </w:p>
    <w:p w14:paraId="0DE1EB5A" w14:textId="77777777" w:rsidR="00C23BDD" w:rsidRPr="00B22D7D" w:rsidRDefault="00C23BDD" w:rsidP="00C548A9">
      <w:pPr>
        <w:widowControl w:val="0"/>
        <w:jc w:val="center"/>
        <w:rPr>
          <w:rFonts w:ascii="PT Astra Serif" w:hAnsi="PT Astra Serif" w:cs="Times New Roman"/>
          <w:b/>
          <w:sz w:val="20"/>
          <w:szCs w:val="20"/>
        </w:rPr>
      </w:pPr>
    </w:p>
    <w:tbl>
      <w:tblPr>
        <w:tblStyle w:val="aff4"/>
        <w:tblW w:w="9385" w:type="dxa"/>
        <w:tblInd w:w="108" w:type="dxa"/>
        <w:tblLayout w:type="fixed"/>
        <w:tblLook w:val="04A0" w:firstRow="1" w:lastRow="0" w:firstColumn="1" w:lastColumn="0" w:noHBand="0" w:noVBand="1"/>
      </w:tblPr>
      <w:tblGrid>
        <w:gridCol w:w="6124"/>
        <w:gridCol w:w="3261"/>
      </w:tblGrid>
      <w:tr w:rsidR="00C548A9" w:rsidRPr="00C23BDD" w14:paraId="2AAC6543" w14:textId="77777777" w:rsidTr="00A16A92">
        <w:trPr>
          <w:trHeight w:val="20"/>
        </w:trPr>
        <w:tc>
          <w:tcPr>
            <w:tcW w:w="6124" w:type="dxa"/>
            <w:vAlign w:val="center"/>
          </w:tcPr>
          <w:p w14:paraId="2DF2936F" w14:textId="77777777" w:rsidR="00C548A9" w:rsidRPr="00C23BDD" w:rsidRDefault="00C548A9" w:rsidP="00F660A1">
            <w:pPr>
              <w:widowControl w:val="0"/>
              <w:ind w:firstLine="0"/>
              <w:jc w:val="center"/>
              <w:rPr>
                <w:rFonts w:ascii="PT Astra Serif" w:hAnsi="PT Astra Serif"/>
                <w:sz w:val="20"/>
              </w:rPr>
            </w:pPr>
            <w:r w:rsidRPr="00C23BDD">
              <w:rPr>
                <w:rFonts w:ascii="PT Astra Serif" w:hAnsi="PT Astra Serif"/>
                <w:b/>
                <w:sz w:val="20"/>
              </w:rPr>
              <w:t>Тип образовательной организации</w:t>
            </w:r>
          </w:p>
        </w:tc>
        <w:tc>
          <w:tcPr>
            <w:tcW w:w="3261" w:type="dxa"/>
            <w:noWrap/>
            <w:vAlign w:val="center"/>
          </w:tcPr>
          <w:p w14:paraId="4E0ED91F" w14:textId="77777777" w:rsidR="00C548A9" w:rsidRPr="00C23BDD" w:rsidRDefault="00C548A9" w:rsidP="00F660A1">
            <w:pPr>
              <w:widowControl w:val="0"/>
              <w:ind w:firstLine="0"/>
              <w:jc w:val="center"/>
              <w:rPr>
                <w:rFonts w:ascii="PT Astra Serif" w:hAnsi="PT Astra Serif"/>
                <w:b/>
                <w:sz w:val="20"/>
              </w:rPr>
            </w:pPr>
            <w:r w:rsidRPr="00C23BDD">
              <w:rPr>
                <w:rFonts w:ascii="PT Astra Serif" w:hAnsi="PT Astra Serif"/>
                <w:b/>
                <w:sz w:val="20"/>
              </w:rPr>
              <w:t>Количество, человек</w:t>
            </w:r>
          </w:p>
        </w:tc>
      </w:tr>
      <w:tr w:rsidR="00C548A9" w:rsidRPr="00C23BDD" w14:paraId="49F0EE8B" w14:textId="77777777" w:rsidTr="00A16A92">
        <w:trPr>
          <w:trHeight w:val="20"/>
        </w:trPr>
        <w:tc>
          <w:tcPr>
            <w:tcW w:w="6124" w:type="dxa"/>
            <w:hideMark/>
          </w:tcPr>
          <w:p w14:paraId="32B57D81" w14:textId="77777777" w:rsidR="00C548A9" w:rsidRPr="00C23BDD" w:rsidRDefault="00C548A9" w:rsidP="00F660A1">
            <w:pPr>
              <w:widowControl w:val="0"/>
              <w:ind w:firstLine="0"/>
              <w:rPr>
                <w:rFonts w:ascii="PT Astra Serif" w:hAnsi="PT Astra Serif"/>
                <w:sz w:val="20"/>
              </w:rPr>
            </w:pPr>
            <w:r w:rsidRPr="00C23BDD">
              <w:rPr>
                <w:rFonts w:ascii="PT Astra Serif" w:hAnsi="PT Astra Serif"/>
                <w:sz w:val="20"/>
              </w:rPr>
              <w:t>Дошкольные образовательные организации</w:t>
            </w:r>
          </w:p>
        </w:tc>
        <w:tc>
          <w:tcPr>
            <w:tcW w:w="3261" w:type="dxa"/>
            <w:noWrap/>
            <w:vAlign w:val="bottom"/>
          </w:tcPr>
          <w:p w14:paraId="779C803F" w14:textId="77777777" w:rsidR="00C548A9" w:rsidRPr="00C23BDD" w:rsidRDefault="00C548A9" w:rsidP="00F660A1">
            <w:pPr>
              <w:widowControl w:val="0"/>
              <w:ind w:firstLine="0"/>
              <w:jc w:val="center"/>
              <w:rPr>
                <w:rFonts w:ascii="PT Astra Serif" w:hAnsi="PT Astra Serif"/>
                <w:sz w:val="20"/>
              </w:rPr>
            </w:pPr>
            <w:r w:rsidRPr="00C23BDD">
              <w:rPr>
                <w:rFonts w:ascii="PT Astra Serif" w:hAnsi="PT Astra Serif"/>
                <w:sz w:val="20"/>
              </w:rPr>
              <w:t>45 158</w:t>
            </w:r>
          </w:p>
        </w:tc>
      </w:tr>
      <w:tr w:rsidR="00C548A9" w:rsidRPr="00C23BDD" w14:paraId="4C54AC0C" w14:textId="77777777" w:rsidTr="00A16A92">
        <w:trPr>
          <w:trHeight w:val="20"/>
        </w:trPr>
        <w:tc>
          <w:tcPr>
            <w:tcW w:w="6124" w:type="dxa"/>
            <w:hideMark/>
          </w:tcPr>
          <w:p w14:paraId="3AFC1580" w14:textId="77777777" w:rsidR="00C548A9" w:rsidRPr="00C23BDD" w:rsidRDefault="00C548A9" w:rsidP="00F660A1">
            <w:pPr>
              <w:widowControl w:val="0"/>
              <w:ind w:firstLine="0"/>
              <w:rPr>
                <w:rFonts w:ascii="PT Astra Serif" w:hAnsi="PT Astra Serif"/>
                <w:sz w:val="20"/>
              </w:rPr>
            </w:pPr>
            <w:r w:rsidRPr="00C23BDD">
              <w:rPr>
                <w:rFonts w:ascii="PT Astra Serif" w:hAnsi="PT Astra Serif"/>
                <w:sz w:val="20"/>
              </w:rPr>
              <w:t>Общеобразовательные организации</w:t>
            </w:r>
          </w:p>
        </w:tc>
        <w:tc>
          <w:tcPr>
            <w:tcW w:w="3261" w:type="dxa"/>
            <w:noWrap/>
            <w:vAlign w:val="bottom"/>
          </w:tcPr>
          <w:p w14:paraId="73D1A285" w14:textId="77777777" w:rsidR="00C548A9" w:rsidRPr="00C23BDD" w:rsidRDefault="00C548A9" w:rsidP="00F660A1">
            <w:pPr>
              <w:widowControl w:val="0"/>
              <w:ind w:firstLine="0"/>
              <w:jc w:val="center"/>
              <w:rPr>
                <w:rFonts w:ascii="PT Astra Serif" w:hAnsi="PT Astra Serif"/>
                <w:sz w:val="20"/>
              </w:rPr>
            </w:pPr>
            <w:r w:rsidRPr="00C23BDD">
              <w:rPr>
                <w:rFonts w:ascii="PT Astra Serif" w:hAnsi="PT Astra Serif"/>
                <w:sz w:val="20"/>
              </w:rPr>
              <w:t>129 233</w:t>
            </w:r>
          </w:p>
        </w:tc>
      </w:tr>
      <w:tr w:rsidR="00C548A9" w:rsidRPr="00C23BDD" w14:paraId="1B1B6B0A" w14:textId="77777777" w:rsidTr="00A16A92">
        <w:trPr>
          <w:trHeight w:val="20"/>
        </w:trPr>
        <w:tc>
          <w:tcPr>
            <w:tcW w:w="6124" w:type="dxa"/>
            <w:hideMark/>
          </w:tcPr>
          <w:p w14:paraId="67591934" w14:textId="77777777" w:rsidR="00C548A9" w:rsidRPr="00C23BDD" w:rsidRDefault="00C548A9" w:rsidP="00F660A1">
            <w:pPr>
              <w:widowControl w:val="0"/>
              <w:ind w:firstLine="0"/>
              <w:rPr>
                <w:rFonts w:ascii="PT Astra Serif" w:hAnsi="PT Astra Serif"/>
                <w:sz w:val="20"/>
              </w:rPr>
            </w:pPr>
            <w:r w:rsidRPr="00C23BDD">
              <w:rPr>
                <w:rFonts w:ascii="PT Astra Serif" w:hAnsi="PT Astra Serif"/>
                <w:sz w:val="20"/>
              </w:rPr>
              <w:t>Организации среднего профессионального образования</w:t>
            </w:r>
          </w:p>
        </w:tc>
        <w:tc>
          <w:tcPr>
            <w:tcW w:w="3261" w:type="dxa"/>
            <w:noWrap/>
            <w:vAlign w:val="bottom"/>
          </w:tcPr>
          <w:p w14:paraId="6028DFB7" w14:textId="77777777" w:rsidR="00C548A9" w:rsidRPr="00C23BDD" w:rsidRDefault="00C548A9" w:rsidP="00F660A1">
            <w:pPr>
              <w:widowControl w:val="0"/>
              <w:ind w:firstLine="0"/>
              <w:jc w:val="center"/>
              <w:rPr>
                <w:rFonts w:ascii="PT Astra Serif" w:hAnsi="PT Astra Serif"/>
                <w:sz w:val="20"/>
              </w:rPr>
            </w:pPr>
            <w:r w:rsidRPr="00C23BDD">
              <w:rPr>
                <w:rFonts w:ascii="PT Astra Serif" w:hAnsi="PT Astra Serif"/>
                <w:sz w:val="20"/>
              </w:rPr>
              <w:t>28 335</w:t>
            </w:r>
          </w:p>
        </w:tc>
      </w:tr>
      <w:tr w:rsidR="00C548A9" w:rsidRPr="00C23BDD" w14:paraId="41B8B572" w14:textId="77777777" w:rsidTr="00A16A92">
        <w:trPr>
          <w:trHeight w:val="20"/>
        </w:trPr>
        <w:tc>
          <w:tcPr>
            <w:tcW w:w="6124" w:type="dxa"/>
          </w:tcPr>
          <w:p w14:paraId="05E62645" w14:textId="77777777" w:rsidR="00C548A9" w:rsidRPr="00C23BDD" w:rsidRDefault="00C548A9" w:rsidP="00F660A1">
            <w:pPr>
              <w:widowControl w:val="0"/>
              <w:ind w:firstLine="0"/>
              <w:rPr>
                <w:rFonts w:ascii="PT Astra Serif" w:hAnsi="PT Astra Serif"/>
                <w:b/>
                <w:sz w:val="20"/>
              </w:rPr>
            </w:pPr>
            <w:r w:rsidRPr="00C23BDD">
              <w:rPr>
                <w:rFonts w:ascii="PT Astra Serif" w:hAnsi="PT Astra Serif"/>
                <w:b/>
                <w:sz w:val="20"/>
              </w:rPr>
              <w:t>Всего</w:t>
            </w:r>
          </w:p>
        </w:tc>
        <w:tc>
          <w:tcPr>
            <w:tcW w:w="3261" w:type="dxa"/>
            <w:noWrap/>
            <w:vAlign w:val="bottom"/>
          </w:tcPr>
          <w:p w14:paraId="6956CB0E" w14:textId="77777777" w:rsidR="00C548A9" w:rsidRPr="00C23BDD" w:rsidRDefault="00C548A9" w:rsidP="00F660A1">
            <w:pPr>
              <w:widowControl w:val="0"/>
              <w:ind w:firstLine="0"/>
              <w:jc w:val="center"/>
              <w:rPr>
                <w:rFonts w:ascii="PT Astra Serif" w:hAnsi="PT Astra Serif"/>
                <w:b/>
                <w:sz w:val="20"/>
              </w:rPr>
            </w:pPr>
            <w:r w:rsidRPr="00C23BDD">
              <w:rPr>
                <w:rFonts w:ascii="PT Astra Serif" w:hAnsi="PT Astra Serif"/>
                <w:b/>
                <w:sz w:val="20"/>
              </w:rPr>
              <w:t>202 726</w:t>
            </w:r>
          </w:p>
        </w:tc>
      </w:tr>
    </w:tbl>
    <w:p w14:paraId="6615BCB0" w14:textId="77777777" w:rsidR="00C548A9" w:rsidRPr="00F660A1" w:rsidRDefault="00C548A9" w:rsidP="00C23BDD">
      <w:pPr>
        <w:widowControl w:val="0"/>
        <w:rPr>
          <w:rFonts w:ascii="PT Astra Serif" w:eastAsia="PT Astra Serif" w:hAnsi="PT Astra Serif" w:cs="PT Astra Serif"/>
          <w:sz w:val="20"/>
          <w:szCs w:val="20"/>
        </w:rPr>
      </w:pPr>
    </w:p>
    <w:p w14:paraId="6AF4A9D1" w14:textId="4940F49E" w:rsidR="00C548A9" w:rsidRPr="00E41B6A" w:rsidRDefault="00C548A9" w:rsidP="00C548A9">
      <w:pPr>
        <w:widowControl w:val="0"/>
        <w:rPr>
          <w:rFonts w:ascii="PT Astra Serif" w:eastAsia="PT Astra Serif" w:hAnsi="PT Astra Serif" w:cs="PT Astra Serif"/>
          <w:szCs w:val="28"/>
        </w:rPr>
      </w:pPr>
      <w:r w:rsidRPr="00C23BDD">
        <w:rPr>
          <w:rFonts w:ascii="PT Astra Serif" w:eastAsia="PT Astra Serif" w:hAnsi="PT Astra Serif" w:cs="PT Astra Serif"/>
          <w:b/>
          <w:szCs w:val="28"/>
        </w:rPr>
        <w:t>Общая численность педагогов</w:t>
      </w:r>
      <w:r w:rsidRPr="00F42725">
        <w:rPr>
          <w:rFonts w:ascii="PT Astra Serif" w:eastAsia="PT Astra Serif" w:hAnsi="PT Astra Serif" w:cs="PT Astra Serif"/>
          <w:szCs w:val="28"/>
        </w:rPr>
        <w:t xml:space="preserve"> в 2024/2025 учебном году составила 9</w:t>
      </w:r>
      <w:r>
        <w:rPr>
          <w:rFonts w:ascii="PT Astra Serif" w:eastAsia="PT Astra Serif" w:hAnsi="PT Astra Serif" w:cs="PT Astra Serif"/>
          <w:szCs w:val="28"/>
        </w:rPr>
        <w:t> </w:t>
      </w:r>
      <w:r w:rsidRPr="00F42725">
        <w:rPr>
          <w:rFonts w:ascii="PT Astra Serif" w:eastAsia="PT Astra Serif" w:hAnsi="PT Astra Serif" w:cs="PT Astra Serif"/>
          <w:szCs w:val="28"/>
        </w:rPr>
        <w:t>521 чел</w:t>
      </w:r>
      <w:r w:rsidR="00F660A1">
        <w:rPr>
          <w:rFonts w:ascii="PT Astra Serif" w:eastAsia="PT Astra Serif" w:hAnsi="PT Astra Serif" w:cs="PT Astra Serif"/>
          <w:szCs w:val="28"/>
        </w:rPr>
        <w:t>овек</w:t>
      </w:r>
      <w:r w:rsidRPr="00F42725">
        <w:rPr>
          <w:rFonts w:ascii="PT Astra Serif" w:eastAsia="PT Astra Serif" w:hAnsi="PT Astra Serif" w:cs="PT Astra Serif"/>
          <w:szCs w:val="28"/>
        </w:rPr>
        <w:t xml:space="preserve"> </w:t>
      </w:r>
      <w:r w:rsidRPr="00E41B6A">
        <w:rPr>
          <w:rFonts w:ascii="PT Astra Serif" w:eastAsia="PT Astra Serif" w:hAnsi="PT Astra Serif" w:cs="PT Astra Serif"/>
          <w:szCs w:val="28"/>
        </w:rPr>
        <w:t>(2023 г</w:t>
      </w:r>
      <w:r>
        <w:rPr>
          <w:rFonts w:ascii="PT Astra Serif" w:eastAsia="PT Astra Serif" w:hAnsi="PT Astra Serif" w:cs="PT Astra Serif"/>
          <w:szCs w:val="28"/>
        </w:rPr>
        <w:t>од</w:t>
      </w:r>
      <w:r w:rsidRPr="00E41B6A">
        <w:rPr>
          <w:rFonts w:ascii="PT Astra Serif" w:eastAsia="PT Astra Serif" w:hAnsi="PT Astra Serif" w:cs="PT Astra Serif"/>
          <w:szCs w:val="28"/>
        </w:rPr>
        <w:t xml:space="preserve"> - 9</w:t>
      </w:r>
      <w:r>
        <w:rPr>
          <w:rFonts w:ascii="PT Astra Serif" w:eastAsia="PT Astra Serif" w:hAnsi="PT Astra Serif" w:cs="PT Astra Serif"/>
          <w:szCs w:val="28"/>
        </w:rPr>
        <w:t> </w:t>
      </w:r>
      <w:r w:rsidRPr="00E41B6A">
        <w:rPr>
          <w:rFonts w:ascii="PT Astra Serif" w:eastAsia="PT Astra Serif" w:hAnsi="PT Astra Serif" w:cs="PT Astra Serif"/>
          <w:szCs w:val="28"/>
        </w:rPr>
        <w:t>738).</w:t>
      </w:r>
    </w:p>
    <w:p w14:paraId="472396C2"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b/>
          <w:szCs w:val="28"/>
        </w:rPr>
        <w:t>7</w:t>
      </w:r>
      <w:r>
        <w:rPr>
          <w:rFonts w:ascii="PT Astra Serif" w:eastAsia="PT Astra Serif" w:hAnsi="PT Astra Serif" w:cs="PT Astra Serif"/>
          <w:b/>
          <w:szCs w:val="28"/>
        </w:rPr>
        <w:t> </w:t>
      </w:r>
      <w:r w:rsidRPr="00F42725">
        <w:rPr>
          <w:rFonts w:ascii="PT Astra Serif" w:eastAsia="PT Astra Serif" w:hAnsi="PT Astra Serif" w:cs="PT Astra Serif"/>
          <w:b/>
          <w:szCs w:val="28"/>
        </w:rPr>
        <w:t>570</w:t>
      </w:r>
      <w:r w:rsidRPr="00F42725">
        <w:rPr>
          <w:rFonts w:ascii="PT Astra Serif" w:eastAsia="PT Astra Serif" w:hAnsi="PT Astra Serif" w:cs="PT Astra Serif"/>
          <w:szCs w:val="28"/>
        </w:rPr>
        <w:t xml:space="preserve"> человек или </w:t>
      </w:r>
      <w:r>
        <w:rPr>
          <w:rFonts w:ascii="PT Astra Serif" w:eastAsia="PT Astra Serif" w:hAnsi="PT Astra Serif" w:cs="PT Astra Serif"/>
          <w:b/>
          <w:szCs w:val="28"/>
        </w:rPr>
        <w:t>79</w:t>
      </w:r>
      <w:r w:rsidRPr="00F42725">
        <w:rPr>
          <w:rFonts w:ascii="PT Astra Serif" w:eastAsia="PT Astra Serif" w:hAnsi="PT Astra Serif" w:cs="PT Astra Serif"/>
          <w:b/>
          <w:szCs w:val="28"/>
        </w:rPr>
        <w:t>%</w:t>
      </w:r>
      <w:r w:rsidRPr="00F42725">
        <w:rPr>
          <w:rFonts w:ascii="PT Astra Serif" w:eastAsia="PT Astra Serif" w:hAnsi="PT Astra Serif" w:cs="PT Astra Serif"/>
          <w:szCs w:val="28"/>
        </w:rPr>
        <w:t xml:space="preserve"> находится в возрасте от 35 лет и старше.</w:t>
      </w:r>
    </w:p>
    <w:p w14:paraId="3B5B769B"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b/>
          <w:szCs w:val="28"/>
        </w:rPr>
        <w:t>2</w:t>
      </w:r>
      <w:r>
        <w:rPr>
          <w:rFonts w:ascii="PT Astra Serif" w:eastAsia="PT Astra Serif" w:hAnsi="PT Astra Serif" w:cs="PT Astra Serif"/>
          <w:b/>
          <w:szCs w:val="28"/>
        </w:rPr>
        <w:t> </w:t>
      </w:r>
      <w:r w:rsidRPr="00F42725">
        <w:rPr>
          <w:rFonts w:ascii="PT Astra Serif" w:eastAsia="PT Astra Serif" w:hAnsi="PT Astra Serif" w:cs="PT Astra Serif"/>
          <w:b/>
          <w:szCs w:val="28"/>
        </w:rPr>
        <w:t>034</w:t>
      </w:r>
      <w:r w:rsidRPr="00F42725">
        <w:rPr>
          <w:rFonts w:ascii="PT Astra Serif" w:eastAsia="PT Astra Serif" w:hAnsi="PT Astra Serif" w:cs="PT Astra Serif"/>
          <w:szCs w:val="28"/>
        </w:rPr>
        <w:t xml:space="preserve"> (21 %) </w:t>
      </w:r>
      <w:r w:rsidRPr="00F42725">
        <w:rPr>
          <w:rFonts w:ascii="PT Astra Serif" w:eastAsia="PT Astra Serif" w:hAnsi="PT Astra Serif" w:cs="PT Astra Serif"/>
          <w:b/>
          <w:szCs w:val="28"/>
        </w:rPr>
        <w:t>молодых специалистов</w:t>
      </w:r>
      <w:r w:rsidRPr="00F42725">
        <w:rPr>
          <w:rFonts w:ascii="PT Astra Serif" w:eastAsia="PT Astra Serif" w:hAnsi="PT Astra Serif" w:cs="PT Astra Serif"/>
          <w:szCs w:val="28"/>
        </w:rPr>
        <w:t xml:space="preserve"> в возрасте до 35 лет. </w:t>
      </w:r>
    </w:p>
    <w:p w14:paraId="3EE1E1E3"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b/>
          <w:szCs w:val="28"/>
        </w:rPr>
        <w:t>Обеспеченность</w:t>
      </w:r>
      <w:r w:rsidRPr="00F42725">
        <w:rPr>
          <w:rFonts w:ascii="PT Astra Serif" w:eastAsia="PT Astra Serif" w:hAnsi="PT Astra Serif" w:cs="PT Astra Serif"/>
          <w:szCs w:val="28"/>
        </w:rPr>
        <w:t xml:space="preserve"> образовательных организаций педагогическими кадрами составляет </w:t>
      </w:r>
      <w:r w:rsidRPr="00F42725">
        <w:rPr>
          <w:rFonts w:ascii="PT Astra Serif" w:eastAsia="PT Astra Serif" w:hAnsi="PT Astra Serif" w:cs="PT Astra Serif"/>
          <w:b/>
          <w:szCs w:val="28"/>
        </w:rPr>
        <w:t>98%</w:t>
      </w:r>
      <w:r w:rsidRPr="00F42725">
        <w:rPr>
          <w:rFonts w:ascii="PT Astra Serif" w:eastAsia="PT Astra Serif" w:hAnsi="PT Astra Serif" w:cs="PT Astra Serif"/>
          <w:szCs w:val="28"/>
        </w:rPr>
        <w:t>.</w:t>
      </w:r>
    </w:p>
    <w:p w14:paraId="7AA3A989"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t xml:space="preserve">С целью привлечения кадров в общеобразовательные организации </w:t>
      </w:r>
      <w:r>
        <w:rPr>
          <w:rFonts w:ascii="PT Astra Serif" w:eastAsia="PT Astra Serif" w:hAnsi="PT Astra Serif" w:cs="PT Astra Serif"/>
          <w:szCs w:val="28"/>
        </w:rPr>
        <w:br/>
      </w:r>
      <w:r w:rsidRPr="00F42725">
        <w:rPr>
          <w:rFonts w:ascii="PT Astra Serif" w:eastAsia="PT Astra Serif" w:hAnsi="PT Astra Serif" w:cs="PT Astra Serif"/>
          <w:szCs w:val="28"/>
        </w:rPr>
        <w:t xml:space="preserve">с 2020 года на территории Ульяновской области реализуется федеральная программа </w:t>
      </w:r>
      <w:r w:rsidRPr="00F42725">
        <w:rPr>
          <w:rFonts w:ascii="PT Astra Serif" w:eastAsia="PT Astra Serif" w:hAnsi="PT Astra Serif" w:cs="PT Astra Serif"/>
          <w:b/>
          <w:szCs w:val="28"/>
        </w:rPr>
        <w:t>«Земский учитель</w:t>
      </w:r>
      <w:r w:rsidRPr="00F42725">
        <w:rPr>
          <w:rFonts w:ascii="PT Astra Serif" w:eastAsia="PT Astra Serif" w:hAnsi="PT Astra Serif" w:cs="PT Astra Serif"/>
          <w:szCs w:val="28"/>
        </w:rPr>
        <w:t xml:space="preserve">». За период </w:t>
      </w:r>
      <w:r w:rsidRPr="00F42725">
        <w:rPr>
          <w:rFonts w:ascii="PT Astra Serif" w:eastAsia="PT Astra Serif" w:hAnsi="PT Astra Serif" w:cs="PT Astra Serif"/>
          <w:b/>
          <w:szCs w:val="28"/>
        </w:rPr>
        <w:t>с</w:t>
      </w:r>
      <w:r w:rsidRPr="00F42725">
        <w:rPr>
          <w:rFonts w:ascii="PT Astra Serif" w:eastAsia="PT Astra Serif" w:hAnsi="PT Astra Serif" w:cs="PT Astra Serif"/>
          <w:szCs w:val="28"/>
        </w:rPr>
        <w:t xml:space="preserve"> </w:t>
      </w:r>
      <w:r w:rsidRPr="00F42725">
        <w:rPr>
          <w:rFonts w:ascii="PT Astra Serif" w:eastAsia="PT Astra Serif" w:hAnsi="PT Astra Serif" w:cs="PT Astra Serif"/>
          <w:b/>
          <w:szCs w:val="28"/>
        </w:rPr>
        <w:t>2020 года в систему образования привлечены 54 учителя</w:t>
      </w:r>
      <w:r w:rsidRPr="00F42725">
        <w:rPr>
          <w:rFonts w:ascii="PT Astra Serif" w:eastAsia="PT Astra Serif" w:hAnsi="PT Astra Serif" w:cs="PT Astra Serif"/>
          <w:szCs w:val="28"/>
        </w:rPr>
        <w:t xml:space="preserve">, </w:t>
      </w:r>
      <w:r w:rsidRPr="00F42725">
        <w:rPr>
          <w:rFonts w:ascii="PT Astra Serif" w:eastAsia="PT Astra Serif" w:hAnsi="PT Astra Serif" w:cs="PT Astra Serif"/>
          <w:b/>
          <w:szCs w:val="28"/>
        </w:rPr>
        <w:t>в том числе в 2025 году – 4 учителя</w:t>
      </w:r>
      <w:r w:rsidRPr="00F42725">
        <w:rPr>
          <w:rFonts w:ascii="PT Astra Serif" w:eastAsia="PT Astra Serif" w:hAnsi="PT Astra Serif" w:cs="PT Astra Serif"/>
          <w:szCs w:val="28"/>
        </w:rPr>
        <w:t>.</w:t>
      </w:r>
    </w:p>
    <w:p w14:paraId="73ABF86F" w14:textId="77777777" w:rsidR="00C548A9" w:rsidRPr="00F42725" w:rsidRDefault="00C548A9" w:rsidP="00C548A9">
      <w:pPr>
        <w:widowControl w:val="0"/>
        <w:shd w:val="clear" w:color="auto" w:fill="FFFFFF"/>
        <w:rPr>
          <w:rFonts w:ascii="PT Astra Serif" w:eastAsia="PT Astra Serif" w:hAnsi="PT Astra Serif" w:cs="PT Astra Serif"/>
          <w:szCs w:val="28"/>
        </w:rPr>
      </w:pPr>
      <w:r w:rsidRPr="00F42725">
        <w:rPr>
          <w:rFonts w:ascii="PT Astra Serif" w:eastAsia="PT Astra Serif" w:hAnsi="PT Astra Serif" w:cs="PT Astra Serif"/>
          <w:b/>
          <w:szCs w:val="28"/>
        </w:rPr>
        <w:t>В 2026 году планируется привлечь 10 учителей</w:t>
      </w:r>
      <w:r>
        <w:rPr>
          <w:rFonts w:ascii="PT Astra Serif" w:eastAsia="PT Astra Serif" w:hAnsi="PT Astra Serif" w:cs="PT Astra Serif"/>
          <w:szCs w:val="28"/>
        </w:rPr>
        <w:t>, предусмотрены средства в объё</w:t>
      </w:r>
      <w:r w:rsidRPr="00F42725">
        <w:rPr>
          <w:rFonts w:ascii="PT Astra Serif" w:eastAsia="PT Astra Serif" w:hAnsi="PT Astra Serif" w:cs="PT Astra Serif"/>
          <w:szCs w:val="28"/>
        </w:rPr>
        <w:t>ме 10</w:t>
      </w:r>
      <w:r>
        <w:rPr>
          <w:rFonts w:ascii="PT Astra Serif" w:eastAsia="PT Astra Serif" w:hAnsi="PT Astra Serif" w:cs="PT Astra Serif"/>
          <w:szCs w:val="28"/>
        </w:rPr>
        <w:t> </w:t>
      </w:r>
      <w:r w:rsidRPr="00F42725">
        <w:rPr>
          <w:rFonts w:ascii="PT Astra Serif" w:eastAsia="PT Astra Serif" w:hAnsi="PT Astra Serif" w:cs="PT Astra Serif"/>
          <w:szCs w:val="28"/>
        </w:rPr>
        <w:t>000,0 тыс. рублей.</w:t>
      </w:r>
    </w:p>
    <w:p w14:paraId="2766AA58" w14:textId="77777777" w:rsidR="00C548A9" w:rsidRPr="007E4A3E" w:rsidRDefault="00C548A9" w:rsidP="00C548A9">
      <w:pPr>
        <w:widowControl w:val="0"/>
        <w:rPr>
          <w:rFonts w:ascii="PT Astra Serif" w:eastAsia="PT Astra Serif" w:hAnsi="PT Astra Serif" w:cs="PT Astra Serif"/>
          <w:i/>
          <w:szCs w:val="28"/>
        </w:rPr>
      </w:pPr>
    </w:p>
    <w:p w14:paraId="28A1BABA" w14:textId="77777777" w:rsidR="00C548A9" w:rsidRPr="00E41B6A" w:rsidRDefault="00C548A9" w:rsidP="00C23BDD">
      <w:pPr>
        <w:widowControl w:val="0"/>
        <w:ind w:firstLine="0"/>
        <w:jc w:val="center"/>
        <w:rPr>
          <w:rFonts w:ascii="PT Astra Serif" w:eastAsia="PT Astra Serif" w:hAnsi="PT Astra Serif" w:cs="PT Astra Serif"/>
          <w:b/>
          <w:bCs/>
          <w:szCs w:val="28"/>
        </w:rPr>
      </w:pPr>
      <w:r w:rsidRPr="00E41B6A">
        <w:rPr>
          <w:rFonts w:ascii="PT Astra Serif" w:eastAsia="PT Astra Serif" w:hAnsi="PT Astra Serif" w:cs="PT Astra Serif"/>
          <w:b/>
          <w:bCs/>
          <w:szCs w:val="28"/>
        </w:rPr>
        <w:t>Итоги реализации национальных проектов</w:t>
      </w:r>
    </w:p>
    <w:p w14:paraId="5F85335B" w14:textId="77777777" w:rsidR="00C548A9" w:rsidRDefault="00C548A9" w:rsidP="00C548A9">
      <w:pPr>
        <w:widowControl w:val="0"/>
        <w:shd w:val="clear" w:color="auto" w:fill="FFFFFF"/>
        <w:rPr>
          <w:rFonts w:ascii="PT Astra Serif" w:eastAsia="PT Astra Serif" w:hAnsi="PT Astra Serif" w:cs="PT Astra Serif"/>
          <w:b/>
          <w:szCs w:val="28"/>
        </w:rPr>
      </w:pPr>
    </w:p>
    <w:p w14:paraId="14101655" w14:textId="77777777" w:rsidR="00C548A9" w:rsidRPr="00F42725" w:rsidRDefault="00C548A9" w:rsidP="00C548A9">
      <w:pPr>
        <w:widowControl w:val="0"/>
        <w:rPr>
          <w:rFonts w:ascii="PT Astra Serif" w:hAnsi="PT Astra Serif"/>
          <w:szCs w:val="28"/>
          <w:shd w:val="clear" w:color="auto" w:fill="FDFDFD"/>
        </w:rPr>
      </w:pPr>
      <w:r>
        <w:rPr>
          <w:rFonts w:ascii="PT Astra Serif" w:hAnsi="PT Astra Serif"/>
          <w:szCs w:val="28"/>
          <w:shd w:val="clear" w:color="auto" w:fill="FDFDFD"/>
        </w:rPr>
        <w:t xml:space="preserve">С </w:t>
      </w:r>
      <w:r w:rsidRPr="00F42725">
        <w:rPr>
          <w:rFonts w:ascii="PT Astra Serif" w:hAnsi="PT Astra Serif"/>
          <w:szCs w:val="28"/>
          <w:shd w:val="clear" w:color="auto" w:fill="FDFDFD"/>
        </w:rPr>
        <w:t>2025 года в регионе реализуются мероприят</w:t>
      </w:r>
      <w:r>
        <w:rPr>
          <w:rFonts w:ascii="PT Astra Serif" w:hAnsi="PT Astra Serif"/>
          <w:szCs w:val="28"/>
          <w:shd w:val="clear" w:color="auto" w:fill="FDFDFD"/>
        </w:rPr>
        <w:t>ия национального проекта «Молодё</w:t>
      </w:r>
      <w:r w:rsidRPr="00F42725">
        <w:rPr>
          <w:rFonts w:ascii="PT Astra Serif" w:hAnsi="PT Astra Serif"/>
          <w:szCs w:val="28"/>
          <w:shd w:val="clear" w:color="auto" w:fill="FDFDFD"/>
        </w:rPr>
        <w:t>жь и дети», которые обеспечива</w:t>
      </w:r>
      <w:r>
        <w:rPr>
          <w:rFonts w:ascii="PT Astra Serif" w:hAnsi="PT Astra Serif"/>
          <w:szCs w:val="28"/>
          <w:shd w:val="clear" w:color="auto" w:fill="FDFDFD"/>
        </w:rPr>
        <w:t xml:space="preserve">ют достижение национальной цели </w:t>
      </w:r>
      <w:r w:rsidRPr="00F42725">
        <w:rPr>
          <w:rFonts w:ascii="PT Astra Serif" w:hAnsi="PT Astra Serif"/>
          <w:szCs w:val="28"/>
          <w:shd w:val="clear" w:color="auto" w:fill="FDFDFD"/>
        </w:rPr>
        <w:t>– реализация потенциала каждого человека, развитие его талантов, воспитание патриотичной и</w:t>
      </w:r>
      <w:r>
        <w:rPr>
          <w:rFonts w:ascii="PT Astra Serif" w:hAnsi="PT Astra Serif"/>
          <w:szCs w:val="28"/>
          <w:shd w:val="clear" w:color="auto" w:fill="FDFDFD"/>
        </w:rPr>
        <w:t xml:space="preserve"> </w:t>
      </w:r>
      <w:r w:rsidRPr="00F42725">
        <w:rPr>
          <w:rFonts w:ascii="PT Astra Serif" w:hAnsi="PT Astra Serif"/>
          <w:szCs w:val="28"/>
          <w:shd w:val="clear" w:color="auto" w:fill="FDFDFD"/>
        </w:rPr>
        <w:t>социально ответственной личности.</w:t>
      </w:r>
    </w:p>
    <w:p w14:paraId="4835806A" w14:textId="34FB1CC0" w:rsidR="00C548A9" w:rsidRPr="00E41B6A" w:rsidRDefault="00C548A9" w:rsidP="00C548A9">
      <w:pPr>
        <w:widowControl w:val="0"/>
        <w:rPr>
          <w:rFonts w:ascii="PT Astra Serif" w:hAnsi="PT Astra Serif"/>
          <w:szCs w:val="28"/>
        </w:rPr>
      </w:pPr>
      <w:r w:rsidRPr="00F42725">
        <w:rPr>
          <w:rFonts w:ascii="PT Astra Serif" w:hAnsi="PT Astra Serif"/>
          <w:szCs w:val="28"/>
          <w:shd w:val="clear" w:color="auto" w:fill="FDFDFD"/>
        </w:rPr>
        <w:t xml:space="preserve">В </w:t>
      </w:r>
      <w:r w:rsidRPr="00F42725">
        <w:rPr>
          <w:rFonts w:ascii="PT Astra Serif" w:hAnsi="PT Astra Serif"/>
          <w:szCs w:val="28"/>
          <w:shd w:val="clear" w:color="auto" w:fill="FFFFFF"/>
        </w:rPr>
        <w:t xml:space="preserve">2025 году на реализацию </w:t>
      </w:r>
      <w:r w:rsidRPr="00F42725">
        <w:rPr>
          <w:rFonts w:ascii="PT Astra Serif" w:hAnsi="PT Astra Serif"/>
          <w:szCs w:val="28"/>
          <w:shd w:val="clear" w:color="auto" w:fill="FDFDFD"/>
        </w:rPr>
        <w:t>3</w:t>
      </w:r>
      <w:r w:rsidRPr="00F42725">
        <w:rPr>
          <w:rFonts w:ascii="PT Astra Serif" w:hAnsi="PT Astra Serif"/>
          <w:szCs w:val="28"/>
          <w:shd w:val="clear" w:color="auto" w:fill="FFFFFF"/>
        </w:rPr>
        <w:t xml:space="preserve"> региональных проектов: «Все лучшее детям», «Педагоги и наставники», «Профессионалитет» </w:t>
      </w:r>
      <w:r w:rsidRPr="00F42725">
        <w:rPr>
          <w:rFonts w:ascii="PT Astra Serif" w:hAnsi="PT Astra Serif"/>
          <w:szCs w:val="28"/>
        </w:rPr>
        <w:t xml:space="preserve">предусмотрено – </w:t>
      </w:r>
      <w:r w:rsidRPr="00E41B6A">
        <w:rPr>
          <w:rFonts w:ascii="PT Astra Serif" w:hAnsi="PT Astra Serif"/>
          <w:szCs w:val="28"/>
        </w:rPr>
        <w:t>2 491,4 млн руб</w:t>
      </w:r>
      <w:r>
        <w:rPr>
          <w:rFonts w:ascii="PT Astra Serif" w:hAnsi="PT Astra Serif"/>
          <w:szCs w:val="28"/>
        </w:rPr>
        <w:t>лей</w:t>
      </w:r>
      <w:r w:rsidRPr="00E41B6A">
        <w:rPr>
          <w:rFonts w:ascii="PT Astra Serif" w:hAnsi="PT Astra Serif"/>
          <w:szCs w:val="28"/>
        </w:rPr>
        <w:t xml:space="preserve"> (в том числе из </w:t>
      </w:r>
      <w:r w:rsidRPr="00E41B6A">
        <w:rPr>
          <w:rFonts w:ascii="PT Astra Serif" w:eastAsia="PT Astra Serif" w:hAnsi="PT Astra Serif" w:cs="PT Astra Serif"/>
          <w:szCs w:val="28"/>
        </w:rPr>
        <w:t>федерального бюджета</w:t>
      </w:r>
      <w:r w:rsidRPr="00E41B6A">
        <w:rPr>
          <w:rFonts w:ascii="PT Astra Serif" w:hAnsi="PT Astra Serif"/>
          <w:szCs w:val="28"/>
        </w:rPr>
        <w:t xml:space="preserve"> – 2 156,9; млн руб</w:t>
      </w:r>
      <w:r>
        <w:rPr>
          <w:rFonts w:ascii="PT Astra Serif" w:hAnsi="PT Astra Serif"/>
          <w:szCs w:val="28"/>
        </w:rPr>
        <w:t>лей;</w:t>
      </w:r>
      <w:r w:rsidRPr="00E41B6A">
        <w:rPr>
          <w:rFonts w:ascii="PT Astra Serif" w:hAnsi="PT Astra Serif"/>
          <w:szCs w:val="28"/>
        </w:rPr>
        <w:t xml:space="preserve"> </w:t>
      </w:r>
      <w:r>
        <w:rPr>
          <w:rFonts w:ascii="PT Astra Serif" w:hAnsi="PT Astra Serif"/>
          <w:szCs w:val="28"/>
        </w:rPr>
        <w:t>областного бюджета</w:t>
      </w:r>
      <w:r w:rsidRPr="00E41B6A">
        <w:rPr>
          <w:rFonts w:ascii="PT Astra Serif" w:hAnsi="PT Astra Serif"/>
          <w:szCs w:val="28"/>
        </w:rPr>
        <w:t xml:space="preserve"> -</w:t>
      </w:r>
      <w:r>
        <w:rPr>
          <w:rFonts w:ascii="PT Astra Serif" w:hAnsi="PT Astra Serif"/>
          <w:szCs w:val="28"/>
        </w:rPr>
        <w:t xml:space="preserve"> </w:t>
      </w:r>
      <w:r w:rsidRPr="00E41B6A">
        <w:rPr>
          <w:rFonts w:ascii="PT Astra Serif" w:hAnsi="PT Astra Serif"/>
          <w:szCs w:val="28"/>
        </w:rPr>
        <w:t>323,6 млн руб</w:t>
      </w:r>
      <w:r>
        <w:rPr>
          <w:rFonts w:ascii="PT Astra Serif" w:hAnsi="PT Astra Serif"/>
          <w:szCs w:val="28"/>
        </w:rPr>
        <w:t>лей</w:t>
      </w:r>
      <w:r w:rsidRPr="00E41B6A">
        <w:rPr>
          <w:rFonts w:ascii="PT Astra Serif" w:hAnsi="PT Astra Serif"/>
          <w:szCs w:val="28"/>
        </w:rPr>
        <w:t xml:space="preserve">; </w:t>
      </w:r>
      <w:r>
        <w:rPr>
          <w:rFonts w:ascii="PT Astra Serif" w:hAnsi="PT Astra Serif"/>
          <w:szCs w:val="28"/>
        </w:rPr>
        <w:t xml:space="preserve">бюджета муниципалитетов </w:t>
      </w:r>
      <w:r w:rsidRPr="00E41B6A">
        <w:rPr>
          <w:rFonts w:ascii="PT Astra Serif" w:hAnsi="PT Astra Serif"/>
          <w:szCs w:val="28"/>
        </w:rPr>
        <w:t xml:space="preserve">– </w:t>
      </w:r>
      <w:r w:rsidRPr="00E41B6A">
        <w:rPr>
          <w:rFonts w:ascii="PT Astra Serif" w:hAnsi="PT Astra Serif"/>
          <w:szCs w:val="28"/>
        </w:rPr>
        <w:lastRenderedPageBreak/>
        <w:t>10,9 млн руб</w:t>
      </w:r>
      <w:r>
        <w:rPr>
          <w:rFonts w:ascii="PT Astra Serif" w:hAnsi="PT Astra Serif"/>
          <w:szCs w:val="28"/>
        </w:rPr>
        <w:t>лей</w:t>
      </w:r>
      <w:r w:rsidRPr="00E41B6A">
        <w:rPr>
          <w:rFonts w:ascii="PT Astra Serif" w:hAnsi="PT Astra Serif"/>
          <w:szCs w:val="28"/>
        </w:rPr>
        <w:t>).</w:t>
      </w:r>
      <w:r w:rsidRPr="00E41B6A">
        <w:rPr>
          <w:rFonts w:ascii="PT Astra Serif" w:hAnsi="PT Astra Serif"/>
          <w:szCs w:val="28"/>
          <w:shd w:val="clear" w:color="auto" w:fill="FDFDFD"/>
        </w:rPr>
        <w:t xml:space="preserve"> </w:t>
      </w:r>
      <w:r w:rsidRPr="00E41B6A">
        <w:rPr>
          <w:rFonts w:ascii="PT Astra Serif" w:hAnsi="PT Astra Serif"/>
          <w:szCs w:val="28"/>
        </w:rPr>
        <w:t xml:space="preserve">В 2026 году данные средства будут увеличены в 2 раза </w:t>
      </w:r>
      <w:r>
        <w:rPr>
          <w:rFonts w:ascii="PT Astra Serif" w:hAnsi="PT Astra Serif"/>
          <w:szCs w:val="28"/>
        </w:rPr>
        <w:br/>
      </w:r>
      <w:r w:rsidRPr="00E41B6A">
        <w:rPr>
          <w:rFonts w:ascii="PT Astra Serif" w:hAnsi="PT Astra Serif"/>
          <w:szCs w:val="28"/>
        </w:rPr>
        <w:t xml:space="preserve">и составят – 4 298,4 млн руб. (в том числе из </w:t>
      </w:r>
      <w:r w:rsidRPr="00E41B6A">
        <w:rPr>
          <w:rFonts w:ascii="PT Astra Serif" w:eastAsia="PT Astra Serif" w:hAnsi="PT Astra Serif" w:cs="PT Astra Serif"/>
          <w:szCs w:val="28"/>
        </w:rPr>
        <w:t>федерального бюджета</w:t>
      </w:r>
      <w:r w:rsidRPr="00E41B6A">
        <w:rPr>
          <w:rFonts w:ascii="PT Astra Serif" w:hAnsi="PT Astra Serif"/>
          <w:szCs w:val="28"/>
        </w:rPr>
        <w:t xml:space="preserve"> – </w:t>
      </w:r>
      <w:r w:rsidR="00463AF0">
        <w:rPr>
          <w:rFonts w:ascii="PT Astra Serif" w:hAnsi="PT Astra Serif"/>
          <w:szCs w:val="28"/>
        </w:rPr>
        <w:br/>
      </w:r>
      <w:r w:rsidRPr="00E41B6A">
        <w:rPr>
          <w:rFonts w:ascii="PT Astra Serif" w:hAnsi="PT Astra Serif"/>
          <w:szCs w:val="28"/>
        </w:rPr>
        <w:t>3 793,6 млн руб</w:t>
      </w:r>
      <w:r>
        <w:rPr>
          <w:rFonts w:ascii="PT Astra Serif" w:hAnsi="PT Astra Serif"/>
          <w:szCs w:val="28"/>
        </w:rPr>
        <w:t>лей;</w:t>
      </w:r>
      <w:r w:rsidRPr="00E41B6A">
        <w:rPr>
          <w:rFonts w:ascii="PT Astra Serif" w:hAnsi="PT Astra Serif"/>
          <w:szCs w:val="28"/>
        </w:rPr>
        <w:t xml:space="preserve"> </w:t>
      </w:r>
      <w:r>
        <w:rPr>
          <w:rFonts w:ascii="PT Astra Serif" w:hAnsi="PT Astra Serif"/>
          <w:szCs w:val="28"/>
        </w:rPr>
        <w:t>областного бюджета</w:t>
      </w:r>
      <w:r w:rsidRPr="00E41B6A">
        <w:rPr>
          <w:rFonts w:ascii="PT Astra Serif" w:hAnsi="PT Astra Serif"/>
          <w:szCs w:val="28"/>
        </w:rPr>
        <w:t xml:space="preserve"> – 480,3 млн руб</w:t>
      </w:r>
      <w:r>
        <w:rPr>
          <w:rFonts w:ascii="PT Astra Serif" w:hAnsi="PT Astra Serif"/>
          <w:szCs w:val="28"/>
        </w:rPr>
        <w:t>лей</w:t>
      </w:r>
      <w:r w:rsidRPr="00E41B6A">
        <w:rPr>
          <w:rFonts w:ascii="PT Astra Serif" w:hAnsi="PT Astra Serif"/>
          <w:szCs w:val="28"/>
        </w:rPr>
        <w:t xml:space="preserve">; </w:t>
      </w:r>
      <w:r>
        <w:rPr>
          <w:rFonts w:ascii="PT Astra Serif" w:hAnsi="PT Astra Serif"/>
          <w:szCs w:val="28"/>
        </w:rPr>
        <w:t>бюджета муниципалитетов</w:t>
      </w:r>
      <w:r w:rsidRPr="00E41B6A">
        <w:rPr>
          <w:rFonts w:ascii="PT Astra Serif" w:hAnsi="PT Astra Serif"/>
          <w:szCs w:val="28"/>
        </w:rPr>
        <w:t xml:space="preserve"> – 24,5 млн руб</w:t>
      </w:r>
      <w:r>
        <w:rPr>
          <w:rFonts w:ascii="PT Astra Serif" w:hAnsi="PT Astra Serif"/>
          <w:szCs w:val="28"/>
        </w:rPr>
        <w:t>лей</w:t>
      </w:r>
      <w:r w:rsidRPr="00E41B6A">
        <w:rPr>
          <w:rFonts w:ascii="PT Astra Serif" w:hAnsi="PT Astra Serif"/>
          <w:szCs w:val="28"/>
        </w:rPr>
        <w:t>).</w:t>
      </w:r>
    </w:p>
    <w:p w14:paraId="478C2B90" w14:textId="77777777" w:rsidR="00C548A9" w:rsidRPr="00FF6108" w:rsidRDefault="00C548A9" w:rsidP="00C548A9">
      <w:pPr>
        <w:widowControl w:val="0"/>
        <w:rPr>
          <w:rFonts w:ascii="PT Astra Serif" w:hAnsi="PT Astra Serif"/>
          <w:b/>
          <w:szCs w:val="28"/>
          <w:shd w:val="clear" w:color="auto" w:fill="FDFDFD"/>
        </w:rPr>
      </w:pPr>
      <w:r w:rsidRPr="00FF6108">
        <w:rPr>
          <w:rFonts w:ascii="PT Astra Serif" w:hAnsi="PT Astra Serif"/>
          <w:szCs w:val="28"/>
        </w:rPr>
        <w:t xml:space="preserve">Следует отметить, что все </w:t>
      </w:r>
      <w:r w:rsidRPr="00FF6108">
        <w:rPr>
          <w:rFonts w:ascii="PT Astra Serif" w:hAnsi="PT Astra Serif"/>
          <w:b/>
          <w:szCs w:val="28"/>
        </w:rPr>
        <w:t>показатели достигнуты, контрольные точки закрыты, средства освоены</w:t>
      </w:r>
      <w:r w:rsidRPr="00FF6108">
        <w:rPr>
          <w:rFonts w:ascii="PT Astra Serif" w:hAnsi="PT Astra Serif"/>
          <w:b/>
          <w:i/>
          <w:szCs w:val="28"/>
        </w:rPr>
        <w:t>.</w:t>
      </w:r>
    </w:p>
    <w:p w14:paraId="677010F9" w14:textId="4354AABD" w:rsidR="00C548A9" w:rsidRPr="00F42725" w:rsidRDefault="00C548A9" w:rsidP="00C548A9">
      <w:pPr>
        <w:widowControl w:val="0"/>
        <w:shd w:val="clear" w:color="auto" w:fill="FFFFFF"/>
        <w:rPr>
          <w:rFonts w:ascii="PT Astra Serif" w:hAnsi="PT Astra Serif"/>
          <w:szCs w:val="28"/>
        </w:rPr>
      </w:pPr>
      <w:r w:rsidRPr="00F42725">
        <w:rPr>
          <w:rFonts w:ascii="PT Astra Serif" w:eastAsia="Times New Roman" w:hAnsi="PT Astra Serif"/>
          <w:b/>
          <w:szCs w:val="28"/>
        </w:rPr>
        <w:t>В рамках проекта «Все лучшее детям»</w:t>
      </w:r>
      <w:r w:rsidRPr="00F42725">
        <w:rPr>
          <w:rFonts w:ascii="PT Astra Serif" w:eastAsia="Times New Roman" w:hAnsi="PT Astra Serif"/>
          <w:szCs w:val="28"/>
        </w:rPr>
        <w:t xml:space="preserve"> и реализации программы капитального ремонта в 2025 году созданы комфортные условия для более 8</w:t>
      </w:r>
      <w:r w:rsidR="00463AF0">
        <w:rPr>
          <w:rFonts w:ascii="PT Astra Serif" w:eastAsia="Times New Roman" w:hAnsi="PT Astra Serif"/>
          <w:szCs w:val="28"/>
        </w:rPr>
        <w:t> </w:t>
      </w:r>
      <w:r w:rsidRPr="00F42725">
        <w:rPr>
          <w:rFonts w:ascii="PT Astra Serif" w:eastAsia="Times New Roman" w:hAnsi="PT Astra Serif"/>
          <w:szCs w:val="28"/>
        </w:rPr>
        <w:t xml:space="preserve">000 детей, обучающихся в 13-ти школах региона </w:t>
      </w:r>
      <w:r w:rsidRPr="00F42725">
        <w:rPr>
          <w:rFonts w:ascii="PT Astra Serif" w:hAnsi="PT Astra Serif"/>
          <w:bCs/>
          <w:szCs w:val="28"/>
        </w:rPr>
        <w:t>– 1 201,5 млн руб</w:t>
      </w:r>
      <w:r>
        <w:rPr>
          <w:rFonts w:ascii="PT Astra Serif" w:hAnsi="PT Astra Serif"/>
          <w:bCs/>
          <w:szCs w:val="28"/>
        </w:rPr>
        <w:t>лей</w:t>
      </w:r>
      <w:r w:rsidRPr="00F42725">
        <w:rPr>
          <w:rFonts w:ascii="PT Astra Serif" w:hAnsi="PT Astra Serif"/>
          <w:bCs/>
          <w:szCs w:val="28"/>
        </w:rPr>
        <w:t xml:space="preserve"> (</w:t>
      </w:r>
      <w:r w:rsidRPr="00E41B6A">
        <w:rPr>
          <w:rFonts w:ascii="PT Astra Serif" w:hAnsi="PT Astra Serif"/>
          <w:szCs w:val="28"/>
        </w:rPr>
        <w:t xml:space="preserve">в том числе из </w:t>
      </w:r>
      <w:r w:rsidRPr="00E41B6A">
        <w:rPr>
          <w:rFonts w:ascii="PT Astra Serif" w:eastAsia="PT Astra Serif" w:hAnsi="PT Astra Serif" w:cs="PT Astra Serif"/>
          <w:szCs w:val="28"/>
        </w:rPr>
        <w:t>федерального бюджета</w:t>
      </w:r>
      <w:r w:rsidRPr="00F42725">
        <w:rPr>
          <w:rFonts w:ascii="PT Astra Serif" w:hAnsi="PT Astra Serif"/>
          <w:bCs/>
          <w:szCs w:val="28"/>
        </w:rPr>
        <w:t xml:space="preserve"> 997,0 млн руб</w:t>
      </w:r>
      <w:r>
        <w:rPr>
          <w:rFonts w:ascii="PT Astra Serif" w:hAnsi="PT Astra Serif"/>
          <w:bCs/>
          <w:szCs w:val="28"/>
        </w:rPr>
        <w:t>лей</w:t>
      </w:r>
      <w:r w:rsidRPr="00F42725">
        <w:rPr>
          <w:rFonts w:ascii="PT Astra Serif" w:hAnsi="PT Astra Serif"/>
          <w:bCs/>
          <w:szCs w:val="28"/>
        </w:rPr>
        <w:t>).</w:t>
      </w:r>
    </w:p>
    <w:p w14:paraId="5147FC3E" w14:textId="77777777" w:rsidR="00C548A9" w:rsidRPr="00F42725" w:rsidRDefault="00C548A9" w:rsidP="00C548A9">
      <w:pPr>
        <w:widowControl w:val="0"/>
        <w:shd w:val="clear" w:color="auto" w:fill="FFFFFF"/>
        <w:rPr>
          <w:rFonts w:ascii="PT Astra Serif" w:hAnsi="PT Astra Serif"/>
          <w:szCs w:val="28"/>
        </w:rPr>
      </w:pPr>
      <w:r w:rsidRPr="00F42725">
        <w:rPr>
          <w:rFonts w:ascii="PT Astra Serif" w:hAnsi="PT Astra Serif"/>
          <w:szCs w:val="28"/>
        </w:rPr>
        <w:t>Кроме того, в рамках межведомственного взаимодействия</w:t>
      </w:r>
      <w:r w:rsidRPr="00F42725">
        <w:rPr>
          <w:rStyle w:val="af6"/>
          <w:rFonts w:ascii="PT Astra Serif" w:hAnsi="PT Astra Serif"/>
          <w:szCs w:val="28"/>
        </w:rPr>
        <w:t xml:space="preserve"> </w:t>
      </w:r>
      <w:r w:rsidRPr="00F42725">
        <w:rPr>
          <w:rFonts w:ascii="PT Astra Serif" w:hAnsi="PT Astra Serif"/>
          <w:szCs w:val="28"/>
        </w:rPr>
        <w:t xml:space="preserve">в средней </w:t>
      </w:r>
      <w:r w:rsidRPr="00F42725">
        <w:rPr>
          <w:rStyle w:val="af6"/>
          <w:rFonts w:ascii="PT Astra Serif" w:hAnsi="PT Astra Serif"/>
          <w:szCs w:val="28"/>
        </w:rPr>
        <w:t>школе №</w:t>
      </w:r>
      <w:r>
        <w:rPr>
          <w:rStyle w:val="af6"/>
          <w:rFonts w:ascii="PT Astra Serif" w:hAnsi="PT Astra Serif"/>
          <w:szCs w:val="28"/>
        </w:rPr>
        <w:t> </w:t>
      </w:r>
      <w:r w:rsidRPr="00F42725">
        <w:rPr>
          <w:rStyle w:val="af6"/>
          <w:rFonts w:ascii="PT Astra Serif" w:hAnsi="PT Astra Serif"/>
          <w:szCs w:val="28"/>
        </w:rPr>
        <w:t xml:space="preserve">1 Новоспасского района завершен ремонт </w:t>
      </w:r>
      <w:r w:rsidRPr="00464994">
        <w:rPr>
          <w:rStyle w:val="af6"/>
          <w:rFonts w:ascii="PT Astra Serif" w:hAnsi="PT Astra Serif"/>
          <w:szCs w:val="28"/>
        </w:rPr>
        <w:t>по</w:t>
      </w:r>
      <w:r w:rsidRPr="00F42725">
        <w:rPr>
          <w:rStyle w:val="af6"/>
          <w:rFonts w:ascii="PT Astra Serif" w:hAnsi="PT Astra Serif"/>
          <w:szCs w:val="28"/>
        </w:rPr>
        <w:t xml:space="preserve"> </w:t>
      </w:r>
      <w:r w:rsidRPr="00F42725">
        <w:rPr>
          <w:rFonts w:ascii="PT Astra Serif" w:hAnsi="PT Astra Serif"/>
          <w:szCs w:val="28"/>
        </w:rPr>
        <w:t xml:space="preserve">госпрограмме «Комплексное развитие сельских территорий». </w:t>
      </w:r>
    </w:p>
    <w:p w14:paraId="51A4C3EB" w14:textId="0DBBA135" w:rsidR="00C548A9" w:rsidRPr="00F42725" w:rsidRDefault="00C548A9" w:rsidP="00C548A9">
      <w:pPr>
        <w:widowControl w:val="0"/>
        <w:shd w:val="clear" w:color="auto" w:fill="FFFFFF"/>
        <w:rPr>
          <w:rFonts w:ascii="PT Astra Serif" w:hAnsi="PT Astra Serif"/>
          <w:szCs w:val="28"/>
        </w:rPr>
      </w:pPr>
      <w:r w:rsidRPr="00F42725">
        <w:rPr>
          <w:rFonts w:ascii="PT Astra Serif" w:hAnsi="PT Astra Serif"/>
          <w:szCs w:val="28"/>
        </w:rPr>
        <w:t xml:space="preserve">В рамках национального проекта «Семья» проведен капитальный ремонт 2-х детских садов: </w:t>
      </w:r>
      <w:r w:rsidRPr="00F42725">
        <w:rPr>
          <w:rFonts w:ascii="PT Astra Serif" w:hAnsi="PT Astra Serif"/>
          <w:bCs/>
          <w:szCs w:val="28"/>
        </w:rPr>
        <w:t>в Тереньгульском районе - детский сад «Солнышко»</w:t>
      </w:r>
      <w:r w:rsidRPr="00F42725">
        <w:rPr>
          <w:rFonts w:ascii="PT Astra Serif" w:hAnsi="PT Astra Serif"/>
          <w:szCs w:val="28"/>
        </w:rPr>
        <w:t xml:space="preserve"> и в городе Ульяновске - </w:t>
      </w:r>
      <w:r w:rsidRPr="00F42725">
        <w:rPr>
          <w:rFonts w:ascii="PT Astra Serif" w:hAnsi="PT Astra Serif"/>
          <w:bCs/>
          <w:szCs w:val="28"/>
        </w:rPr>
        <w:t>детский сад №</w:t>
      </w:r>
      <w:r>
        <w:rPr>
          <w:rFonts w:ascii="PT Astra Serif" w:hAnsi="PT Astra Serif"/>
          <w:bCs/>
          <w:szCs w:val="28"/>
        </w:rPr>
        <w:t> </w:t>
      </w:r>
      <w:r w:rsidRPr="00F42725">
        <w:rPr>
          <w:rFonts w:ascii="PT Astra Serif" w:hAnsi="PT Astra Serif"/>
          <w:bCs/>
          <w:szCs w:val="28"/>
        </w:rPr>
        <w:t>91 «Снегурочка» (1 корпус) – 112,0 млн руб</w:t>
      </w:r>
      <w:r>
        <w:rPr>
          <w:rFonts w:ascii="PT Astra Serif" w:hAnsi="PT Astra Serif"/>
          <w:bCs/>
          <w:szCs w:val="28"/>
        </w:rPr>
        <w:t>лей</w:t>
      </w:r>
      <w:r w:rsidRPr="00F42725">
        <w:rPr>
          <w:rFonts w:ascii="PT Astra Serif" w:hAnsi="PT Astra Serif"/>
          <w:bCs/>
          <w:szCs w:val="28"/>
        </w:rPr>
        <w:t xml:space="preserve"> (</w:t>
      </w:r>
      <w:r w:rsidRPr="00E41B6A">
        <w:rPr>
          <w:rFonts w:ascii="PT Astra Serif" w:hAnsi="PT Astra Serif"/>
          <w:szCs w:val="28"/>
        </w:rPr>
        <w:t xml:space="preserve">в том числе из </w:t>
      </w:r>
      <w:r w:rsidRPr="00E41B6A">
        <w:rPr>
          <w:rFonts w:ascii="PT Astra Serif" w:eastAsia="PT Astra Serif" w:hAnsi="PT Astra Serif" w:cs="PT Astra Serif"/>
          <w:szCs w:val="28"/>
        </w:rPr>
        <w:t>федерального бюджета</w:t>
      </w:r>
      <w:r w:rsidRPr="00F42725">
        <w:rPr>
          <w:rFonts w:ascii="PT Astra Serif" w:hAnsi="PT Astra Serif"/>
          <w:bCs/>
          <w:szCs w:val="28"/>
        </w:rPr>
        <w:t xml:space="preserve"> 105,0 млн</w:t>
      </w:r>
      <w:r>
        <w:rPr>
          <w:rFonts w:ascii="PT Astra Serif" w:hAnsi="PT Astra Serif"/>
          <w:bCs/>
          <w:szCs w:val="28"/>
        </w:rPr>
        <w:t xml:space="preserve"> </w:t>
      </w:r>
      <w:r w:rsidRPr="00F42725">
        <w:rPr>
          <w:rFonts w:ascii="PT Astra Serif" w:hAnsi="PT Astra Serif"/>
          <w:bCs/>
          <w:szCs w:val="28"/>
        </w:rPr>
        <w:t>руб</w:t>
      </w:r>
      <w:r>
        <w:rPr>
          <w:rFonts w:ascii="PT Astra Serif" w:hAnsi="PT Astra Serif"/>
          <w:bCs/>
          <w:szCs w:val="28"/>
        </w:rPr>
        <w:t>лей</w:t>
      </w:r>
      <w:r w:rsidRPr="00F42725">
        <w:rPr>
          <w:rFonts w:ascii="PT Astra Serif" w:hAnsi="PT Astra Serif"/>
          <w:bCs/>
          <w:szCs w:val="28"/>
        </w:rPr>
        <w:t>).</w:t>
      </w:r>
    </w:p>
    <w:p w14:paraId="5A84A45B" w14:textId="1B243036" w:rsidR="00C548A9" w:rsidRPr="00F42725" w:rsidRDefault="00C548A9" w:rsidP="00C548A9">
      <w:pPr>
        <w:widowControl w:val="0"/>
        <w:rPr>
          <w:rFonts w:ascii="PT Astra Serif" w:hAnsi="PT Astra Serif"/>
          <w:szCs w:val="28"/>
        </w:rPr>
      </w:pPr>
      <w:r w:rsidRPr="00F42725">
        <w:rPr>
          <w:rFonts w:ascii="PT Astra Serif" w:hAnsi="PT Astra Serif"/>
          <w:szCs w:val="28"/>
        </w:rPr>
        <w:t>Проведённые работы по капитальному ремонту зданий школ и детских садов позволили создать современные условия, соответствующие требованиям федеральных государственных образовательных стандартов, СанПиН и требованиям по антитеррористической безопасности, обнов</w:t>
      </w:r>
      <w:r>
        <w:rPr>
          <w:rFonts w:ascii="PT Astra Serif" w:hAnsi="PT Astra Serif"/>
          <w:szCs w:val="28"/>
        </w:rPr>
        <w:t>ить пищ</w:t>
      </w:r>
      <w:r w:rsidRPr="00F42725">
        <w:rPr>
          <w:rFonts w:ascii="PT Astra Serif" w:hAnsi="PT Astra Serif"/>
          <w:szCs w:val="28"/>
        </w:rPr>
        <w:t xml:space="preserve">еблоки и спортивные залы, оснастить кабинеты современным учебным оборудованием. В 2026 году масштабные работы по капитальному ремонту будут продолжены: в 41 общеобразовательной организации, в 6 дошкольных образовательных организациях. </w:t>
      </w:r>
    </w:p>
    <w:p w14:paraId="2DA21A57" w14:textId="60BBD826"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В </w:t>
      </w:r>
      <w:r w:rsidRPr="00FF6108">
        <w:rPr>
          <w:rFonts w:ascii="PT Astra Serif" w:hAnsi="PT Astra Serif"/>
          <w:szCs w:val="28"/>
        </w:rPr>
        <w:t>2025</w:t>
      </w:r>
      <w:r w:rsidRPr="00F42725">
        <w:rPr>
          <w:rFonts w:ascii="PT Astra Serif" w:hAnsi="PT Astra Serif"/>
          <w:szCs w:val="28"/>
        </w:rPr>
        <w:t xml:space="preserve"> году </w:t>
      </w:r>
      <w:r w:rsidRPr="00F42725">
        <w:rPr>
          <w:rFonts w:ascii="PT Astra Serif" w:hAnsi="PT Astra Serif"/>
          <w:b/>
          <w:szCs w:val="28"/>
        </w:rPr>
        <w:t>229</w:t>
      </w:r>
      <w:r w:rsidRPr="00F42725">
        <w:rPr>
          <w:rFonts w:ascii="PT Astra Serif" w:hAnsi="PT Astra Serif"/>
          <w:szCs w:val="28"/>
        </w:rPr>
        <w:t xml:space="preserve"> </w:t>
      </w:r>
      <w:r w:rsidRPr="00FF6108">
        <w:rPr>
          <w:rFonts w:ascii="PT Astra Serif" w:hAnsi="PT Astra Serif"/>
          <w:b/>
          <w:szCs w:val="28"/>
        </w:rPr>
        <w:t>школ</w:t>
      </w:r>
      <w:r w:rsidRPr="00F42725">
        <w:rPr>
          <w:rFonts w:ascii="PT Astra Serif" w:hAnsi="PT Astra Serif"/>
          <w:szCs w:val="28"/>
        </w:rPr>
        <w:t xml:space="preserve"> в рамках нацпроекта оснащены современным оборудованием по нововведенным предметам </w:t>
      </w:r>
      <w:r w:rsidRPr="00F42725">
        <w:rPr>
          <w:rFonts w:ascii="PT Astra Serif" w:hAnsi="PT Astra Serif"/>
          <w:b/>
          <w:szCs w:val="28"/>
        </w:rPr>
        <w:t xml:space="preserve">ОБЗР и ТРУД </w:t>
      </w:r>
      <w:r w:rsidRPr="00F42725">
        <w:rPr>
          <w:rFonts w:ascii="PT Astra Serif" w:hAnsi="PT Astra Serif"/>
          <w:bCs/>
          <w:szCs w:val="28"/>
        </w:rPr>
        <w:t>– 33,3 млн руб</w:t>
      </w:r>
      <w:r>
        <w:rPr>
          <w:rFonts w:ascii="PT Astra Serif" w:hAnsi="PT Astra Serif"/>
          <w:bCs/>
          <w:szCs w:val="28"/>
        </w:rPr>
        <w:t xml:space="preserve">лей </w:t>
      </w:r>
      <w:r w:rsidRPr="00F42725">
        <w:rPr>
          <w:rFonts w:ascii="PT Astra Serif" w:hAnsi="PT Astra Serif"/>
          <w:bCs/>
          <w:szCs w:val="28"/>
        </w:rPr>
        <w:t>(</w:t>
      </w:r>
      <w:r w:rsidRPr="00E41B6A">
        <w:rPr>
          <w:rFonts w:ascii="PT Astra Serif" w:hAnsi="PT Astra Serif"/>
          <w:szCs w:val="28"/>
        </w:rPr>
        <w:t xml:space="preserve">в том числе из </w:t>
      </w:r>
      <w:r w:rsidRPr="00E41B6A">
        <w:rPr>
          <w:rFonts w:ascii="PT Astra Serif" w:eastAsia="PT Astra Serif" w:hAnsi="PT Astra Serif" w:cs="PT Astra Serif"/>
          <w:szCs w:val="28"/>
        </w:rPr>
        <w:t>федерального бюджета</w:t>
      </w:r>
      <w:r w:rsidRPr="00F42725">
        <w:rPr>
          <w:rFonts w:ascii="PT Astra Serif" w:hAnsi="PT Astra Serif"/>
          <w:bCs/>
          <w:szCs w:val="28"/>
        </w:rPr>
        <w:t xml:space="preserve"> 32,3 млн руб.).</w:t>
      </w:r>
    </w:p>
    <w:p w14:paraId="3ED948EF" w14:textId="77777777" w:rsidR="00C548A9" w:rsidRPr="00F42725" w:rsidRDefault="00C548A9" w:rsidP="00C548A9">
      <w:pPr>
        <w:widowControl w:val="0"/>
        <w:rPr>
          <w:rFonts w:ascii="PT Astra Serif" w:hAnsi="PT Astra Serif"/>
          <w:b/>
          <w:szCs w:val="28"/>
        </w:rPr>
      </w:pPr>
      <w:r w:rsidRPr="00F42725">
        <w:rPr>
          <w:rFonts w:ascii="PT Astra Serif" w:hAnsi="PT Astra Serif"/>
          <w:szCs w:val="28"/>
        </w:rPr>
        <w:t xml:space="preserve">В 2026 году предусмотрено </w:t>
      </w:r>
      <w:r w:rsidRPr="00F42725">
        <w:rPr>
          <w:rFonts w:ascii="PT Astra Serif" w:hAnsi="PT Astra Serif"/>
          <w:b/>
          <w:szCs w:val="28"/>
        </w:rPr>
        <w:t xml:space="preserve">оснащение 132 школ по предметам Музыка, ИЗО и Физика. </w:t>
      </w:r>
    </w:p>
    <w:p w14:paraId="30CFBDAF" w14:textId="77777777" w:rsidR="00C548A9" w:rsidRPr="00F42725" w:rsidRDefault="00C548A9" w:rsidP="00C548A9">
      <w:pPr>
        <w:widowControl w:val="0"/>
        <w:shd w:val="clear" w:color="auto" w:fill="FFFFFF" w:themeFill="background1"/>
        <w:rPr>
          <w:rFonts w:ascii="PT Astra Serif" w:hAnsi="PT Astra Serif"/>
          <w:szCs w:val="28"/>
        </w:rPr>
      </w:pPr>
      <w:r w:rsidRPr="00F42725">
        <w:rPr>
          <w:rFonts w:ascii="PT Astra Serif" w:eastAsia="Times New Roman" w:hAnsi="PT Astra Serif"/>
          <w:b/>
          <w:szCs w:val="28"/>
        </w:rPr>
        <w:t>Охват дополнительным образованием по Ульяновской области составляет 89,83%</w:t>
      </w:r>
      <w:r w:rsidRPr="00F42725">
        <w:rPr>
          <w:rFonts w:ascii="PT Astra Serif" w:eastAsia="Times New Roman" w:hAnsi="PT Astra Serif"/>
          <w:szCs w:val="28"/>
        </w:rPr>
        <w:t xml:space="preserve"> (при плановом значении 86,16%). Следует отметить, что положительную динамику имеет и охват дополнительным образованием детей с ОВЗ, охват по итогам 2025 года составил 85,2%.</w:t>
      </w:r>
      <w:r w:rsidRPr="00F42725">
        <w:rPr>
          <w:rFonts w:ascii="PT Astra Serif" w:hAnsi="PT Astra Serif"/>
          <w:szCs w:val="28"/>
        </w:rPr>
        <w:t xml:space="preserve"> При этом федеральный показатель составляет 87,2%. </w:t>
      </w:r>
    </w:p>
    <w:p w14:paraId="2CACB9A4" w14:textId="23DC6111" w:rsidR="00C548A9" w:rsidRPr="00F42725" w:rsidRDefault="00C548A9" w:rsidP="00C548A9">
      <w:pPr>
        <w:widowControl w:val="0"/>
        <w:shd w:val="clear" w:color="auto" w:fill="FFFFFF" w:themeFill="background1"/>
        <w:rPr>
          <w:rFonts w:ascii="PT Astra Serif" w:hAnsi="PT Astra Serif"/>
          <w:szCs w:val="28"/>
        </w:rPr>
      </w:pPr>
      <w:r w:rsidRPr="00F42725">
        <w:rPr>
          <w:rFonts w:ascii="PT Astra Serif" w:hAnsi="PT Astra Serif"/>
          <w:szCs w:val="28"/>
        </w:rPr>
        <w:t xml:space="preserve">По итогам 2025 года в реестре регионов по охвату детей от 5 до 18 лет услугами дополнительного образования Ульяновская область занимает </w:t>
      </w:r>
      <w:r w:rsidR="00463AF0">
        <w:rPr>
          <w:rFonts w:ascii="PT Astra Serif" w:hAnsi="PT Astra Serif"/>
          <w:szCs w:val="28"/>
        </w:rPr>
        <w:br/>
      </w:r>
      <w:r w:rsidRPr="00F42725">
        <w:rPr>
          <w:rFonts w:ascii="PT Astra Serif" w:hAnsi="PT Astra Serif"/>
          <w:szCs w:val="28"/>
        </w:rPr>
        <w:t>31 строку в РФ по уровню достижения показателя и 4 место в ПФО (Республика Мордовия, Самарская область, Оренбургская область).</w:t>
      </w:r>
    </w:p>
    <w:p w14:paraId="795AA4F6" w14:textId="77777777" w:rsidR="00C548A9" w:rsidRPr="00F42725" w:rsidRDefault="00C548A9" w:rsidP="00C548A9">
      <w:pPr>
        <w:widowControl w:val="0"/>
        <w:rPr>
          <w:rFonts w:ascii="PT Astra Serif" w:hAnsi="PT Astra Serif"/>
          <w:szCs w:val="28"/>
        </w:rPr>
      </w:pPr>
      <w:r w:rsidRPr="00F42725">
        <w:rPr>
          <w:rFonts w:ascii="PT Astra Serif" w:hAnsi="PT Astra Serif"/>
          <w:b/>
          <w:szCs w:val="28"/>
        </w:rPr>
        <w:t>Благодаря программе капитального ремонта СПО</w:t>
      </w:r>
      <w:r w:rsidRPr="00F42725">
        <w:rPr>
          <w:rFonts w:ascii="PT Astra Serif" w:hAnsi="PT Astra Serif"/>
          <w:szCs w:val="28"/>
        </w:rPr>
        <w:t xml:space="preserve"> в 2025 году приступили к ремонту 2 учебных корпусов колледжей. В Ульяновском авиационном колледже – Межрегиональном центре компетенций, </w:t>
      </w:r>
      <w:r>
        <w:rPr>
          <w:rFonts w:ascii="PT Astra Serif" w:hAnsi="PT Astra Serif"/>
          <w:szCs w:val="28"/>
        </w:rPr>
        <w:br/>
      </w:r>
      <w:r w:rsidRPr="00F42725">
        <w:rPr>
          <w:rFonts w:ascii="PT Astra Serif" w:hAnsi="PT Astra Serif"/>
          <w:szCs w:val="28"/>
        </w:rPr>
        <w:t>в Новоспасском технологическом техникуме</w:t>
      </w:r>
      <w:r w:rsidRPr="00F42725">
        <w:rPr>
          <w:rFonts w:ascii="PT Astra Serif" w:hAnsi="PT Astra Serif" w:cs="PT Astra Serif"/>
          <w:szCs w:val="28"/>
          <w:lang w:eastAsia="zh-CN"/>
        </w:rPr>
        <w:t>.</w:t>
      </w:r>
    </w:p>
    <w:p w14:paraId="25777026" w14:textId="637506E6" w:rsidR="00C548A9" w:rsidRPr="00A52819" w:rsidRDefault="00C548A9" w:rsidP="00C548A9">
      <w:pPr>
        <w:widowControl w:val="0"/>
        <w:rPr>
          <w:rFonts w:ascii="PT Astra Serif" w:hAnsi="PT Astra Serif"/>
          <w:spacing w:val="-16"/>
          <w:szCs w:val="28"/>
        </w:rPr>
      </w:pPr>
      <w:r w:rsidRPr="00F42725">
        <w:rPr>
          <w:rFonts w:ascii="PT Astra Serif" w:hAnsi="PT Astra Serif"/>
          <w:szCs w:val="28"/>
        </w:rPr>
        <w:t xml:space="preserve">Всего до 2028 года запланировано капитально отремонтировать </w:t>
      </w:r>
      <w:r w:rsidR="00C23BDD">
        <w:rPr>
          <w:rFonts w:ascii="PT Astra Serif" w:hAnsi="PT Astra Serif"/>
          <w:szCs w:val="28"/>
        </w:rPr>
        <w:br/>
      </w:r>
      <w:r w:rsidRPr="00F42725">
        <w:rPr>
          <w:rFonts w:ascii="PT Astra Serif" w:hAnsi="PT Astra Serif"/>
          <w:szCs w:val="28"/>
        </w:rPr>
        <w:t xml:space="preserve">12 учебных корпусов в 5 </w:t>
      </w:r>
      <w:r w:rsidRPr="00A52819">
        <w:rPr>
          <w:rFonts w:ascii="PT Astra Serif" w:hAnsi="PT Astra Serif"/>
          <w:spacing w:val="-16"/>
          <w:szCs w:val="28"/>
        </w:rPr>
        <w:t>профессиональных образовательных организациях региона.</w:t>
      </w:r>
    </w:p>
    <w:p w14:paraId="5629A695" w14:textId="77777777" w:rsidR="00C548A9" w:rsidRDefault="00C548A9" w:rsidP="00C23BDD">
      <w:pPr>
        <w:widowControl w:val="0"/>
        <w:ind w:firstLine="0"/>
        <w:jc w:val="center"/>
        <w:rPr>
          <w:rFonts w:ascii="PT Astra Serif" w:eastAsia="PT Astra Serif" w:hAnsi="PT Astra Serif" w:cs="PT Astra Serif"/>
          <w:b/>
          <w:i/>
          <w:szCs w:val="28"/>
        </w:rPr>
      </w:pPr>
      <w:r w:rsidRPr="001139B1">
        <w:rPr>
          <w:rFonts w:ascii="PT Astra Serif" w:eastAsia="PT Astra Serif" w:hAnsi="PT Astra Serif" w:cs="PT Astra Serif"/>
          <w:b/>
          <w:i/>
          <w:szCs w:val="28"/>
        </w:rPr>
        <w:lastRenderedPageBreak/>
        <w:t>Дошкольное образование</w:t>
      </w:r>
    </w:p>
    <w:p w14:paraId="16E88FC0" w14:textId="77777777" w:rsidR="00C548A9" w:rsidRDefault="00C548A9" w:rsidP="00C548A9">
      <w:pPr>
        <w:widowControl w:val="0"/>
        <w:rPr>
          <w:rFonts w:ascii="PT Astra Serif" w:eastAsia="Times New Roman" w:hAnsi="PT Astra Serif"/>
          <w:b/>
          <w:szCs w:val="28"/>
        </w:rPr>
      </w:pPr>
    </w:p>
    <w:p w14:paraId="72DF889F" w14:textId="77777777" w:rsidR="00C548A9" w:rsidRDefault="00C548A9" w:rsidP="00C548A9">
      <w:pPr>
        <w:widowControl w:val="0"/>
        <w:rPr>
          <w:rFonts w:ascii="PT Astra Serif" w:eastAsia="Times New Roman" w:hAnsi="PT Astra Serif"/>
          <w:szCs w:val="28"/>
        </w:rPr>
      </w:pPr>
      <w:r w:rsidRPr="0002706C">
        <w:rPr>
          <w:rFonts w:ascii="PT Astra Serif" w:eastAsia="Times New Roman" w:hAnsi="PT Astra Serif"/>
          <w:b/>
          <w:szCs w:val="28"/>
        </w:rPr>
        <w:t xml:space="preserve">В </w:t>
      </w:r>
      <w:r>
        <w:rPr>
          <w:rFonts w:ascii="PT Astra Serif" w:eastAsia="Times New Roman" w:hAnsi="PT Astra Serif"/>
          <w:b/>
          <w:szCs w:val="28"/>
        </w:rPr>
        <w:t>2025 году</w:t>
      </w:r>
      <w:r>
        <w:rPr>
          <w:rFonts w:ascii="PT Astra Serif" w:eastAsia="Times New Roman" w:hAnsi="PT Astra Serif"/>
          <w:szCs w:val="28"/>
        </w:rPr>
        <w:t xml:space="preserve"> в регионе обеспечена доступность дошкольного образования: </w:t>
      </w:r>
      <w:r w:rsidRPr="00D71821">
        <w:rPr>
          <w:rFonts w:ascii="PT Astra Serif" w:eastAsia="Times New Roman" w:hAnsi="PT Astra Serif"/>
          <w:szCs w:val="28"/>
        </w:rPr>
        <w:t xml:space="preserve">для детей в возрасте от 3 до 7 лет составляет 100%, для детей </w:t>
      </w:r>
      <w:r>
        <w:rPr>
          <w:rFonts w:ascii="PT Astra Serif" w:eastAsia="Times New Roman" w:hAnsi="PT Astra Serif"/>
          <w:szCs w:val="28"/>
        </w:rPr>
        <w:br/>
      </w:r>
      <w:r w:rsidRPr="00D71821">
        <w:rPr>
          <w:rFonts w:ascii="PT Astra Serif" w:eastAsia="Times New Roman" w:hAnsi="PT Astra Serif"/>
          <w:szCs w:val="28"/>
        </w:rPr>
        <w:t>в возрасте от 1,5 до 3 лет – 100%.</w:t>
      </w:r>
    </w:p>
    <w:p w14:paraId="04892DBB" w14:textId="77777777" w:rsidR="00C548A9" w:rsidRPr="00D71821" w:rsidRDefault="00C548A9" w:rsidP="00C548A9">
      <w:pPr>
        <w:widowControl w:val="0"/>
        <w:rPr>
          <w:rFonts w:ascii="PT Astra Serif" w:eastAsia="Times New Roman" w:hAnsi="PT Astra Serif"/>
          <w:szCs w:val="28"/>
        </w:rPr>
      </w:pPr>
      <w:r>
        <w:rPr>
          <w:rFonts w:ascii="PT Astra Serif" w:eastAsia="Times New Roman" w:hAnsi="PT Astra Serif"/>
          <w:szCs w:val="28"/>
        </w:rPr>
        <w:t xml:space="preserve">Вместе с тем, дополнительно для семей с детьми на базе дошкольных образовательных организаций </w:t>
      </w:r>
      <w:r w:rsidRPr="00D71821">
        <w:rPr>
          <w:rFonts w:ascii="PT Astra Serif" w:eastAsia="Times New Roman" w:hAnsi="PT Astra Serif"/>
          <w:szCs w:val="28"/>
        </w:rPr>
        <w:t xml:space="preserve">предоставляются альтернативные </w:t>
      </w:r>
      <w:r>
        <w:rPr>
          <w:rFonts w:ascii="PT Astra Serif" w:eastAsia="Times New Roman" w:hAnsi="PT Astra Serif"/>
          <w:szCs w:val="28"/>
        </w:rPr>
        <w:br/>
      </w:r>
      <w:r w:rsidRPr="00D71821">
        <w:rPr>
          <w:rFonts w:ascii="PT Astra Serif" w:eastAsia="Times New Roman" w:hAnsi="PT Astra Serif"/>
          <w:szCs w:val="28"/>
        </w:rPr>
        <w:t>и вариативные формы дошкольного образования: организуются адаптационные группы и группы кратковременного пребывания, це</w:t>
      </w:r>
      <w:r>
        <w:rPr>
          <w:rFonts w:ascii="PT Astra Serif" w:eastAsia="Times New Roman" w:hAnsi="PT Astra Serif"/>
          <w:szCs w:val="28"/>
        </w:rPr>
        <w:t>нтры игровой поддержки ребёнка.</w:t>
      </w:r>
    </w:p>
    <w:p w14:paraId="1DAC1D0D" w14:textId="62AC8C7B" w:rsidR="00C548A9" w:rsidRPr="00D71821" w:rsidRDefault="00C548A9" w:rsidP="00C548A9">
      <w:pPr>
        <w:widowControl w:val="0"/>
        <w:rPr>
          <w:rFonts w:ascii="PT Astra Serif" w:eastAsia="Times New Roman" w:hAnsi="PT Astra Serif"/>
          <w:szCs w:val="28"/>
        </w:rPr>
      </w:pPr>
      <w:r w:rsidRPr="00D71821">
        <w:rPr>
          <w:rFonts w:ascii="PT Astra Serif" w:eastAsia="Times New Roman" w:hAnsi="PT Astra Serif"/>
          <w:szCs w:val="28"/>
        </w:rPr>
        <w:t xml:space="preserve">Для успешной социализации и подготовки ребёнка к </w:t>
      </w:r>
      <w:r>
        <w:rPr>
          <w:rFonts w:ascii="PT Astra Serif" w:eastAsia="Times New Roman" w:hAnsi="PT Astra Serif"/>
          <w:szCs w:val="28"/>
        </w:rPr>
        <w:t>посещению детского сада в 35 дошкольных образовательных организациях</w:t>
      </w:r>
      <w:r w:rsidRPr="00D71821">
        <w:rPr>
          <w:rFonts w:ascii="PT Astra Serif" w:eastAsia="Times New Roman" w:hAnsi="PT Astra Serif"/>
          <w:szCs w:val="28"/>
        </w:rPr>
        <w:t xml:space="preserve"> организованы Центры игровой поддержки ребёнка для детей в возрасте от 1 </w:t>
      </w:r>
      <w:r>
        <w:rPr>
          <w:rFonts w:ascii="PT Astra Serif" w:eastAsia="Times New Roman" w:hAnsi="PT Astra Serif"/>
          <w:szCs w:val="28"/>
        </w:rPr>
        <w:t>года до 3 лет, не посещающих дошкольные образовательные организации</w:t>
      </w:r>
      <w:r w:rsidRPr="00D71821">
        <w:rPr>
          <w:rFonts w:ascii="PT Astra Serif" w:eastAsia="Times New Roman" w:hAnsi="PT Astra Serif"/>
          <w:szCs w:val="28"/>
        </w:rPr>
        <w:t xml:space="preserve">. В 2025/26 учебном году численность детей, посещающих центры игровой поддержки ребёнка – 295 человек, что составляет 3% от общей численности детей в возрасте до </w:t>
      </w:r>
      <w:r w:rsidR="00C23BDD">
        <w:rPr>
          <w:rFonts w:ascii="PT Astra Serif" w:eastAsia="Times New Roman" w:hAnsi="PT Astra Serif"/>
          <w:szCs w:val="28"/>
        </w:rPr>
        <w:br/>
      </w:r>
      <w:r w:rsidRPr="00D71821">
        <w:rPr>
          <w:rFonts w:ascii="PT Astra Serif" w:eastAsia="Times New Roman" w:hAnsi="PT Astra Serif"/>
          <w:szCs w:val="28"/>
        </w:rPr>
        <w:t>3 лет.</w:t>
      </w:r>
    </w:p>
    <w:p w14:paraId="6EE34573" w14:textId="77777777" w:rsidR="00C548A9" w:rsidRPr="00D71821" w:rsidRDefault="00C548A9" w:rsidP="00C548A9">
      <w:pPr>
        <w:widowControl w:val="0"/>
        <w:rPr>
          <w:rFonts w:ascii="PT Astra Serif" w:eastAsia="Times New Roman" w:hAnsi="PT Astra Serif"/>
          <w:szCs w:val="28"/>
        </w:rPr>
      </w:pPr>
      <w:r w:rsidRPr="00D71821">
        <w:rPr>
          <w:rFonts w:ascii="PT Astra Serif" w:eastAsia="Times New Roman" w:hAnsi="PT Astra Serif"/>
          <w:szCs w:val="28"/>
        </w:rPr>
        <w:t>В Ульяновской области функционируют 10</w:t>
      </w:r>
      <w:r>
        <w:rPr>
          <w:rFonts w:ascii="PT Astra Serif" w:eastAsia="Times New Roman" w:hAnsi="PT Astra Serif"/>
          <w:szCs w:val="28"/>
        </w:rPr>
        <w:t xml:space="preserve"> Служб ранней помощи на базе дошкольных образовательных организаций г. Ульяновска, г. </w:t>
      </w:r>
      <w:r w:rsidRPr="00D71821">
        <w:rPr>
          <w:rFonts w:ascii="PT Astra Serif" w:eastAsia="Times New Roman" w:hAnsi="PT Astra Serif"/>
          <w:szCs w:val="28"/>
        </w:rPr>
        <w:t>Димитровграда, Мелекесского, Барышско</w:t>
      </w:r>
      <w:r>
        <w:rPr>
          <w:rFonts w:ascii="PT Astra Serif" w:eastAsia="Times New Roman" w:hAnsi="PT Astra Serif"/>
          <w:szCs w:val="28"/>
        </w:rPr>
        <w:t>го и Инзенского районов. П</w:t>
      </w:r>
      <w:r w:rsidRPr="00D71821">
        <w:rPr>
          <w:rFonts w:ascii="PT Astra Serif" w:eastAsia="Times New Roman" w:hAnsi="PT Astra Serif"/>
          <w:szCs w:val="28"/>
        </w:rPr>
        <w:t xml:space="preserve">сихолого-педагогическая помощь </w:t>
      </w:r>
      <w:r>
        <w:rPr>
          <w:rFonts w:ascii="PT Astra Serif" w:eastAsia="Times New Roman" w:hAnsi="PT Astra Serif"/>
          <w:szCs w:val="28"/>
        </w:rPr>
        <w:t xml:space="preserve">в 2025 году </w:t>
      </w:r>
      <w:r w:rsidRPr="00D71821">
        <w:rPr>
          <w:rFonts w:ascii="PT Astra Serif" w:eastAsia="Times New Roman" w:hAnsi="PT Astra Serif"/>
          <w:szCs w:val="28"/>
        </w:rPr>
        <w:t>оказана 75 семьям.</w:t>
      </w:r>
    </w:p>
    <w:p w14:paraId="1FEC42CB" w14:textId="02AB083A" w:rsidR="00C548A9" w:rsidRPr="0002706C" w:rsidRDefault="00C548A9" w:rsidP="00C548A9">
      <w:pPr>
        <w:widowControl w:val="0"/>
        <w:shd w:val="clear" w:color="auto" w:fill="FFFFFF"/>
        <w:rPr>
          <w:rFonts w:ascii="PT Astra Serif" w:eastAsia="Times New Roman" w:hAnsi="PT Astra Serif"/>
          <w:szCs w:val="28"/>
        </w:rPr>
      </w:pPr>
      <w:r>
        <w:rPr>
          <w:rFonts w:ascii="PT Astra Serif" w:eastAsia="Times New Roman" w:hAnsi="PT Astra Serif"/>
          <w:szCs w:val="28"/>
        </w:rPr>
        <w:t>В регионе</w:t>
      </w:r>
      <w:r w:rsidRPr="00D71821">
        <w:rPr>
          <w:rFonts w:ascii="PT Astra Serif" w:eastAsia="Times New Roman" w:hAnsi="PT Astra Serif"/>
          <w:szCs w:val="28"/>
        </w:rPr>
        <w:t xml:space="preserve"> функционирует 413 консультационных центров (далее – КЦ). Количество обращений в КЦ семей с детьми, получающими дошкольное образование, составило 7</w:t>
      </w:r>
      <w:r>
        <w:rPr>
          <w:rFonts w:ascii="PT Astra Serif" w:eastAsia="Times New Roman" w:hAnsi="PT Astra Serif"/>
          <w:szCs w:val="28"/>
        </w:rPr>
        <w:t> </w:t>
      </w:r>
      <w:r w:rsidRPr="00D71821">
        <w:rPr>
          <w:rFonts w:ascii="PT Astra Serif" w:eastAsia="Times New Roman" w:hAnsi="PT Astra Serif"/>
          <w:szCs w:val="28"/>
        </w:rPr>
        <w:t>304 единицы, из них в очном режиме – 5</w:t>
      </w:r>
      <w:r>
        <w:rPr>
          <w:rFonts w:ascii="PT Astra Serif" w:eastAsia="Times New Roman" w:hAnsi="PT Astra Serif"/>
          <w:szCs w:val="28"/>
        </w:rPr>
        <w:t> </w:t>
      </w:r>
      <w:r w:rsidRPr="00D71821">
        <w:rPr>
          <w:rFonts w:ascii="PT Astra Serif" w:eastAsia="Times New Roman" w:hAnsi="PT Astra Serif"/>
          <w:szCs w:val="28"/>
        </w:rPr>
        <w:t xml:space="preserve">706, </w:t>
      </w:r>
      <w:r>
        <w:rPr>
          <w:rFonts w:ascii="PT Astra Serif" w:eastAsia="Times New Roman" w:hAnsi="PT Astra Serif"/>
          <w:szCs w:val="28"/>
        </w:rPr>
        <w:br/>
      </w:r>
      <w:r w:rsidRPr="00D71821">
        <w:rPr>
          <w:rFonts w:ascii="PT Astra Serif" w:eastAsia="Times New Roman" w:hAnsi="PT Astra Serif"/>
          <w:szCs w:val="28"/>
        </w:rPr>
        <w:t>в дистанционном – 1</w:t>
      </w:r>
      <w:r>
        <w:rPr>
          <w:rFonts w:ascii="PT Astra Serif" w:eastAsia="Times New Roman" w:hAnsi="PT Astra Serif"/>
          <w:szCs w:val="28"/>
        </w:rPr>
        <w:t> </w:t>
      </w:r>
      <w:r w:rsidRPr="00D71821">
        <w:rPr>
          <w:rFonts w:ascii="PT Astra Serif" w:eastAsia="Times New Roman" w:hAnsi="PT Astra Serif"/>
          <w:szCs w:val="28"/>
        </w:rPr>
        <w:t>598. Количество детей, не получающих дошкольное образование, охваченных услугами КЦ в 2025 году, составляет 5</w:t>
      </w:r>
      <w:r>
        <w:rPr>
          <w:rFonts w:ascii="PT Astra Serif" w:eastAsia="Times New Roman" w:hAnsi="PT Astra Serif"/>
          <w:szCs w:val="28"/>
        </w:rPr>
        <w:t> </w:t>
      </w:r>
      <w:r w:rsidRPr="00D71821">
        <w:rPr>
          <w:rFonts w:ascii="PT Astra Serif" w:eastAsia="Times New Roman" w:hAnsi="PT Astra Serif"/>
          <w:szCs w:val="28"/>
        </w:rPr>
        <w:t>208 детей (от 0 до 3 лет – 3</w:t>
      </w:r>
      <w:r>
        <w:rPr>
          <w:rFonts w:ascii="PT Astra Serif" w:eastAsia="Times New Roman" w:hAnsi="PT Astra Serif"/>
          <w:szCs w:val="28"/>
        </w:rPr>
        <w:t> </w:t>
      </w:r>
      <w:r w:rsidRPr="00D71821">
        <w:rPr>
          <w:rFonts w:ascii="PT Astra Serif" w:eastAsia="Times New Roman" w:hAnsi="PT Astra Serif"/>
          <w:szCs w:val="28"/>
        </w:rPr>
        <w:t>172, от 3 до 7 лет – 2</w:t>
      </w:r>
      <w:r>
        <w:rPr>
          <w:rFonts w:ascii="PT Astra Serif" w:eastAsia="Times New Roman" w:hAnsi="PT Astra Serif"/>
          <w:szCs w:val="28"/>
        </w:rPr>
        <w:t> </w:t>
      </w:r>
      <w:r w:rsidRPr="00D71821">
        <w:rPr>
          <w:rFonts w:ascii="PT Astra Serif" w:eastAsia="Times New Roman" w:hAnsi="PT Astra Serif"/>
          <w:szCs w:val="28"/>
        </w:rPr>
        <w:t>036, старше 7 лет – 262).</w:t>
      </w:r>
      <w:r>
        <w:rPr>
          <w:rFonts w:ascii="PT Astra Serif" w:eastAsia="Times New Roman" w:hAnsi="PT Astra Serif"/>
          <w:szCs w:val="28"/>
        </w:rPr>
        <w:t xml:space="preserve"> По поручению Президента РФ начата работа по мониторингу потребности родителей</w:t>
      </w:r>
      <w:r w:rsidRPr="0002706C">
        <w:rPr>
          <w:rFonts w:ascii="PT Astra Serif" w:eastAsia="Times New Roman" w:hAnsi="PT Astra Serif"/>
          <w:color w:val="204462"/>
          <w:szCs w:val="28"/>
        </w:rPr>
        <w:t xml:space="preserve"> </w:t>
      </w:r>
      <w:r w:rsidRPr="0002706C">
        <w:rPr>
          <w:rFonts w:ascii="PT Astra Serif" w:eastAsia="Times New Roman" w:hAnsi="PT Astra Serif"/>
          <w:szCs w:val="28"/>
        </w:rPr>
        <w:t>по увеличению количеств</w:t>
      </w:r>
      <w:r w:rsidR="000E054B">
        <w:rPr>
          <w:rFonts w:ascii="PT Astra Serif" w:eastAsia="Times New Roman" w:hAnsi="PT Astra Serif"/>
          <w:szCs w:val="28"/>
        </w:rPr>
        <w:t>а</w:t>
      </w:r>
      <w:r w:rsidRPr="0002706C">
        <w:rPr>
          <w:rFonts w:ascii="PT Astra Serif" w:eastAsia="Times New Roman" w:hAnsi="PT Astra Serif"/>
          <w:szCs w:val="28"/>
        </w:rPr>
        <w:t xml:space="preserve"> ясельных групп в детских садах и необходимости продления </w:t>
      </w:r>
      <w:proofErr w:type="spellStart"/>
      <w:r w:rsidRPr="0002706C">
        <w:rPr>
          <w:rFonts w:ascii="PT Astra Serif" w:eastAsia="Times New Roman" w:hAnsi="PT Astra Serif"/>
          <w:szCs w:val="28"/>
        </w:rPr>
        <w:t>время</w:t>
      </w:r>
      <w:r w:rsidR="000E054B">
        <w:rPr>
          <w:rFonts w:ascii="PT Astra Serif" w:eastAsia="Times New Roman" w:hAnsi="PT Astra Serif"/>
          <w:szCs w:val="28"/>
        </w:rPr>
        <w:t>ни</w:t>
      </w:r>
      <w:proofErr w:type="spellEnd"/>
      <w:r w:rsidRPr="0002706C">
        <w:rPr>
          <w:rFonts w:ascii="PT Astra Serif" w:eastAsia="Times New Roman" w:hAnsi="PT Astra Serif"/>
          <w:szCs w:val="28"/>
        </w:rPr>
        <w:t xml:space="preserve"> работы детских садов до 20.00 часов</w:t>
      </w:r>
      <w:r>
        <w:rPr>
          <w:rFonts w:ascii="PT Astra Serif" w:eastAsia="Times New Roman" w:hAnsi="PT Astra Serif"/>
          <w:szCs w:val="28"/>
        </w:rPr>
        <w:t xml:space="preserve">. </w:t>
      </w:r>
    </w:p>
    <w:p w14:paraId="45CB1C85" w14:textId="77777777" w:rsidR="00C548A9" w:rsidRPr="00B122EA" w:rsidRDefault="00C548A9" w:rsidP="00C548A9">
      <w:pPr>
        <w:widowControl w:val="0"/>
        <w:contextualSpacing/>
        <w:rPr>
          <w:rFonts w:ascii="PT Astra Serif" w:hAnsi="PT Astra Serif"/>
          <w:szCs w:val="28"/>
        </w:rPr>
      </w:pPr>
    </w:p>
    <w:p w14:paraId="1C11EBB1" w14:textId="77777777" w:rsidR="00C548A9" w:rsidRPr="00B122EA" w:rsidRDefault="00C548A9" w:rsidP="00C23BDD">
      <w:pPr>
        <w:widowControl w:val="0"/>
        <w:ind w:firstLine="0"/>
        <w:jc w:val="center"/>
        <w:rPr>
          <w:rFonts w:ascii="PT Astra Serif" w:eastAsia="PT Astra Serif" w:hAnsi="PT Astra Serif" w:cs="PT Astra Serif"/>
          <w:b/>
          <w:bCs/>
          <w:i/>
          <w:szCs w:val="28"/>
        </w:rPr>
      </w:pPr>
      <w:r w:rsidRPr="00B122EA">
        <w:rPr>
          <w:rFonts w:ascii="PT Astra Serif" w:eastAsia="PT Astra Serif" w:hAnsi="PT Astra Serif" w:cs="PT Astra Serif"/>
          <w:b/>
          <w:bCs/>
          <w:i/>
          <w:szCs w:val="28"/>
        </w:rPr>
        <w:t>Дополнительное образование</w:t>
      </w:r>
    </w:p>
    <w:p w14:paraId="768BA2D0" w14:textId="77777777" w:rsidR="00C548A9" w:rsidRPr="00373FD1" w:rsidRDefault="00C548A9" w:rsidP="00C548A9">
      <w:pPr>
        <w:widowControl w:val="0"/>
        <w:rPr>
          <w:rFonts w:ascii="PT Astra Serif" w:eastAsia="PT Astra Serif" w:hAnsi="PT Astra Serif" w:cs="PT Astra Serif"/>
          <w:b/>
          <w:bCs/>
          <w:i/>
          <w:szCs w:val="28"/>
          <w:u w:val="single"/>
        </w:rPr>
      </w:pPr>
    </w:p>
    <w:p w14:paraId="65F20AA2" w14:textId="77777777" w:rsidR="00C548A9" w:rsidRPr="00F42725" w:rsidRDefault="00C548A9" w:rsidP="00C548A9">
      <w:pPr>
        <w:widowControl w:val="0"/>
        <w:rPr>
          <w:rFonts w:ascii="PT Astra Serif" w:eastAsia="PT Astra Serif" w:hAnsi="PT Astra Serif" w:cs="PT Astra Serif"/>
          <w:b/>
          <w:szCs w:val="28"/>
        </w:rPr>
      </w:pPr>
      <w:r w:rsidRPr="00F42725">
        <w:rPr>
          <w:rFonts w:ascii="PT Astra Serif" w:eastAsia="PT Astra Serif" w:hAnsi="PT Astra Serif" w:cs="PT Astra Serif"/>
          <w:szCs w:val="28"/>
        </w:rPr>
        <w:t xml:space="preserve">Система дополнительного образования – возможность для ранней </w:t>
      </w:r>
      <w:r>
        <w:rPr>
          <w:rFonts w:ascii="PT Astra Serif" w:eastAsia="PT Astra Serif" w:hAnsi="PT Astra Serif" w:cs="PT Astra Serif"/>
          <w:szCs w:val="28"/>
        </w:rPr>
        <w:t>профессиональной ориентации ребё</w:t>
      </w:r>
      <w:r w:rsidRPr="00F42725">
        <w:rPr>
          <w:rFonts w:ascii="PT Astra Serif" w:eastAsia="PT Astra Serif" w:hAnsi="PT Astra Serif" w:cs="PT Astra Serif"/>
          <w:szCs w:val="28"/>
        </w:rPr>
        <w:t>нка. К занятиям по единой мод</w:t>
      </w:r>
      <w:r>
        <w:rPr>
          <w:rFonts w:ascii="PT Astra Serif" w:eastAsia="PT Astra Serif" w:hAnsi="PT Astra Serif" w:cs="PT Astra Serif"/>
          <w:szCs w:val="28"/>
        </w:rPr>
        <w:t>ели ранней профориентации в 2025</w:t>
      </w:r>
      <w:r w:rsidRPr="00F42725">
        <w:rPr>
          <w:rFonts w:ascii="PT Astra Serif" w:eastAsia="PT Astra Serif" w:hAnsi="PT Astra Serif" w:cs="PT Astra Serif"/>
          <w:szCs w:val="28"/>
        </w:rPr>
        <w:t xml:space="preserve"> году подключились </w:t>
      </w:r>
      <w:r w:rsidRPr="00F42725">
        <w:rPr>
          <w:rFonts w:ascii="PT Astra Serif" w:eastAsia="PT Astra Serif" w:hAnsi="PT Astra Serif" w:cs="PT Astra Serif"/>
          <w:b/>
          <w:szCs w:val="28"/>
        </w:rPr>
        <w:t>78 ведущих предприятий</w:t>
      </w:r>
      <w:r w:rsidRPr="00F42725">
        <w:rPr>
          <w:rFonts w:ascii="PT Astra Serif" w:eastAsia="PT Astra Serif" w:hAnsi="PT Astra Serif" w:cs="PT Astra Serif"/>
          <w:szCs w:val="28"/>
        </w:rPr>
        <w:t>.</w:t>
      </w:r>
    </w:p>
    <w:p w14:paraId="118ED979"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b/>
          <w:szCs w:val="28"/>
        </w:rPr>
        <w:t xml:space="preserve">В 100% образовательных организаций </w:t>
      </w:r>
      <w:r w:rsidRPr="00F42725">
        <w:rPr>
          <w:rFonts w:ascii="PT Astra Serif" w:eastAsia="PT Astra Serif" w:hAnsi="PT Astra Serif" w:cs="PT Astra Serif"/>
          <w:szCs w:val="28"/>
        </w:rPr>
        <w:t>реализуется программа воспитания,</w:t>
      </w:r>
      <w:r w:rsidRPr="00F42725">
        <w:rPr>
          <w:rFonts w:ascii="PT Astra Serif" w:eastAsia="PT Astra Serif" w:hAnsi="PT Astra Serif" w:cs="PT Astra Serif"/>
          <w:b/>
          <w:szCs w:val="28"/>
        </w:rPr>
        <w:t xml:space="preserve"> более 81% </w:t>
      </w:r>
      <w:r w:rsidRPr="00F42725">
        <w:rPr>
          <w:rFonts w:ascii="PT Astra Serif" w:eastAsia="PT Astra Serif" w:hAnsi="PT Astra Serif" w:cs="PT Astra Serif"/>
          <w:szCs w:val="28"/>
        </w:rPr>
        <w:t>вовлечены и принимают участие в мероприятиях патриотической направленности и детских общественных движениях, творческих конкурсах, олимпиадах.</w:t>
      </w:r>
    </w:p>
    <w:p w14:paraId="3039AAA9" w14:textId="5676C3EA"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t>В течение года ежемесячно выплачива</w:t>
      </w:r>
      <w:r>
        <w:rPr>
          <w:rFonts w:ascii="PT Astra Serif" w:eastAsia="PT Astra Serif" w:hAnsi="PT Astra Serif" w:cs="PT Astra Serif"/>
          <w:szCs w:val="28"/>
        </w:rPr>
        <w:t>лось вознаграждение в размере 5 </w:t>
      </w:r>
      <w:r w:rsidRPr="00F42725">
        <w:rPr>
          <w:rFonts w:ascii="PT Astra Serif" w:eastAsia="PT Astra Serif" w:hAnsi="PT Astra Serif" w:cs="PT Astra Serif"/>
          <w:szCs w:val="28"/>
        </w:rPr>
        <w:t>000 рублей 340 работникам, замещавшим должность «Советник директора по воспитанию и взаимодействию с детскими общественными объединениями». На реализацию данного мероприятия в 2025 году было предусмотрено из федерального бюджета 25</w:t>
      </w:r>
      <w:r w:rsidR="00463AF0">
        <w:rPr>
          <w:rFonts w:ascii="PT Astra Serif" w:eastAsia="PT Astra Serif" w:hAnsi="PT Astra Serif" w:cs="PT Astra Serif"/>
          <w:szCs w:val="28"/>
        </w:rPr>
        <w:t> 222 </w:t>
      </w:r>
      <w:r w:rsidRPr="00F42725">
        <w:rPr>
          <w:rFonts w:ascii="PT Astra Serif" w:eastAsia="PT Astra Serif" w:hAnsi="PT Astra Serif" w:cs="PT Astra Serif"/>
          <w:szCs w:val="28"/>
        </w:rPr>
        <w:t xml:space="preserve">588,17 рублей. </w:t>
      </w:r>
    </w:p>
    <w:p w14:paraId="2F54D59C"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lastRenderedPageBreak/>
        <w:t xml:space="preserve">В 278 государственных и муниципальных общеобразовательных организациях, и их структурных подразделениях реализованы мероприятия по обеспечению 139 ставок деятельности советников директора по воспитанию </w:t>
      </w:r>
      <w:r>
        <w:rPr>
          <w:rFonts w:ascii="PT Astra Serif" w:eastAsia="PT Astra Serif" w:hAnsi="PT Astra Serif" w:cs="PT Astra Serif"/>
          <w:szCs w:val="28"/>
        </w:rPr>
        <w:br/>
      </w:r>
      <w:r w:rsidRPr="00F42725">
        <w:rPr>
          <w:rFonts w:ascii="PT Astra Serif" w:eastAsia="PT Astra Serif" w:hAnsi="PT Astra Serif" w:cs="PT Astra Serif"/>
          <w:szCs w:val="28"/>
        </w:rPr>
        <w:t>и взаимодействию с детскими общественными объединениями.</w:t>
      </w:r>
      <w:r w:rsidRPr="00F42725">
        <w:rPr>
          <w:rFonts w:ascii="PT Astra Serif" w:hAnsi="PT Astra Serif"/>
          <w:szCs w:val="28"/>
        </w:rPr>
        <w:t xml:space="preserve"> </w:t>
      </w:r>
      <w:r w:rsidRPr="00F42725">
        <w:rPr>
          <w:rFonts w:ascii="PT Astra Serif" w:eastAsia="PT Astra Serif" w:hAnsi="PT Astra Serif" w:cs="PT Astra Serif"/>
          <w:szCs w:val="28"/>
        </w:rPr>
        <w:t>На реализацию данного мероприятия в 2025 году было предусмотрено из консолидированного бюджета 66</w:t>
      </w:r>
      <w:r>
        <w:rPr>
          <w:rFonts w:ascii="PT Astra Serif" w:eastAsia="PT Astra Serif" w:hAnsi="PT Astra Serif" w:cs="PT Astra Serif"/>
          <w:szCs w:val="28"/>
        </w:rPr>
        <w:t> </w:t>
      </w:r>
      <w:r w:rsidRPr="00F42725">
        <w:rPr>
          <w:rFonts w:ascii="PT Astra Serif" w:eastAsia="PT Astra Serif" w:hAnsi="PT Astra Serif" w:cs="PT Astra Serif"/>
          <w:szCs w:val="28"/>
        </w:rPr>
        <w:t>714 536,08 рублей, из которых 64</w:t>
      </w:r>
      <w:r>
        <w:rPr>
          <w:rFonts w:ascii="PT Astra Serif" w:eastAsia="PT Astra Serif" w:hAnsi="PT Astra Serif" w:cs="PT Astra Serif"/>
          <w:szCs w:val="28"/>
        </w:rPr>
        <w:t> </w:t>
      </w:r>
      <w:r w:rsidRPr="00F42725">
        <w:rPr>
          <w:rFonts w:ascii="PT Astra Serif" w:eastAsia="PT Astra Serif" w:hAnsi="PT Astra Serif" w:cs="PT Astra Serif"/>
          <w:szCs w:val="28"/>
        </w:rPr>
        <w:t>713 100,0 рублей привлечено из федерального бюджета.</w:t>
      </w:r>
    </w:p>
    <w:p w14:paraId="64938EB2" w14:textId="7B00B815" w:rsidR="00C548A9" w:rsidRPr="00F42725" w:rsidRDefault="00C548A9" w:rsidP="00C548A9">
      <w:pPr>
        <w:widowControl w:val="0"/>
        <w:rPr>
          <w:rFonts w:ascii="PT Astra Serif" w:eastAsia="PT Astra Serif" w:hAnsi="PT Astra Serif" w:cs="PT Astra Serif"/>
          <w:b/>
          <w:szCs w:val="28"/>
        </w:rPr>
      </w:pPr>
      <w:r w:rsidRPr="00F42725">
        <w:rPr>
          <w:rFonts w:ascii="PT Astra Serif" w:eastAsia="PT Astra Serif" w:hAnsi="PT Astra Serif" w:cs="PT Astra Serif"/>
          <w:szCs w:val="28"/>
        </w:rPr>
        <w:t xml:space="preserve">В целях вовлечения обучающихся от 6 до 18 лет в деятельность всероссийских общественных движений и проектов, обеспечивающих социально-активную деятельность ребят в </w:t>
      </w:r>
      <w:r w:rsidRPr="00F42725">
        <w:rPr>
          <w:rFonts w:ascii="PT Astra Serif" w:eastAsia="PT Astra Serif" w:hAnsi="PT Astra Serif" w:cs="PT Astra Serif"/>
          <w:b/>
          <w:szCs w:val="28"/>
        </w:rPr>
        <w:t>494</w:t>
      </w:r>
      <w:r w:rsidRPr="00F42725">
        <w:rPr>
          <w:rFonts w:ascii="PT Astra Serif" w:eastAsia="PT Astra Serif" w:hAnsi="PT Astra Serif" w:cs="PT Astra Serif"/>
          <w:szCs w:val="28"/>
        </w:rPr>
        <w:t xml:space="preserve"> образовательных организациях и молодёжи </w:t>
      </w:r>
      <w:r w:rsidRPr="00F42725">
        <w:rPr>
          <w:rFonts w:ascii="PT Astra Serif" w:eastAsia="PT Astra Serif" w:hAnsi="PT Astra Serif" w:cs="PT Astra Serif"/>
          <w:b/>
          <w:szCs w:val="28"/>
        </w:rPr>
        <w:t xml:space="preserve">«Движение первых» </w:t>
      </w:r>
      <w:r w:rsidRPr="00B122EA">
        <w:rPr>
          <w:rFonts w:ascii="PT Astra Serif" w:eastAsia="PT Astra Serif" w:hAnsi="PT Astra Serif" w:cs="PT Astra Serif"/>
          <w:szCs w:val="28"/>
        </w:rPr>
        <w:t xml:space="preserve">(на базе школ </w:t>
      </w:r>
      <w:r>
        <w:rPr>
          <w:rFonts w:ascii="PT Astra Serif" w:eastAsia="PT Astra Serif" w:hAnsi="PT Astra Serif" w:cs="PT Astra Serif"/>
          <w:szCs w:val="28"/>
        </w:rPr>
        <w:t xml:space="preserve">- </w:t>
      </w:r>
      <w:r w:rsidRPr="00B122EA">
        <w:rPr>
          <w:rFonts w:ascii="PT Astra Serif" w:eastAsia="PT Astra Serif" w:hAnsi="PT Astra Serif" w:cs="PT Astra Serif"/>
          <w:szCs w:val="28"/>
        </w:rPr>
        <w:t>352, в СПО</w:t>
      </w:r>
      <w:r>
        <w:rPr>
          <w:rFonts w:ascii="PT Astra Serif" w:eastAsia="PT Astra Serif" w:hAnsi="PT Astra Serif" w:cs="PT Astra Serif"/>
          <w:szCs w:val="28"/>
        </w:rPr>
        <w:t xml:space="preserve"> -</w:t>
      </w:r>
      <w:r w:rsidRPr="00B122EA">
        <w:rPr>
          <w:rFonts w:ascii="PT Astra Serif" w:eastAsia="PT Astra Serif" w:hAnsi="PT Astra Serif" w:cs="PT Astra Serif"/>
          <w:szCs w:val="28"/>
        </w:rPr>
        <w:t xml:space="preserve"> 39, </w:t>
      </w:r>
      <w:r w:rsidR="00463AF0">
        <w:rPr>
          <w:rFonts w:ascii="PT Astra Serif" w:eastAsia="PT Astra Serif" w:hAnsi="PT Astra Serif" w:cs="PT Astra Serif"/>
          <w:szCs w:val="28"/>
        </w:rPr>
        <w:br/>
      </w:r>
      <w:r>
        <w:rPr>
          <w:rFonts w:ascii="PT Astra Serif" w:eastAsia="PT Astra Serif" w:hAnsi="PT Astra Serif" w:cs="PT Astra Serif"/>
          <w:szCs w:val="28"/>
        </w:rPr>
        <w:t xml:space="preserve">в дополнительном </w:t>
      </w:r>
      <w:r w:rsidRPr="00B122EA">
        <w:rPr>
          <w:rFonts w:ascii="PT Astra Serif" w:eastAsia="PT Astra Serif" w:hAnsi="PT Astra Serif" w:cs="PT Astra Serif"/>
          <w:szCs w:val="28"/>
        </w:rPr>
        <w:t>образовании</w:t>
      </w:r>
      <w:r>
        <w:rPr>
          <w:rFonts w:ascii="PT Astra Serif" w:eastAsia="PT Astra Serif" w:hAnsi="PT Astra Serif" w:cs="PT Astra Serif"/>
          <w:szCs w:val="28"/>
        </w:rPr>
        <w:t xml:space="preserve"> -</w:t>
      </w:r>
      <w:r w:rsidRPr="00B122EA">
        <w:rPr>
          <w:rFonts w:ascii="PT Astra Serif" w:eastAsia="PT Astra Serif" w:hAnsi="PT Astra Serif" w:cs="PT Astra Serif"/>
          <w:szCs w:val="28"/>
        </w:rPr>
        <w:t xml:space="preserve">46, в организациях высшего образования </w:t>
      </w:r>
      <w:r w:rsidR="00F660A1">
        <w:rPr>
          <w:rFonts w:ascii="PT Astra Serif" w:eastAsia="PT Astra Serif" w:hAnsi="PT Astra Serif" w:cs="PT Astra Serif"/>
          <w:szCs w:val="28"/>
        </w:rPr>
        <w:br/>
      </w:r>
      <w:r>
        <w:rPr>
          <w:rFonts w:ascii="PT Astra Serif" w:eastAsia="PT Astra Serif" w:hAnsi="PT Astra Serif" w:cs="PT Astra Serif"/>
          <w:szCs w:val="28"/>
        </w:rPr>
        <w:t xml:space="preserve">7 </w:t>
      </w:r>
      <w:r w:rsidRPr="00B122EA">
        <w:rPr>
          <w:rFonts w:ascii="PT Astra Serif" w:eastAsia="PT Astra Serif" w:hAnsi="PT Astra Serif" w:cs="PT Astra Serif"/>
          <w:szCs w:val="28"/>
        </w:rPr>
        <w:t>и 50 в иных организациях)</w:t>
      </w:r>
      <w:r w:rsidRPr="00F42725">
        <w:rPr>
          <w:rFonts w:ascii="PT Astra Serif" w:eastAsia="PT Astra Serif" w:hAnsi="PT Astra Serif" w:cs="PT Astra Serif"/>
          <w:b/>
          <w:szCs w:val="28"/>
        </w:rPr>
        <w:t xml:space="preserve"> (АППГ</w:t>
      </w:r>
      <w:r>
        <w:rPr>
          <w:rFonts w:ascii="PT Astra Serif" w:eastAsia="PT Astra Serif" w:hAnsi="PT Astra Serif" w:cs="PT Astra Serif"/>
          <w:b/>
          <w:szCs w:val="28"/>
        </w:rPr>
        <w:t xml:space="preserve"> </w:t>
      </w:r>
      <w:r w:rsidRPr="00F42725">
        <w:rPr>
          <w:rFonts w:ascii="PT Astra Serif" w:eastAsia="PT Astra Serif" w:hAnsi="PT Astra Serif" w:cs="PT Astra Serif"/>
          <w:b/>
          <w:szCs w:val="28"/>
        </w:rPr>
        <w:t>-</w:t>
      </w:r>
      <w:r>
        <w:rPr>
          <w:rFonts w:ascii="PT Astra Serif" w:eastAsia="PT Astra Serif" w:hAnsi="PT Astra Serif" w:cs="PT Astra Serif"/>
          <w:b/>
          <w:szCs w:val="28"/>
        </w:rPr>
        <w:t xml:space="preserve"> </w:t>
      </w:r>
      <w:r w:rsidRPr="00F42725">
        <w:rPr>
          <w:rFonts w:ascii="PT Astra Serif" w:eastAsia="PT Astra Serif" w:hAnsi="PT Astra Serif" w:cs="PT Astra Serif"/>
          <w:b/>
          <w:szCs w:val="28"/>
        </w:rPr>
        <w:t>458)</w:t>
      </w:r>
      <w:r w:rsidRPr="00F42725">
        <w:rPr>
          <w:rFonts w:ascii="PT Astra Serif" w:eastAsia="PT Astra Serif" w:hAnsi="PT Astra Serif" w:cs="PT Astra Serif"/>
          <w:i/>
          <w:szCs w:val="28"/>
        </w:rPr>
        <w:t>.</w:t>
      </w:r>
      <w:r w:rsidRPr="00F42725">
        <w:rPr>
          <w:rFonts w:ascii="PT Astra Serif" w:eastAsia="PT Astra Serif" w:hAnsi="PT Astra Serif" w:cs="PT Astra Serif"/>
          <w:szCs w:val="28"/>
        </w:rPr>
        <w:t xml:space="preserve"> В реализацию региональных </w:t>
      </w:r>
      <w:r w:rsidRPr="00F42725">
        <w:rPr>
          <w:rFonts w:ascii="PT Astra Serif" w:eastAsia="PT Astra Serif" w:hAnsi="PT Astra Serif" w:cs="PT Astra Serif"/>
          <w:b/>
          <w:szCs w:val="28"/>
        </w:rPr>
        <w:t>проектов Движения первых вовлечено 96</w:t>
      </w:r>
      <w:r>
        <w:rPr>
          <w:rFonts w:ascii="PT Astra Serif" w:eastAsia="PT Astra Serif" w:hAnsi="PT Astra Serif" w:cs="PT Astra Serif"/>
          <w:b/>
          <w:szCs w:val="28"/>
        </w:rPr>
        <w:t> </w:t>
      </w:r>
      <w:r w:rsidRPr="00F42725">
        <w:rPr>
          <w:rFonts w:ascii="PT Astra Serif" w:eastAsia="PT Astra Serif" w:hAnsi="PT Astra Serif" w:cs="PT Astra Serif"/>
          <w:b/>
          <w:szCs w:val="28"/>
        </w:rPr>
        <w:t>7</w:t>
      </w:r>
      <w:r w:rsidR="000E054B">
        <w:rPr>
          <w:rFonts w:ascii="PT Astra Serif" w:eastAsia="PT Astra Serif" w:hAnsi="PT Astra Serif" w:cs="PT Astra Serif"/>
          <w:b/>
          <w:szCs w:val="28"/>
        </w:rPr>
        <w:t>55</w:t>
      </w:r>
      <w:r w:rsidRPr="00F42725">
        <w:rPr>
          <w:rFonts w:ascii="PT Astra Serif" w:eastAsia="PT Astra Serif" w:hAnsi="PT Astra Serif" w:cs="PT Astra Serif"/>
          <w:b/>
          <w:szCs w:val="28"/>
        </w:rPr>
        <w:t xml:space="preserve"> участников Движения Первых, из них 13</w:t>
      </w:r>
      <w:r>
        <w:rPr>
          <w:rFonts w:ascii="PT Astra Serif" w:eastAsia="PT Astra Serif" w:hAnsi="PT Astra Serif" w:cs="PT Astra Serif"/>
          <w:b/>
          <w:szCs w:val="28"/>
        </w:rPr>
        <w:t> </w:t>
      </w:r>
      <w:r w:rsidRPr="00F42725">
        <w:rPr>
          <w:rFonts w:ascii="PT Astra Serif" w:eastAsia="PT Astra Serif" w:hAnsi="PT Astra Serif" w:cs="PT Astra Serif"/>
          <w:b/>
          <w:szCs w:val="28"/>
        </w:rPr>
        <w:t>139 участников-наставников, 83</w:t>
      </w:r>
      <w:r>
        <w:rPr>
          <w:rFonts w:ascii="PT Astra Serif" w:eastAsia="PT Astra Serif" w:hAnsi="PT Astra Serif" w:cs="PT Astra Serif"/>
          <w:b/>
          <w:szCs w:val="28"/>
        </w:rPr>
        <w:t> </w:t>
      </w:r>
      <w:r w:rsidRPr="00F42725">
        <w:rPr>
          <w:rFonts w:ascii="PT Astra Serif" w:eastAsia="PT Astra Serif" w:hAnsi="PT Astra Serif" w:cs="PT Astra Serif"/>
          <w:b/>
          <w:szCs w:val="28"/>
        </w:rPr>
        <w:t>616 участников-обучающихся</w:t>
      </w:r>
      <w:r w:rsidRPr="00F42725">
        <w:rPr>
          <w:rFonts w:ascii="PT Astra Serif" w:eastAsia="PT Astra Serif" w:hAnsi="PT Astra Serif" w:cs="PT Astra Serif"/>
          <w:szCs w:val="28"/>
        </w:rPr>
        <w:t xml:space="preserve"> (АППГ</w:t>
      </w:r>
      <w:r>
        <w:rPr>
          <w:rFonts w:ascii="PT Astra Serif" w:eastAsia="PT Astra Serif" w:hAnsi="PT Astra Serif" w:cs="PT Astra Serif"/>
          <w:szCs w:val="28"/>
        </w:rPr>
        <w:t xml:space="preserve"> </w:t>
      </w:r>
      <w:r w:rsidRPr="00F42725">
        <w:rPr>
          <w:rFonts w:ascii="PT Astra Serif" w:eastAsia="PT Astra Serif" w:hAnsi="PT Astra Serif" w:cs="PT Astra Serif"/>
          <w:szCs w:val="28"/>
        </w:rPr>
        <w:t>-</w:t>
      </w:r>
      <w:r>
        <w:rPr>
          <w:rFonts w:ascii="PT Astra Serif" w:eastAsia="PT Astra Serif" w:hAnsi="PT Astra Serif" w:cs="PT Astra Serif"/>
          <w:szCs w:val="28"/>
        </w:rPr>
        <w:t xml:space="preserve"> </w:t>
      </w:r>
      <w:r w:rsidRPr="00F42725">
        <w:rPr>
          <w:rFonts w:ascii="PT Astra Serif" w:eastAsia="PT Astra Serif" w:hAnsi="PT Astra Serif" w:cs="PT Astra Serif"/>
          <w:szCs w:val="28"/>
        </w:rPr>
        <w:t>56</w:t>
      </w:r>
      <w:r>
        <w:rPr>
          <w:rFonts w:ascii="PT Astra Serif" w:eastAsia="PT Astra Serif" w:hAnsi="PT Astra Serif" w:cs="PT Astra Serif"/>
          <w:szCs w:val="28"/>
        </w:rPr>
        <w:t> </w:t>
      </w:r>
      <w:r w:rsidRPr="00F42725">
        <w:rPr>
          <w:rFonts w:ascii="PT Astra Serif" w:eastAsia="PT Astra Serif" w:hAnsi="PT Astra Serif" w:cs="PT Astra Serif"/>
          <w:szCs w:val="28"/>
        </w:rPr>
        <w:t>205</w:t>
      </w:r>
      <w:r w:rsidRPr="00F42725">
        <w:rPr>
          <w:rFonts w:ascii="PT Astra Serif" w:eastAsia="PT Astra Serif" w:hAnsi="PT Astra Serif" w:cs="PT Astra Serif"/>
          <w:b/>
          <w:szCs w:val="28"/>
        </w:rPr>
        <w:t>).</w:t>
      </w:r>
      <w:r w:rsidRPr="00F42725">
        <w:rPr>
          <w:rFonts w:ascii="PT Astra Serif" w:hAnsi="PT Astra Serif"/>
          <w:szCs w:val="28"/>
        </w:rPr>
        <w:t xml:space="preserve"> </w:t>
      </w:r>
    </w:p>
    <w:p w14:paraId="0BD63861" w14:textId="5F014E4C" w:rsidR="00C548A9" w:rsidRPr="00F42725" w:rsidRDefault="00C548A9" w:rsidP="00C548A9">
      <w:pPr>
        <w:widowControl w:val="0"/>
        <w:tabs>
          <w:tab w:val="left" w:pos="0"/>
        </w:tabs>
        <w:rPr>
          <w:rFonts w:ascii="PT Astra Serif" w:eastAsia="PT Astra Serif" w:hAnsi="PT Astra Serif" w:cs="PT Astra Serif"/>
          <w:szCs w:val="28"/>
        </w:rPr>
      </w:pPr>
      <w:r w:rsidRPr="00F42725">
        <w:rPr>
          <w:rFonts w:ascii="PT Astra Serif" w:eastAsia="PT Astra Serif" w:hAnsi="PT Astra Serif" w:cs="PT Astra Serif"/>
          <w:szCs w:val="28"/>
        </w:rPr>
        <w:t xml:space="preserve">На территории Ульяновской области в </w:t>
      </w:r>
      <w:r w:rsidRPr="00F42725">
        <w:rPr>
          <w:rFonts w:ascii="PT Astra Serif" w:eastAsia="PT Astra Serif" w:hAnsi="PT Astra Serif" w:cs="PT Astra Serif"/>
          <w:b/>
          <w:szCs w:val="28"/>
        </w:rPr>
        <w:t>100% школ</w:t>
      </w:r>
      <w:r w:rsidRPr="00F42725">
        <w:rPr>
          <w:rFonts w:ascii="PT Astra Serif" w:eastAsia="PT Astra Serif" w:hAnsi="PT Astra Serif" w:cs="PT Astra Serif"/>
          <w:szCs w:val="28"/>
        </w:rPr>
        <w:t xml:space="preserve"> работают </w:t>
      </w:r>
      <w:r w:rsidR="00C23BDD">
        <w:rPr>
          <w:rFonts w:ascii="PT Astra Serif" w:eastAsia="PT Astra Serif" w:hAnsi="PT Astra Serif" w:cs="PT Astra Serif"/>
          <w:szCs w:val="28"/>
        </w:rPr>
        <w:br/>
      </w:r>
      <w:r w:rsidRPr="00F42725">
        <w:rPr>
          <w:rFonts w:ascii="PT Astra Serif" w:eastAsia="PT Astra Serif" w:hAnsi="PT Astra Serif" w:cs="PT Astra Serif"/>
          <w:b/>
          <w:szCs w:val="28"/>
        </w:rPr>
        <w:t>346 военно-патриотических клубов</w:t>
      </w:r>
      <w:r w:rsidRPr="00F42725">
        <w:rPr>
          <w:rFonts w:ascii="PT Astra Serif" w:eastAsia="PT Astra Serif" w:hAnsi="PT Astra Serif" w:cs="PT Astra Serif"/>
          <w:szCs w:val="28"/>
        </w:rPr>
        <w:t xml:space="preserve"> с охватом </w:t>
      </w:r>
      <w:r w:rsidRPr="00F42725">
        <w:rPr>
          <w:rFonts w:ascii="PT Astra Serif" w:eastAsia="PT Astra Serif" w:hAnsi="PT Astra Serif" w:cs="PT Astra Serif"/>
          <w:b/>
          <w:szCs w:val="28"/>
        </w:rPr>
        <w:t>7</w:t>
      </w:r>
      <w:r>
        <w:rPr>
          <w:rFonts w:ascii="PT Astra Serif" w:eastAsia="PT Astra Serif" w:hAnsi="PT Astra Serif" w:cs="PT Astra Serif"/>
          <w:b/>
          <w:szCs w:val="28"/>
        </w:rPr>
        <w:t> </w:t>
      </w:r>
      <w:r w:rsidRPr="00F42725">
        <w:rPr>
          <w:rFonts w:ascii="PT Astra Serif" w:eastAsia="PT Astra Serif" w:hAnsi="PT Astra Serif" w:cs="PT Astra Serif"/>
          <w:b/>
          <w:szCs w:val="28"/>
        </w:rPr>
        <w:t>500 обучающихся</w:t>
      </w:r>
      <w:r w:rsidRPr="00F42725">
        <w:rPr>
          <w:rFonts w:ascii="PT Astra Serif" w:eastAsia="PT Astra Serif" w:hAnsi="PT Astra Serif" w:cs="PT Astra Serif"/>
          <w:szCs w:val="28"/>
        </w:rPr>
        <w:t xml:space="preserve">. </w:t>
      </w:r>
    </w:p>
    <w:p w14:paraId="343DA26D"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t xml:space="preserve">В </w:t>
      </w:r>
      <w:r w:rsidRPr="00F42725">
        <w:rPr>
          <w:rFonts w:ascii="PT Astra Serif" w:eastAsia="PT Astra Serif" w:hAnsi="PT Astra Serif" w:cs="PT Astra Serif"/>
          <w:b/>
          <w:szCs w:val="28"/>
        </w:rPr>
        <w:t>100% образовательных</w:t>
      </w:r>
      <w:r w:rsidRPr="00F42725">
        <w:rPr>
          <w:rFonts w:ascii="PT Astra Serif" w:eastAsia="PT Astra Serif" w:hAnsi="PT Astra Serif" w:cs="PT Astra Serif"/>
          <w:szCs w:val="28"/>
        </w:rPr>
        <w:t xml:space="preserve"> организаций </w:t>
      </w:r>
      <w:r w:rsidRPr="00F42725">
        <w:rPr>
          <w:rFonts w:ascii="PT Astra Serif" w:eastAsia="PT Astra Serif" w:hAnsi="PT Astra Serif" w:cs="PT Astra Serif"/>
          <w:b/>
          <w:szCs w:val="28"/>
        </w:rPr>
        <w:t xml:space="preserve">созданы школьные музеи </w:t>
      </w:r>
      <w:r>
        <w:rPr>
          <w:rFonts w:ascii="PT Astra Serif" w:eastAsia="PT Astra Serif" w:hAnsi="PT Astra Serif" w:cs="PT Astra Serif"/>
          <w:b/>
          <w:szCs w:val="28"/>
        </w:rPr>
        <w:br/>
      </w:r>
      <w:r w:rsidRPr="00F42725">
        <w:rPr>
          <w:rFonts w:ascii="PT Astra Serif" w:eastAsia="PT Astra Serif" w:hAnsi="PT Astra Serif" w:cs="PT Astra Serif"/>
          <w:b/>
          <w:szCs w:val="28"/>
        </w:rPr>
        <w:t>и театры</w:t>
      </w:r>
      <w:r>
        <w:rPr>
          <w:rFonts w:ascii="PT Astra Serif" w:eastAsia="PT Astra Serif" w:hAnsi="PT Astra Serif" w:cs="PT Astra Serif"/>
          <w:szCs w:val="28"/>
        </w:rPr>
        <w:t xml:space="preserve">. </w:t>
      </w:r>
      <w:r w:rsidRPr="00F42725">
        <w:rPr>
          <w:rFonts w:ascii="PT Astra Serif" w:eastAsia="PT Astra Serif" w:hAnsi="PT Astra Serif" w:cs="PT Astra Serif"/>
          <w:b/>
          <w:szCs w:val="28"/>
        </w:rPr>
        <w:t xml:space="preserve">373 театра </w:t>
      </w:r>
      <w:r w:rsidRPr="00F42725">
        <w:rPr>
          <w:rFonts w:ascii="PT Astra Serif" w:eastAsia="PT Astra Serif" w:hAnsi="PT Astra Serif" w:cs="PT Astra Serif"/>
          <w:szCs w:val="28"/>
        </w:rPr>
        <w:t xml:space="preserve">внесены </w:t>
      </w:r>
      <w:r w:rsidRPr="00F42725">
        <w:rPr>
          <w:rFonts w:ascii="PT Astra Serif" w:eastAsia="PT Astra Serif" w:hAnsi="PT Astra Serif" w:cs="PT Astra Serif"/>
          <w:b/>
          <w:szCs w:val="28"/>
        </w:rPr>
        <w:t>во Всероссийский перечень</w:t>
      </w:r>
      <w:r w:rsidRPr="00F42725">
        <w:rPr>
          <w:rFonts w:ascii="PT Astra Serif" w:eastAsia="PT Astra Serif" w:hAnsi="PT Astra Serif" w:cs="PT Astra Serif"/>
          <w:szCs w:val="28"/>
        </w:rPr>
        <w:t xml:space="preserve"> (реестр)</w:t>
      </w:r>
      <w:r w:rsidRPr="00F42725">
        <w:rPr>
          <w:rFonts w:ascii="PT Astra Serif" w:eastAsia="PT Astra Serif" w:hAnsi="PT Astra Serif" w:cs="PT Astra Serif"/>
          <w:b/>
          <w:szCs w:val="28"/>
        </w:rPr>
        <w:t xml:space="preserve"> Министерства</w:t>
      </w:r>
      <w:r w:rsidRPr="00F42725">
        <w:rPr>
          <w:rFonts w:ascii="PT Astra Serif" w:eastAsia="PT Astra Serif" w:hAnsi="PT Astra Serif" w:cs="PT Astra Serif"/>
          <w:szCs w:val="28"/>
        </w:rPr>
        <w:t xml:space="preserve"> просвещения </w:t>
      </w:r>
      <w:r w:rsidRPr="00F42725">
        <w:rPr>
          <w:rFonts w:ascii="PT Astra Serif" w:eastAsia="PT Astra Serif" w:hAnsi="PT Astra Serif" w:cs="PT Astra Serif"/>
          <w:b/>
          <w:szCs w:val="28"/>
        </w:rPr>
        <w:t>Российской Федерации.</w:t>
      </w:r>
      <w:r w:rsidRPr="00F42725">
        <w:rPr>
          <w:rFonts w:ascii="PT Astra Serif" w:eastAsia="PT Astra Serif" w:hAnsi="PT Astra Serif" w:cs="PT Astra Serif"/>
          <w:szCs w:val="28"/>
        </w:rPr>
        <w:t xml:space="preserve"> </w:t>
      </w:r>
      <w:r w:rsidRPr="00F42725">
        <w:rPr>
          <w:rFonts w:ascii="PT Astra Serif" w:eastAsia="PT Astra Serif" w:hAnsi="PT Astra Serif" w:cs="PT Astra Serif"/>
          <w:i/>
          <w:szCs w:val="28"/>
        </w:rPr>
        <w:t>В 2025 году данный показатель составил 100% (АППГ -</w:t>
      </w:r>
      <w:r>
        <w:rPr>
          <w:rFonts w:ascii="PT Astra Serif" w:eastAsia="PT Astra Serif" w:hAnsi="PT Astra Serif" w:cs="PT Astra Serif"/>
          <w:i/>
          <w:szCs w:val="28"/>
        </w:rPr>
        <w:t xml:space="preserve"> </w:t>
      </w:r>
      <w:r w:rsidRPr="00F42725">
        <w:rPr>
          <w:rFonts w:ascii="PT Astra Serif" w:eastAsia="PT Astra Serif" w:hAnsi="PT Astra Serif" w:cs="PT Astra Serif"/>
          <w:i/>
          <w:szCs w:val="28"/>
        </w:rPr>
        <w:t>100%).</w:t>
      </w:r>
    </w:p>
    <w:p w14:paraId="15DE65D6" w14:textId="77777777" w:rsidR="000E054B" w:rsidRPr="000E054B" w:rsidRDefault="000E054B" w:rsidP="000E054B">
      <w:pPr>
        <w:rPr>
          <w:rFonts w:ascii="PT Astra Serif" w:eastAsia="PT Astra Serif" w:hAnsi="PT Astra Serif" w:cs="PT Astra Serif"/>
          <w:b/>
          <w:szCs w:val="28"/>
        </w:rPr>
      </w:pPr>
      <w:r w:rsidRPr="000E054B">
        <w:rPr>
          <w:rFonts w:ascii="PT Astra Serif" w:eastAsia="PT Astra Serif" w:hAnsi="PT Astra Serif" w:cs="PT Astra Serif"/>
          <w:b/>
          <w:szCs w:val="28"/>
        </w:rPr>
        <w:t xml:space="preserve">В регионе выстроена эффективная система выявления, поддержки </w:t>
      </w:r>
      <w:r w:rsidRPr="000E054B">
        <w:rPr>
          <w:rFonts w:ascii="PT Astra Serif" w:eastAsia="PT Astra Serif" w:hAnsi="PT Astra Serif" w:cs="PT Astra Serif"/>
          <w:b/>
          <w:szCs w:val="28"/>
        </w:rPr>
        <w:br/>
        <w:t>и развития способностей и талантов у детей и молодёжи.</w:t>
      </w:r>
    </w:p>
    <w:p w14:paraId="0FF5826F" w14:textId="77777777" w:rsidR="000E054B" w:rsidRPr="000E054B" w:rsidRDefault="000E054B" w:rsidP="000E054B">
      <w:pPr>
        <w:shd w:val="clear" w:color="auto" w:fill="FFFFFF"/>
        <w:rPr>
          <w:rFonts w:ascii="PT Astra Serif" w:eastAsia="Times New Roman" w:hAnsi="PT Astra Serif"/>
          <w:szCs w:val="28"/>
        </w:rPr>
      </w:pPr>
      <w:r w:rsidRPr="000E054B">
        <w:rPr>
          <w:rFonts w:ascii="PT Astra Serif" w:eastAsia="Times New Roman" w:hAnsi="PT Astra Serif"/>
          <w:szCs w:val="28"/>
        </w:rPr>
        <w:t>Результатами 2025 года в рамках данного направления стоит отметить:</w:t>
      </w:r>
    </w:p>
    <w:p w14:paraId="58999EEF" w14:textId="27585092" w:rsidR="000E054B" w:rsidRPr="000E054B" w:rsidRDefault="000E054B" w:rsidP="000E054B">
      <w:pPr>
        <w:shd w:val="clear" w:color="auto" w:fill="FFFFFF"/>
        <w:rPr>
          <w:rFonts w:ascii="PT Astra Serif" w:eastAsia="Times New Roman" w:hAnsi="PT Astra Serif"/>
          <w:b/>
          <w:szCs w:val="28"/>
        </w:rPr>
      </w:pPr>
      <w:r w:rsidRPr="000E054B">
        <w:rPr>
          <w:rFonts w:ascii="PT Astra Serif" w:eastAsia="Times New Roman" w:hAnsi="PT Astra Serif"/>
          <w:szCs w:val="28"/>
        </w:rPr>
        <w:t xml:space="preserve">рост числа детей и молодёжи, вовлечённых в конкурсное и олимпиадное движение </w:t>
      </w:r>
      <w:r w:rsidRPr="000E054B">
        <w:rPr>
          <w:rFonts w:ascii="PT Astra Serif" w:eastAsia="Times New Roman" w:hAnsi="PT Astra Serif"/>
          <w:b/>
          <w:szCs w:val="28"/>
        </w:rPr>
        <w:t>26</w:t>
      </w:r>
      <w:r>
        <w:rPr>
          <w:rFonts w:ascii="PT Astra Serif" w:eastAsia="Times New Roman" w:hAnsi="PT Astra Serif"/>
          <w:b/>
          <w:szCs w:val="28"/>
        </w:rPr>
        <w:t> </w:t>
      </w:r>
      <w:r w:rsidRPr="000E054B">
        <w:rPr>
          <w:rFonts w:ascii="PT Astra Serif" w:eastAsia="Times New Roman" w:hAnsi="PT Astra Serif"/>
          <w:b/>
          <w:szCs w:val="28"/>
        </w:rPr>
        <w:t xml:space="preserve">730 школьников – участники перечневых мероприятий </w:t>
      </w:r>
      <w:r w:rsidRPr="000E054B">
        <w:rPr>
          <w:rFonts w:ascii="PT Astra Serif" w:eastAsia="Times New Roman" w:hAnsi="PT Astra Serif"/>
          <w:b/>
          <w:szCs w:val="28"/>
        </w:rPr>
        <w:br/>
        <w:t>и олимпиад (19%), (2024 г</w:t>
      </w:r>
      <w:r>
        <w:rPr>
          <w:rFonts w:ascii="PT Astra Serif" w:eastAsia="Times New Roman" w:hAnsi="PT Astra Serif"/>
          <w:b/>
          <w:szCs w:val="28"/>
        </w:rPr>
        <w:t>од</w:t>
      </w:r>
      <w:r w:rsidRPr="000E054B">
        <w:rPr>
          <w:rFonts w:ascii="PT Astra Serif" w:eastAsia="Times New Roman" w:hAnsi="PT Astra Serif"/>
          <w:b/>
          <w:szCs w:val="28"/>
        </w:rPr>
        <w:t xml:space="preserve"> – 17%, 2023 г</w:t>
      </w:r>
      <w:r>
        <w:rPr>
          <w:rFonts w:ascii="PT Astra Serif" w:eastAsia="Times New Roman" w:hAnsi="PT Astra Serif"/>
          <w:b/>
          <w:szCs w:val="28"/>
        </w:rPr>
        <w:t>од</w:t>
      </w:r>
      <w:r w:rsidRPr="000E054B">
        <w:rPr>
          <w:rFonts w:ascii="PT Astra Serif" w:eastAsia="Times New Roman" w:hAnsi="PT Astra Serif"/>
          <w:b/>
          <w:szCs w:val="28"/>
        </w:rPr>
        <w:t xml:space="preserve"> – 11%);</w:t>
      </w:r>
    </w:p>
    <w:p w14:paraId="18732306" w14:textId="1177E70F" w:rsidR="000E054B" w:rsidRPr="000E054B" w:rsidRDefault="000E054B" w:rsidP="000E054B">
      <w:pPr>
        <w:shd w:val="clear" w:color="auto" w:fill="FFFFFF"/>
        <w:rPr>
          <w:rFonts w:ascii="PT Astra Serif" w:eastAsia="Times New Roman" w:hAnsi="PT Astra Serif"/>
          <w:szCs w:val="28"/>
        </w:rPr>
      </w:pPr>
      <w:r>
        <w:rPr>
          <w:rFonts w:ascii="PT Astra Serif" w:eastAsia="Times New Roman" w:hAnsi="PT Astra Serif"/>
          <w:szCs w:val="28"/>
        </w:rPr>
        <w:t>в</w:t>
      </w:r>
      <w:r w:rsidRPr="000E054B">
        <w:rPr>
          <w:rFonts w:ascii="PT Astra Serif" w:eastAsia="Times New Roman" w:hAnsi="PT Astra Serif"/>
          <w:szCs w:val="28"/>
        </w:rPr>
        <w:t xml:space="preserve"> том числе:</w:t>
      </w:r>
    </w:p>
    <w:p w14:paraId="14135BBF" w14:textId="163D52BB" w:rsidR="000E054B" w:rsidRPr="000E054B" w:rsidRDefault="000E054B" w:rsidP="000E054B">
      <w:pPr>
        <w:shd w:val="clear" w:color="auto" w:fill="FFFFFF"/>
        <w:rPr>
          <w:rFonts w:ascii="PT Astra Serif" w:eastAsia="Times New Roman" w:hAnsi="PT Astra Serif"/>
          <w:b/>
          <w:bCs/>
          <w:szCs w:val="28"/>
        </w:rPr>
      </w:pPr>
      <w:r w:rsidRPr="000E054B">
        <w:rPr>
          <w:rFonts w:ascii="PT Astra Serif" w:eastAsia="Times New Roman" w:hAnsi="PT Astra Serif"/>
          <w:b/>
          <w:bCs/>
          <w:szCs w:val="28"/>
        </w:rPr>
        <w:t>2</w:t>
      </w:r>
      <w:r>
        <w:rPr>
          <w:rFonts w:ascii="PT Astra Serif" w:eastAsia="Times New Roman" w:hAnsi="PT Astra Serif"/>
          <w:b/>
          <w:bCs/>
          <w:szCs w:val="28"/>
        </w:rPr>
        <w:t> </w:t>
      </w:r>
      <w:r w:rsidRPr="000E054B">
        <w:rPr>
          <w:rFonts w:ascii="PT Astra Serif" w:eastAsia="Times New Roman" w:hAnsi="PT Astra Serif"/>
          <w:b/>
          <w:bCs/>
          <w:szCs w:val="28"/>
        </w:rPr>
        <w:t xml:space="preserve">478 детей, включены в государственный информационный ресурс </w:t>
      </w:r>
      <w:r w:rsidRPr="000E054B">
        <w:rPr>
          <w:rFonts w:ascii="PT Astra Serif" w:eastAsia="Times New Roman" w:hAnsi="PT Astra Serif"/>
          <w:b/>
          <w:bCs/>
          <w:szCs w:val="28"/>
        </w:rPr>
        <w:br/>
        <w:t>о детях, проявивших выдающиеся способности (2024 г</w:t>
      </w:r>
      <w:r>
        <w:rPr>
          <w:rFonts w:ascii="PT Astra Serif" w:eastAsia="Times New Roman" w:hAnsi="PT Astra Serif"/>
          <w:b/>
          <w:bCs/>
          <w:szCs w:val="28"/>
        </w:rPr>
        <w:t>од</w:t>
      </w:r>
      <w:r w:rsidRPr="000E054B">
        <w:rPr>
          <w:rFonts w:ascii="PT Astra Serif" w:eastAsia="Times New Roman" w:hAnsi="PT Astra Serif"/>
          <w:b/>
          <w:bCs/>
          <w:szCs w:val="28"/>
        </w:rPr>
        <w:t xml:space="preserve"> – 2</w:t>
      </w:r>
      <w:r>
        <w:rPr>
          <w:rFonts w:ascii="PT Astra Serif" w:eastAsia="Times New Roman" w:hAnsi="PT Astra Serif"/>
          <w:b/>
          <w:bCs/>
          <w:szCs w:val="28"/>
        </w:rPr>
        <w:t> </w:t>
      </w:r>
      <w:r w:rsidRPr="000E054B">
        <w:rPr>
          <w:rFonts w:ascii="PT Astra Serif" w:eastAsia="Times New Roman" w:hAnsi="PT Astra Serif"/>
          <w:b/>
          <w:bCs/>
          <w:szCs w:val="28"/>
        </w:rPr>
        <w:t>056 чел., 2023 г</w:t>
      </w:r>
      <w:r>
        <w:rPr>
          <w:rFonts w:ascii="PT Astra Serif" w:eastAsia="Times New Roman" w:hAnsi="PT Astra Serif"/>
          <w:b/>
          <w:bCs/>
          <w:szCs w:val="28"/>
        </w:rPr>
        <w:t>од</w:t>
      </w:r>
      <w:r w:rsidRPr="000E054B">
        <w:rPr>
          <w:rFonts w:ascii="PT Astra Serif" w:eastAsia="Times New Roman" w:hAnsi="PT Astra Serif"/>
          <w:b/>
          <w:bCs/>
          <w:szCs w:val="28"/>
        </w:rPr>
        <w:t xml:space="preserve"> – 1</w:t>
      </w:r>
      <w:r>
        <w:rPr>
          <w:rFonts w:ascii="PT Astra Serif" w:eastAsia="Times New Roman" w:hAnsi="PT Astra Serif"/>
          <w:b/>
          <w:bCs/>
          <w:szCs w:val="28"/>
        </w:rPr>
        <w:t> </w:t>
      </w:r>
      <w:r w:rsidRPr="000E054B">
        <w:rPr>
          <w:rFonts w:ascii="PT Astra Serif" w:eastAsia="Times New Roman" w:hAnsi="PT Astra Serif"/>
          <w:b/>
          <w:bCs/>
          <w:szCs w:val="28"/>
        </w:rPr>
        <w:t>600 чел.);</w:t>
      </w:r>
    </w:p>
    <w:p w14:paraId="45B37B90" w14:textId="20D37A5A" w:rsidR="000E054B" w:rsidRPr="000E054B" w:rsidRDefault="000E054B" w:rsidP="000E054B">
      <w:pPr>
        <w:shd w:val="clear" w:color="auto" w:fill="FFFFFF"/>
        <w:rPr>
          <w:rFonts w:ascii="PT Astra Serif" w:eastAsia="Times New Roman" w:hAnsi="PT Astra Serif"/>
          <w:b/>
          <w:bCs/>
          <w:szCs w:val="28"/>
        </w:rPr>
      </w:pPr>
      <w:r w:rsidRPr="000E054B">
        <w:rPr>
          <w:rFonts w:ascii="PT Astra Serif" w:eastAsia="Times New Roman" w:hAnsi="PT Astra Serif"/>
          <w:b/>
          <w:bCs/>
          <w:szCs w:val="28"/>
        </w:rPr>
        <w:t xml:space="preserve">471 победитель олимпиад и конкурсов всероссийского уровня </w:t>
      </w:r>
      <w:r w:rsidRPr="000E054B">
        <w:rPr>
          <w:rFonts w:ascii="PT Astra Serif" w:eastAsia="Times New Roman" w:hAnsi="PT Astra Serif"/>
          <w:b/>
          <w:bCs/>
          <w:szCs w:val="28"/>
        </w:rPr>
        <w:br/>
        <w:t>(2024 г</w:t>
      </w:r>
      <w:r>
        <w:rPr>
          <w:rFonts w:ascii="PT Astra Serif" w:eastAsia="Times New Roman" w:hAnsi="PT Astra Serif"/>
          <w:b/>
          <w:bCs/>
          <w:szCs w:val="28"/>
        </w:rPr>
        <w:t>од</w:t>
      </w:r>
      <w:r w:rsidRPr="000E054B">
        <w:rPr>
          <w:rFonts w:ascii="PT Astra Serif" w:eastAsia="Times New Roman" w:hAnsi="PT Astra Serif"/>
          <w:b/>
          <w:bCs/>
          <w:szCs w:val="28"/>
        </w:rPr>
        <w:t xml:space="preserve"> – 436 чел., 2023 г</w:t>
      </w:r>
      <w:r>
        <w:rPr>
          <w:rFonts w:ascii="PT Astra Serif" w:eastAsia="Times New Roman" w:hAnsi="PT Astra Serif"/>
          <w:b/>
          <w:bCs/>
          <w:szCs w:val="28"/>
        </w:rPr>
        <w:t>од</w:t>
      </w:r>
      <w:r w:rsidRPr="000E054B">
        <w:rPr>
          <w:rFonts w:ascii="PT Astra Serif" w:eastAsia="Times New Roman" w:hAnsi="PT Astra Serif"/>
          <w:b/>
          <w:bCs/>
          <w:szCs w:val="28"/>
        </w:rPr>
        <w:t xml:space="preserve"> – 244 чел.);</w:t>
      </w:r>
    </w:p>
    <w:p w14:paraId="1198209A" w14:textId="106CDC42" w:rsidR="000E054B" w:rsidRPr="000E054B" w:rsidRDefault="000E054B" w:rsidP="000E054B">
      <w:pPr>
        <w:shd w:val="clear" w:color="auto" w:fill="FFFFFF"/>
        <w:rPr>
          <w:rFonts w:ascii="PT Astra Serif" w:eastAsia="Times New Roman" w:hAnsi="PT Astra Serif"/>
          <w:b/>
          <w:bCs/>
          <w:szCs w:val="28"/>
        </w:rPr>
      </w:pPr>
      <w:r w:rsidRPr="000E054B">
        <w:rPr>
          <w:rFonts w:ascii="PT Astra Serif" w:eastAsia="Times New Roman" w:hAnsi="PT Astra Serif"/>
          <w:szCs w:val="28"/>
          <w:lang w:eastAsia="ru-RU"/>
        </w:rPr>
        <w:t xml:space="preserve">растёт количество призёров заключительного этапа </w:t>
      </w:r>
      <w:proofErr w:type="spellStart"/>
      <w:r w:rsidRPr="000E054B">
        <w:rPr>
          <w:rFonts w:ascii="PT Astra Serif" w:eastAsia="Times New Roman" w:hAnsi="PT Astra Serif"/>
          <w:szCs w:val="28"/>
          <w:lang w:eastAsia="ru-RU"/>
        </w:rPr>
        <w:t>ВсОШ</w:t>
      </w:r>
      <w:proofErr w:type="spellEnd"/>
      <w:r w:rsidRPr="000E054B">
        <w:rPr>
          <w:rFonts w:ascii="PT Astra Serif" w:eastAsia="Times New Roman" w:hAnsi="PT Astra Serif"/>
          <w:szCs w:val="28"/>
          <w:lang w:eastAsia="ru-RU"/>
        </w:rPr>
        <w:t xml:space="preserve">: </w:t>
      </w:r>
      <w:r w:rsidRPr="000E054B">
        <w:rPr>
          <w:rFonts w:ascii="PT Astra Serif" w:eastAsia="Times New Roman" w:hAnsi="PT Astra Serif"/>
          <w:b/>
          <w:szCs w:val="28"/>
          <w:lang w:eastAsia="ru-RU"/>
        </w:rPr>
        <w:t>в 2025 году – 15 дипломов</w:t>
      </w:r>
      <w:r w:rsidRPr="000E054B">
        <w:rPr>
          <w:rFonts w:ascii="PT Astra Serif" w:eastAsia="Times New Roman" w:hAnsi="PT Astra Serif"/>
          <w:szCs w:val="28"/>
          <w:lang w:eastAsia="ru-RU"/>
        </w:rPr>
        <w:t xml:space="preserve"> призёра и 5 дипломов победителя </w:t>
      </w:r>
      <w:r w:rsidRPr="000E054B">
        <w:rPr>
          <w:rFonts w:ascii="PT Astra Serif" w:eastAsia="Times New Roman" w:hAnsi="PT Astra Serif"/>
          <w:i/>
          <w:szCs w:val="28"/>
          <w:lang w:eastAsia="ru-RU"/>
        </w:rPr>
        <w:t>(в 2023 году - 10 дипломов призёра заключительного этапа, в 2024 году - 11 дипломов призёра и 1 диплом победителя).</w:t>
      </w:r>
    </w:p>
    <w:p w14:paraId="14276CE5" w14:textId="77777777" w:rsidR="000E054B" w:rsidRPr="000E054B" w:rsidRDefault="000E054B" w:rsidP="000E054B">
      <w:pPr>
        <w:shd w:val="clear" w:color="auto" w:fill="FFFFFF"/>
        <w:rPr>
          <w:rFonts w:ascii="PT Astra Serif" w:eastAsia="Times New Roman" w:hAnsi="PT Astra Serif"/>
          <w:szCs w:val="28"/>
        </w:rPr>
      </w:pPr>
      <w:r w:rsidRPr="000E054B">
        <w:rPr>
          <w:rFonts w:ascii="PT Astra Serif" w:eastAsia="Times New Roman" w:hAnsi="PT Astra Serif"/>
          <w:szCs w:val="28"/>
        </w:rPr>
        <w:t xml:space="preserve">По результатам федерального рейтинга регионов </w:t>
      </w:r>
      <w:r w:rsidRPr="000E054B">
        <w:rPr>
          <w:rFonts w:ascii="PT Astra Serif" w:eastAsia="Times New Roman" w:hAnsi="PT Astra Serif"/>
          <w:b/>
          <w:szCs w:val="28"/>
        </w:rPr>
        <w:t xml:space="preserve">по итогам всероссийской олимпиады школьников 2025 года </w:t>
      </w:r>
      <w:r w:rsidRPr="000E054B">
        <w:rPr>
          <w:rFonts w:ascii="PT Astra Serif" w:eastAsia="Times New Roman" w:hAnsi="PT Astra Serif"/>
          <w:szCs w:val="28"/>
        </w:rPr>
        <w:t>Ульяновская область</w:t>
      </w:r>
      <w:r w:rsidRPr="000E054B">
        <w:rPr>
          <w:rFonts w:ascii="PT Astra Serif" w:eastAsia="Times New Roman" w:hAnsi="PT Astra Serif"/>
          <w:b/>
          <w:szCs w:val="28"/>
        </w:rPr>
        <w:t xml:space="preserve"> заняла 13 позицию в рейтинге субъектов РФ по количеству призёров </w:t>
      </w:r>
      <w:r w:rsidRPr="000E054B">
        <w:rPr>
          <w:rFonts w:ascii="PT Astra Serif" w:eastAsia="Times New Roman" w:hAnsi="PT Astra Serif"/>
          <w:b/>
          <w:szCs w:val="28"/>
        </w:rPr>
        <w:br/>
        <w:t xml:space="preserve">и победителей на 100 000 населения, </w:t>
      </w:r>
      <w:r w:rsidRPr="000E054B">
        <w:rPr>
          <w:rFonts w:ascii="PT Astra Serif" w:eastAsia="Times New Roman" w:hAnsi="PT Astra Serif"/>
          <w:szCs w:val="28"/>
        </w:rPr>
        <w:t xml:space="preserve">поднявшись в рейтинге по сравнению </w:t>
      </w:r>
      <w:r w:rsidRPr="000E054B">
        <w:rPr>
          <w:rFonts w:ascii="PT Astra Serif" w:eastAsia="Times New Roman" w:hAnsi="PT Astra Serif"/>
          <w:szCs w:val="28"/>
        </w:rPr>
        <w:br/>
        <w:t>с 2024 годом на 9 позиций.</w:t>
      </w:r>
    </w:p>
    <w:p w14:paraId="47894277" w14:textId="77777777" w:rsidR="000E054B" w:rsidRPr="000E054B" w:rsidRDefault="000E054B" w:rsidP="000E054B">
      <w:pPr>
        <w:shd w:val="clear" w:color="auto" w:fill="FFFFFF"/>
        <w:rPr>
          <w:rFonts w:ascii="PT Astra Serif" w:eastAsia="Times New Roman" w:hAnsi="PT Astra Serif"/>
          <w:szCs w:val="28"/>
        </w:rPr>
      </w:pPr>
      <w:r w:rsidRPr="000E054B">
        <w:rPr>
          <w:rFonts w:ascii="PT Astra Serif" w:eastAsia="Times New Roman" w:hAnsi="PT Astra Serif"/>
          <w:b/>
          <w:szCs w:val="28"/>
        </w:rPr>
        <w:lastRenderedPageBreak/>
        <w:t xml:space="preserve"> Впервые на территории Ульяновской области прошли соревновательные туры по китайскому языку</w:t>
      </w:r>
      <w:r w:rsidRPr="000E054B">
        <w:rPr>
          <w:rFonts w:ascii="PT Astra Serif" w:eastAsia="Times New Roman" w:hAnsi="PT Astra Serif"/>
          <w:szCs w:val="28"/>
        </w:rPr>
        <w:t xml:space="preserve">. </w:t>
      </w:r>
      <w:r w:rsidRPr="000E054B">
        <w:rPr>
          <w:rFonts w:ascii="PT Astra Serif" w:eastAsia="Times New Roman" w:hAnsi="PT Astra Serif"/>
          <w:i/>
          <w:szCs w:val="28"/>
        </w:rPr>
        <w:t>Количество участников –</w:t>
      </w:r>
      <w:r w:rsidRPr="000E054B">
        <w:rPr>
          <w:rFonts w:ascii="PT Astra Serif" w:eastAsia="Times New Roman" w:hAnsi="PT Astra Serif"/>
          <w:i/>
          <w:szCs w:val="28"/>
        </w:rPr>
        <w:br/>
        <w:t xml:space="preserve"> 43 обучающихся</w:t>
      </w:r>
      <w:r w:rsidRPr="000E054B">
        <w:rPr>
          <w:rFonts w:ascii="PT Astra Serif" w:eastAsia="Times New Roman" w:hAnsi="PT Astra Serif"/>
          <w:szCs w:val="28"/>
        </w:rPr>
        <w:t>.</w:t>
      </w:r>
    </w:p>
    <w:p w14:paraId="77C7AEB0" w14:textId="7E6E98FE" w:rsidR="000E054B" w:rsidRPr="000E054B" w:rsidRDefault="000E054B" w:rsidP="000E054B">
      <w:pPr>
        <w:rPr>
          <w:rFonts w:ascii="PT Astra Serif" w:eastAsia="Times New Roman" w:hAnsi="PT Astra Serif"/>
          <w:b/>
          <w:szCs w:val="28"/>
        </w:rPr>
      </w:pPr>
      <w:r w:rsidRPr="000E054B">
        <w:rPr>
          <w:rFonts w:ascii="PT Astra Serif" w:eastAsia="Times New Roman" w:hAnsi="PT Astra Serif"/>
          <w:b/>
          <w:szCs w:val="28"/>
        </w:rPr>
        <w:t>В 2025 году 151 обучающемуся из 7 муниципальных образований</w:t>
      </w:r>
      <w:r w:rsidRPr="000E054B">
        <w:rPr>
          <w:rFonts w:ascii="PT Astra Serif" w:eastAsia="Times New Roman" w:hAnsi="PT Astra Serif"/>
          <w:i/>
          <w:szCs w:val="28"/>
        </w:rPr>
        <w:t xml:space="preserve"> </w:t>
      </w:r>
      <w:r w:rsidRPr="000E054B">
        <w:rPr>
          <w:rFonts w:ascii="PT Astra Serif" w:eastAsia="Times New Roman" w:hAnsi="PT Astra Serif"/>
          <w:i/>
          <w:szCs w:val="28"/>
        </w:rPr>
        <w:br/>
        <w:t xml:space="preserve">(г. Ульяновск, </w:t>
      </w:r>
      <w:proofErr w:type="spellStart"/>
      <w:r w:rsidRPr="000E054B">
        <w:rPr>
          <w:rFonts w:ascii="PT Astra Serif" w:eastAsia="Times New Roman" w:hAnsi="PT Astra Serif"/>
          <w:i/>
          <w:szCs w:val="28"/>
        </w:rPr>
        <w:t>г.Димитровград</w:t>
      </w:r>
      <w:proofErr w:type="spellEnd"/>
      <w:r w:rsidRPr="000E054B">
        <w:rPr>
          <w:rFonts w:ascii="PT Astra Serif" w:eastAsia="Times New Roman" w:hAnsi="PT Astra Serif"/>
          <w:i/>
          <w:szCs w:val="28"/>
        </w:rPr>
        <w:t xml:space="preserve">, Новоспасского, Павловского, Карсунского, Николаевского, Радищевского районов), 3 школ РАН (Гимназий № 1, № 2 </w:t>
      </w:r>
      <w:r w:rsidRPr="000E054B">
        <w:rPr>
          <w:rFonts w:ascii="PT Astra Serif" w:eastAsia="Times New Roman" w:hAnsi="PT Astra Serif"/>
          <w:i/>
          <w:szCs w:val="28"/>
        </w:rPr>
        <w:br/>
        <w:t xml:space="preserve">и Лицея № 20) и ФГКОУ «Ульяновское гвардейское суворовское военное училище Министерства обороны Российской Федерации» </w:t>
      </w:r>
      <w:r w:rsidRPr="000E054B">
        <w:rPr>
          <w:rFonts w:ascii="PT Astra Serif" w:eastAsia="Times New Roman" w:hAnsi="PT Astra Serif"/>
          <w:b/>
          <w:i/>
          <w:szCs w:val="28"/>
        </w:rPr>
        <w:t xml:space="preserve">было назначено </w:t>
      </w:r>
      <w:r w:rsidRPr="000E054B">
        <w:rPr>
          <w:rFonts w:ascii="PT Astra Serif" w:eastAsia="Times New Roman" w:hAnsi="PT Astra Serif"/>
          <w:b/>
          <w:i/>
          <w:szCs w:val="28"/>
        </w:rPr>
        <w:br/>
        <w:t xml:space="preserve">и выплачено </w:t>
      </w:r>
      <w:r w:rsidRPr="000E054B">
        <w:rPr>
          <w:rFonts w:ascii="PT Astra Serif" w:eastAsia="Times New Roman" w:hAnsi="PT Astra Serif"/>
          <w:b/>
          <w:szCs w:val="28"/>
        </w:rPr>
        <w:t xml:space="preserve">единовременное денежное поощрение в размере от 10 до 23 тыс. рублей </w:t>
      </w:r>
      <w:r w:rsidR="00463AF0">
        <w:rPr>
          <w:rFonts w:ascii="PT Astra Serif" w:eastAsia="Times New Roman" w:hAnsi="PT Astra Serif"/>
          <w:b/>
          <w:szCs w:val="28"/>
        </w:rPr>
        <w:t>на общую сумму 2 135 000,</w:t>
      </w:r>
      <w:r w:rsidRPr="000E054B">
        <w:rPr>
          <w:rFonts w:ascii="PT Astra Serif" w:eastAsia="Times New Roman" w:hAnsi="PT Astra Serif"/>
          <w:b/>
          <w:szCs w:val="28"/>
        </w:rPr>
        <w:t xml:space="preserve">00 рублей </w:t>
      </w:r>
      <w:r w:rsidRPr="000E054B">
        <w:rPr>
          <w:rFonts w:ascii="PT Astra Serif" w:eastAsia="Times New Roman" w:hAnsi="PT Astra Serif"/>
          <w:i/>
          <w:szCs w:val="28"/>
        </w:rPr>
        <w:t>(2024 г</w:t>
      </w:r>
      <w:r>
        <w:rPr>
          <w:rFonts w:ascii="PT Astra Serif" w:eastAsia="Times New Roman" w:hAnsi="PT Astra Serif"/>
          <w:i/>
          <w:szCs w:val="28"/>
        </w:rPr>
        <w:t>од</w:t>
      </w:r>
      <w:r w:rsidRPr="000E054B">
        <w:rPr>
          <w:rFonts w:ascii="PT Astra Serif" w:eastAsia="Times New Roman" w:hAnsi="PT Astra Serif"/>
          <w:i/>
          <w:szCs w:val="28"/>
        </w:rPr>
        <w:t xml:space="preserve"> - 98 обучающихся, сумма выплат – 1 397</w:t>
      </w:r>
      <w:r w:rsidR="00463AF0">
        <w:rPr>
          <w:rFonts w:ascii="PT Astra Serif" w:eastAsia="Times New Roman" w:hAnsi="PT Astra Serif"/>
          <w:i/>
          <w:szCs w:val="28"/>
        </w:rPr>
        <w:t> 000,</w:t>
      </w:r>
      <w:r w:rsidRPr="000E054B">
        <w:rPr>
          <w:rFonts w:ascii="PT Astra Serif" w:eastAsia="Times New Roman" w:hAnsi="PT Astra Serif"/>
          <w:i/>
          <w:szCs w:val="28"/>
        </w:rPr>
        <w:t>00 рублей; 2023 г</w:t>
      </w:r>
      <w:r>
        <w:rPr>
          <w:rFonts w:ascii="PT Astra Serif" w:eastAsia="Times New Roman" w:hAnsi="PT Astra Serif"/>
          <w:i/>
          <w:szCs w:val="28"/>
        </w:rPr>
        <w:t>од</w:t>
      </w:r>
      <w:r w:rsidRPr="000E054B">
        <w:rPr>
          <w:rFonts w:ascii="PT Astra Serif" w:eastAsia="Times New Roman" w:hAnsi="PT Astra Serif"/>
          <w:i/>
          <w:szCs w:val="28"/>
        </w:rPr>
        <w:t xml:space="preserve"> – 70 обучающихся, сумма выплат –</w:t>
      </w:r>
      <w:r w:rsidRPr="000E054B">
        <w:rPr>
          <w:rFonts w:ascii="PT Astra Serif" w:hAnsi="PT Astra Serif"/>
          <w:szCs w:val="28"/>
        </w:rPr>
        <w:t xml:space="preserve"> 999 000,00 рублей</w:t>
      </w:r>
      <w:r w:rsidRPr="000E054B">
        <w:rPr>
          <w:rFonts w:ascii="PT Astra Serif" w:eastAsia="Times New Roman" w:hAnsi="PT Astra Serif"/>
          <w:i/>
          <w:szCs w:val="28"/>
        </w:rPr>
        <w:t>).</w:t>
      </w:r>
      <w:r w:rsidRPr="000E054B">
        <w:rPr>
          <w:rFonts w:ascii="PT Astra Serif" w:eastAsia="Times New Roman" w:hAnsi="PT Astra Serif"/>
          <w:b/>
          <w:szCs w:val="28"/>
        </w:rPr>
        <w:t xml:space="preserve"> </w:t>
      </w:r>
    </w:p>
    <w:p w14:paraId="42857F83" w14:textId="29FCBD4E" w:rsidR="000E054B" w:rsidRPr="000E054B" w:rsidRDefault="000E054B" w:rsidP="000E054B">
      <w:pPr>
        <w:rPr>
          <w:rFonts w:ascii="PT Astra Serif" w:eastAsia="Times New Roman" w:hAnsi="PT Astra Serif"/>
          <w:i/>
          <w:szCs w:val="28"/>
        </w:rPr>
      </w:pPr>
      <w:r w:rsidRPr="000E054B">
        <w:rPr>
          <w:rFonts w:ascii="PT Astra Serif" w:eastAsia="Times New Roman" w:hAnsi="PT Astra Serif"/>
          <w:szCs w:val="28"/>
        </w:rPr>
        <w:t>Уникальная награда, которая существует только в Ульяновской области</w:t>
      </w:r>
      <w:r w:rsidRPr="000E054B">
        <w:rPr>
          <w:rFonts w:ascii="PT Astra Serif" w:eastAsia="Times New Roman" w:hAnsi="PT Astra Serif"/>
          <w:b/>
          <w:szCs w:val="28"/>
        </w:rPr>
        <w:t xml:space="preserve"> – это награждение золотыми и серебряными медалями. 20 выпускников общеобразовательных организаций</w:t>
      </w:r>
      <w:r w:rsidRPr="000E054B">
        <w:rPr>
          <w:rFonts w:ascii="PT Astra Serif" w:eastAsia="Times New Roman" w:hAnsi="PT Astra Serif"/>
          <w:i/>
          <w:szCs w:val="28"/>
        </w:rPr>
        <w:t xml:space="preserve">, ставшие победителями и призёрами заключительных этапов конкурсных мероприятий 1 уровня, </w:t>
      </w:r>
      <w:r w:rsidRPr="000E054B">
        <w:rPr>
          <w:rFonts w:ascii="PT Astra Serif" w:eastAsia="Times New Roman" w:hAnsi="PT Astra Serif"/>
          <w:b/>
          <w:szCs w:val="28"/>
        </w:rPr>
        <w:t xml:space="preserve">награждены медалями «За особые успехи в обучении», из них 5 золотых, 15 серебряных </w:t>
      </w:r>
      <w:r w:rsidRPr="000E054B">
        <w:rPr>
          <w:rFonts w:ascii="PT Astra Serif" w:eastAsia="Times New Roman" w:hAnsi="PT Astra Serif"/>
          <w:i/>
          <w:szCs w:val="28"/>
        </w:rPr>
        <w:t xml:space="preserve">(в 2024 году награждены медалями 17 выпускников, из них: 4 золотых, 13 серебряных; в 2023 году награждены медалями 16 выпускников, из них: </w:t>
      </w:r>
      <w:r>
        <w:rPr>
          <w:rFonts w:ascii="PT Astra Serif" w:eastAsia="Times New Roman" w:hAnsi="PT Astra Serif"/>
          <w:i/>
          <w:szCs w:val="28"/>
        </w:rPr>
        <w:br/>
      </w:r>
      <w:r w:rsidRPr="000E054B">
        <w:rPr>
          <w:rFonts w:ascii="PT Astra Serif" w:eastAsia="Times New Roman" w:hAnsi="PT Astra Serif"/>
          <w:i/>
          <w:szCs w:val="28"/>
        </w:rPr>
        <w:t>9 золотых, 7 серебряных).</w:t>
      </w:r>
    </w:p>
    <w:p w14:paraId="16799BE2" w14:textId="77777777" w:rsidR="000E054B" w:rsidRPr="000E054B" w:rsidRDefault="000E054B" w:rsidP="000E054B">
      <w:pPr>
        <w:rPr>
          <w:rFonts w:ascii="PT Astra Serif" w:eastAsia="Times New Roman" w:hAnsi="PT Astra Serif"/>
          <w:i/>
          <w:szCs w:val="28"/>
        </w:rPr>
      </w:pPr>
      <w:r w:rsidRPr="000E054B">
        <w:rPr>
          <w:rFonts w:ascii="PT Astra Serif" w:eastAsia="Times New Roman" w:hAnsi="PT Astra Serif"/>
          <w:b/>
          <w:szCs w:val="28"/>
        </w:rPr>
        <w:t>12 призёров и победителей заключительного этапа всероссийской олимпиады школьников вместе с их наставниками получают</w:t>
      </w:r>
      <w:r w:rsidRPr="000E054B">
        <w:rPr>
          <w:rFonts w:ascii="PT Astra Serif" w:eastAsia="Times New Roman" w:hAnsi="PT Astra Serif"/>
          <w:i/>
          <w:szCs w:val="28"/>
        </w:rPr>
        <w:t xml:space="preserve"> </w:t>
      </w:r>
      <w:r w:rsidRPr="000E054B">
        <w:rPr>
          <w:rFonts w:ascii="PT Astra Serif" w:eastAsia="Times New Roman" w:hAnsi="PT Astra Serif"/>
          <w:b/>
          <w:szCs w:val="28"/>
        </w:rPr>
        <w:t>ежемесячные стипендии от 1,5 до 5 тыс. рублей на общую сумму 774 000,00 рублей</w:t>
      </w:r>
      <w:r w:rsidRPr="000E054B">
        <w:rPr>
          <w:rFonts w:ascii="PT Astra Serif" w:eastAsia="Times New Roman" w:hAnsi="PT Astra Serif"/>
          <w:i/>
          <w:szCs w:val="28"/>
        </w:rPr>
        <w:t xml:space="preserve"> (</w:t>
      </w:r>
      <w:r w:rsidRPr="000E054B">
        <w:rPr>
          <w:rFonts w:ascii="PT Astra Serif" w:eastAsia="Times New Roman" w:hAnsi="PT Astra Serif"/>
          <w:szCs w:val="28"/>
        </w:rPr>
        <w:t>стипендии Губернатора Ульяновской области «Имени Ильи Николаевича Ульянова» и «Имени Ивана Александровича Гончарова»)</w:t>
      </w:r>
      <w:r w:rsidRPr="000E054B">
        <w:rPr>
          <w:rFonts w:ascii="PT Astra Serif" w:eastAsia="Times New Roman" w:hAnsi="PT Astra Serif"/>
          <w:i/>
          <w:szCs w:val="28"/>
        </w:rPr>
        <w:t>.</w:t>
      </w:r>
    </w:p>
    <w:p w14:paraId="525DF807" w14:textId="77777777" w:rsidR="000E054B" w:rsidRPr="000E054B" w:rsidRDefault="000E054B" w:rsidP="000E054B">
      <w:pPr>
        <w:rPr>
          <w:rFonts w:ascii="PT Astra Serif" w:eastAsia="Times New Roman" w:hAnsi="PT Astra Serif"/>
          <w:i/>
          <w:szCs w:val="28"/>
        </w:rPr>
      </w:pPr>
      <w:r w:rsidRPr="000E054B">
        <w:rPr>
          <w:rFonts w:ascii="PT Astra Serif" w:eastAsia="Times New Roman" w:hAnsi="PT Astra Serif"/>
          <w:b/>
          <w:szCs w:val="28"/>
        </w:rPr>
        <w:t>30 обучающихся и 25 педагогов получили единовременные денежные выплаты</w:t>
      </w:r>
      <w:r w:rsidRPr="000E054B">
        <w:rPr>
          <w:rFonts w:ascii="PT Astra Serif" w:eastAsia="Times New Roman" w:hAnsi="PT Astra Serif"/>
          <w:i/>
          <w:szCs w:val="28"/>
        </w:rPr>
        <w:t xml:space="preserve"> в размере от 5 до 10 тыс. рублей на общую сумму 349 000,00 рублей.</w:t>
      </w:r>
    </w:p>
    <w:p w14:paraId="31BF8752" w14:textId="77777777" w:rsidR="00C548A9" w:rsidRDefault="00C548A9" w:rsidP="00C548A9">
      <w:pPr>
        <w:widowControl w:val="0"/>
        <w:ind w:left="142" w:right="142"/>
        <w:rPr>
          <w:rFonts w:ascii="PT Astra Serif" w:eastAsia="PT Astra Serif" w:hAnsi="PT Astra Serif" w:cs="PT Astra Serif"/>
          <w:b/>
          <w:i/>
          <w:szCs w:val="28"/>
          <w:u w:val="single"/>
        </w:rPr>
      </w:pPr>
    </w:p>
    <w:p w14:paraId="1BB7209E" w14:textId="77777777" w:rsidR="00C548A9" w:rsidRPr="00992AE9" w:rsidRDefault="00C548A9" w:rsidP="00A52819">
      <w:pPr>
        <w:widowControl w:val="0"/>
        <w:ind w:firstLine="0"/>
        <w:jc w:val="center"/>
        <w:rPr>
          <w:rFonts w:ascii="PT Astra Serif" w:eastAsia="PT Astra Serif" w:hAnsi="PT Astra Serif" w:cs="PT Astra Serif"/>
          <w:b/>
          <w:i/>
          <w:szCs w:val="28"/>
        </w:rPr>
      </w:pPr>
      <w:r w:rsidRPr="00C23BDD">
        <w:rPr>
          <w:rFonts w:ascii="PT Astra Serif" w:eastAsia="PT Astra Serif" w:hAnsi="PT Astra Serif" w:cs="PT Astra Serif"/>
          <w:b/>
          <w:i/>
          <w:szCs w:val="28"/>
        </w:rPr>
        <w:t>Инфраструктура. Содержание образования.</w:t>
      </w:r>
    </w:p>
    <w:p w14:paraId="5B6B2058" w14:textId="77777777" w:rsidR="00C548A9" w:rsidRPr="00992AE9" w:rsidRDefault="00C548A9" w:rsidP="00C548A9">
      <w:pPr>
        <w:widowControl w:val="0"/>
        <w:ind w:left="142" w:right="142"/>
        <w:jc w:val="center"/>
        <w:rPr>
          <w:rFonts w:ascii="PT Astra Serif" w:eastAsia="PT Astra Serif" w:hAnsi="PT Astra Serif" w:cs="PT Astra Serif"/>
          <w:b/>
          <w:i/>
          <w:szCs w:val="28"/>
          <w:highlight w:val="yellow"/>
        </w:rPr>
      </w:pPr>
    </w:p>
    <w:p w14:paraId="37C4ACBB" w14:textId="77777777" w:rsidR="00C548A9" w:rsidRPr="00F42725" w:rsidRDefault="00C548A9" w:rsidP="00C548A9">
      <w:pPr>
        <w:widowControl w:val="0"/>
        <w:rPr>
          <w:rFonts w:ascii="PT Astra Serif" w:eastAsia="PT Astra Serif" w:hAnsi="PT Astra Serif" w:cs="PT Astra Serif"/>
          <w:szCs w:val="28"/>
        </w:rPr>
      </w:pPr>
      <w:r w:rsidRPr="00992AE9">
        <w:rPr>
          <w:rFonts w:ascii="PT Astra Serif" w:eastAsia="PT Astra Serif" w:hAnsi="PT Astra Serif" w:cs="PT Astra Serif"/>
          <w:b/>
          <w:szCs w:val="28"/>
        </w:rPr>
        <w:t>В 2025 году</w:t>
      </w:r>
      <w:r w:rsidRPr="00992AE9">
        <w:rPr>
          <w:rFonts w:ascii="PT Astra Serif" w:eastAsia="PT Astra Serif" w:hAnsi="PT Astra Serif" w:cs="PT Astra Serif"/>
          <w:szCs w:val="28"/>
        </w:rPr>
        <w:t xml:space="preserve"> </w:t>
      </w:r>
      <w:r w:rsidRPr="00992AE9">
        <w:rPr>
          <w:rFonts w:ascii="PT Astra Serif" w:eastAsia="PT Astra Serif" w:hAnsi="PT Astra Serif" w:cs="PT Astra Serif"/>
          <w:b/>
          <w:szCs w:val="28"/>
        </w:rPr>
        <w:t xml:space="preserve">рамках федерального проекта «Все лучшее детям» национального проекта «Молодёжь и дети» </w:t>
      </w:r>
      <w:r w:rsidRPr="00F42725">
        <w:rPr>
          <w:rFonts w:ascii="PT Astra Serif" w:eastAsia="PT Astra Serif" w:hAnsi="PT Astra Serif" w:cs="PT Astra Serif"/>
          <w:b/>
          <w:szCs w:val="28"/>
        </w:rPr>
        <w:t>229</w:t>
      </w:r>
      <w:r w:rsidRPr="00F42725">
        <w:rPr>
          <w:rFonts w:ascii="PT Astra Serif" w:eastAsia="PT Astra Serif" w:hAnsi="PT Astra Serif" w:cs="PT Astra Serif"/>
          <w:szCs w:val="28"/>
        </w:rPr>
        <w:t xml:space="preserve"> </w:t>
      </w:r>
      <w:r w:rsidRPr="00992AE9">
        <w:rPr>
          <w:rFonts w:ascii="PT Astra Serif" w:eastAsia="PT Astra Serif" w:hAnsi="PT Astra Serif" w:cs="PT Astra Serif"/>
          <w:b/>
          <w:szCs w:val="28"/>
        </w:rPr>
        <w:t>общеобразовательных организаций</w:t>
      </w:r>
      <w:r w:rsidRPr="00F42725">
        <w:rPr>
          <w:rFonts w:ascii="PT Astra Serif" w:eastAsia="PT Astra Serif" w:hAnsi="PT Astra Serif" w:cs="PT Astra Serif"/>
          <w:szCs w:val="28"/>
        </w:rPr>
        <w:t>, реализующих программы основного общего и среднего общего образования оснащены основным оборудованием из федерального перечня: кабинеты труда (Технологии) и ОБЗР.</w:t>
      </w:r>
    </w:p>
    <w:p w14:paraId="0F2356D5" w14:textId="77777777" w:rsidR="00C548A9" w:rsidRPr="00F42725" w:rsidRDefault="00C548A9" w:rsidP="00C548A9">
      <w:pPr>
        <w:widowControl w:val="0"/>
        <w:rPr>
          <w:rFonts w:ascii="PT Astra Serif" w:eastAsia="Times New Roman" w:hAnsi="PT Astra Serif" w:cs="Times New Roman"/>
          <w:szCs w:val="28"/>
        </w:rPr>
      </w:pPr>
      <w:r w:rsidRPr="00F42725">
        <w:rPr>
          <w:rFonts w:ascii="PT Astra Serif" w:eastAsia="Times New Roman" w:hAnsi="PT Astra Serif" w:cs="Times New Roman"/>
          <w:szCs w:val="28"/>
        </w:rPr>
        <w:t>По программам профильного обучения обучаются 9</w:t>
      </w:r>
      <w:r>
        <w:rPr>
          <w:rFonts w:ascii="PT Astra Serif" w:eastAsia="Times New Roman" w:hAnsi="PT Astra Serif" w:cs="Times New Roman"/>
          <w:szCs w:val="28"/>
        </w:rPr>
        <w:t> </w:t>
      </w:r>
      <w:r w:rsidRPr="00F42725">
        <w:rPr>
          <w:rFonts w:ascii="PT Astra Serif" w:eastAsia="Times New Roman" w:hAnsi="PT Astra Serif" w:cs="Times New Roman"/>
          <w:szCs w:val="28"/>
        </w:rPr>
        <w:t>570 учащихся 10</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w:t>
      </w:r>
      <w:r>
        <w:rPr>
          <w:rFonts w:ascii="PT Astra Serif" w:eastAsia="Times New Roman" w:hAnsi="PT Astra Serif" w:cs="Times New Roman"/>
          <w:szCs w:val="28"/>
        </w:rPr>
        <w:t xml:space="preserve"> 11 классов, что составляет 98,6</w:t>
      </w:r>
      <w:r w:rsidRPr="00F42725">
        <w:rPr>
          <w:rFonts w:ascii="PT Astra Serif" w:eastAsia="Times New Roman" w:hAnsi="PT Astra Serif" w:cs="Times New Roman"/>
          <w:szCs w:val="28"/>
        </w:rPr>
        <w:t>% от общего количества обучающихся 10</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11 классов, показатель по сравнению с прошлым годом остался на прежнем уровне.</w:t>
      </w:r>
    </w:p>
    <w:p w14:paraId="59C6D523" w14:textId="09BE2DEC" w:rsidR="00C548A9" w:rsidRDefault="00C548A9" w:rsidP="00C548A9">
      <w:pPr>
        <w:widowControl w:val="0"/>
        <w:rPr>
          <w:rFonts w:ascii="PT Astra Serif" w:eastAsia="Times New Roman" w:hAnsi="PT Astra Serif" w:cs="Arial"/>
          <w:szCs w:val="28"/>
          <w:shd w:val="clear" w:color="auto" w:fill="FFFFFF"/>
        </w:rPr>
      </w:pPr>
      <w:r w:rsidRPr="00F42725">
        <w:rPr>
          <w:rFonts w:ascii="PT Astra Serif" w:eastAsia="Times New Roman" w:hAnsi="PT Astra Serif" w:cs="Arial"/>
          <w:szCs w:val="28"/>
          <w:shd w:val="clear" w:color="auto" w:fill="FFFFFF"/>
        </w:rPr>
        <w:t>В рамках реализации Единой модели профориентации осуществляется интеграция общего, дополнительного, предпрофес</w:t>
      </w:r>
      <w:r>
        <w:rPr>
          <w:rFonts w:ascii="PT Astra Serif" w:eastAsia="Times New Roman" w:hAnsi="PT Astra Serif" w:cs="Arial"/>
          <w:szCs w:val="28"/>
          <w:shd w:val="clear" w:color="auto" w:fill="FFFFFF"/>
        </w:rPr>
        <w:t xml:space="preserve">сионального </w:t>
      </w:r>
      <w:r w:rsidR="00F660A1">
        <w:rPr>
          <w:rFonts w:ascii="PT Astra Serif" w:eastAsia="Times New Roman" w:hAnsi="PT Astra Serif" w:cs="Arial"/>
          <w:szCs w:val="28"/>
          <w:shd w:val="clear" w:color="auto" w:fill="FFFFFF"/>
        </w:rPr>
        <w:br/>
      </w:r>
      <w:r>
        <w:rPr>
          <w:rFonts w:ascii="PT Astra Serif" w:eastAsia="Times New Roman" w:hAnsi="PT Astra Serif" w:cs="Arial"/>
          <w:szCs w:val="28"/>
          <w:shd w:val="clear" w:color="auto" w:fill="FFFFFF"/>
        </w:rPr>
        <w:t>и профессионального</w:t>
      </w:r>
      <w:r w:rsidRPr="00F42725">
        <w:rPr>
          <w:rFonts w:ascii="PT Astra Serif" w:eastAsia="Times New Roman" w:hAnsi="PT Astra Serif" w:cs="Arial"/>
          <w:szCs w:val="28"/>
          <w:shd w:val="clear" w:color="auto" w:fill="FFFFFF"/>
        </w:rPr>
        <w:t xml:space="preserve"> обучения. Формируются связи и модели сотрудничества для подготовки квалифицированных кадров под запросы экономики, чтобы она была максимально конкурентоспособной.</w:t>
      </w:r>
    </w:p>
    <w:p w14:paraId="3BEB7C8D" w14:textId="77777777" w:rsidR="00C548A9" w:rsidRPr="00F42725" w:rsidRDefault="00C548A9" w:rsidP="00C548A9">
      <w:pPr>
        <w:widowControl w:val="0"/>
        <w:rPr>
          <w:rFonts w:ascii="PT Astra Serif" w:eastAsia="Times New Roman" w:hAnsi="PT Astra Serif" w:cs="Arial"/>
          <w:szCs w:val="28"/>
          <w:shd w:val="clear" w:color="auto" w:fill="FFFFFF"/>
        </w:rPr>
      </w:pPr>
      <w:r w:rsidRPr="00F42725">
        <w:rPr>
          <w:rFonts w:ascii="PT Astra Serif" w:eastAsia="Times New Roman" w:hAnsi="PT Astra Serif" w:cs="Arial"/>
          <w:szCs w:val="28"/>
          <w:shd w:val="clear" w:color="auto" w:fill="FFFFFF"/>
        </w:rPr>
        <w:lastRenderedPageBreak/>
        <w:t>Профильно-предпрофессиональное обучение по образовательной модели «Школа-СПО/Вуз-работодатель (индустриальный партнёр)» позволяет обучающимся познакомиться с особенностью выбранной отрасли, сделать реальный осознанный выбор и получить первые практические навыки.</w:t>
      </w:r>
    </w:p>
    <w:p w14:paraId="54160915" w14:textId="77777777" w:rsidR="00C548A9" w:rsidRPr="00F42725" w:rsidRDefault="00C548A9" w:rsidP="00C548A9">
      <w:pPr>
        <w:widowControl w:val="0"/>
        <w:rPr>
          <w:rFonts w:ascii="PT Astra Serif" w:eastAsia="Times New Roman" w:hAnsi="PT Astra Serif" w:cs="Times New Roman"/>
          <w:szCs w:val="28"/>
        </w:rPr>
      </w:pPr>
      <w:r w:rsidRPr="00F42725">
        <w:rPr>
          <w:rFonts w:ascii="PT Astra Serif" w:eastAsia="Times New Roman" w:hAnsi="PT Astra Serif" w:cs="Times New Roman"/>
          <w:szCs w:val="28"/>
        </w:rPr>
        <w:t>В 2025/26 учебном году профильно-предпрофессиональное обучение осуществляется в 534 классах</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w:t>
      </w:r>
      <w:r>
        <w:rPr>
          <w:rFonts w:ascii="PT Astra Serif" w:eastAsia="Times New Roman" w:hAnsi="PT Astra Serif" w:cs="Times New Roman"/>
          <w:szCs w:val="28"/>
        </w:rPr>
        <w:t xml:space="preserve"> </w:t>
      </w:r>
      <w:r w:rsidRPr="00F42725">
        <w:rPr>
          <w:rFonts w:ascii="PT Astra Serif" w:eastAsia="Times New Roman" w:hAnsi="PT Astra Serif" w:cs="Times New Roman"/>
          <w:szCs w:val="28"/>
        </w:rPr>
        <w:t>группах.</w:t>
      </w:r>
    </w:p>
    <w:p w14:paraId="6C675EFD"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eastAsia="Times New Roman" w:hAnsi="PT Astra Serif" w:cs="Arial"/>
          <w:szCs w:val="28"/>
        </w:rPr>
        <w:t>В 102 общеобразовательных организациях региона, что составляет 28,81% от общего количества школ, реализующих Единую модель профориентации, сформированы образовательные модели «Школа</w:t>
      </w:r>
      <w:r>
        <w:rPr>
          <w:rFonts w:ascii="PT Astra Serif" w:eastAsia="Times New Roman" w:hAnsi="PT Astra Serif" w:cs="Arial"/>
          <w:szCs w:val="28"/>
        </w:rPr>
        <w:t xml:space="preserve"> </w:t>
      </w:r>
      <w:r w:rsidRPr="00F42725">
        <w:rPr>
          <w:rFonts w:ascii="PT Astra Serif" w:eastAsia="Times New Roman" w:hAnsi="PT Astra Serif" w:cs="Arial"/>
          <w:szCs w:val="28"/>
        </w:rPr>
        <w:t>-</w:t>
      </w:r>
      <w:r>
        <w:rPr>
          <w:rFonts w:ascii="PT Astra Serif" w:eastAsia="Times New Roman" w:hAnsi="PT Astra Serif" w:cs="Arial"/>
          <w:szCs w:val="28"/>
        </w:rPr>
        <w:t xml:space="preserve"> </w:t>
      </w:r>
      <w:r w:rsidRPr="00F42725">
        <w:rPr>
          <w:rFonts w:ascii="PT Astra Serif" w:eastAsia="Times New Roman" w:hAnsi="PT Astra Serif" w:cs="Arial"/>
          <w:szCs w:val="28"/>
        </w:rPr>
        <w:t>СПО/В</w:t>
      </w:r>
      <w:r>
        <w:rPr>
          <w:rFonts w:ascii="PT Astra Serif" w:eastAsia="Times New Roman" w:hAnsi="PT Astra Serif" w:cs="Arial"/>
          <w:szCs w:val="28"/>
        </w:rPr>
        <w:t>уз - работодатель» по профильно-</w:t>
      </w:r>
      <w:r w:rsidRPr="00F42725">
        <w:rPr>
          <w:rFonts w:ascii="PT Astra Serif" w:eastAsia="Times New Roman" w:hAnsi="PT Astra Serif" w:cs="Arial"/>
          <w:szCs w:val="28"/>
        </w:rPr>
        <w:t>предпрофессиональному обучению в рамках федеральных и региональных проектов:</w:t>
      </w:r>
    </w:p>
    <w:p w14:paraId="54B4137C" w14:textId="77777777" w:rsidR="00C548A9" w:rsidRPr="00F42725" w:rsidRDefault="00C548A9" w:rsidP="00C548A9">
      <w:pPr>
        <w:widowControl w:val="0"/>
        <w:shd w:val="clear" w:color="auto" w:fill="FFFFFF"/>
        <w:rPr>
          <w:rFonts w:ascii="PT Astra Serif" w:eastAsia="Times New Roman" w:hAnsi="PT Astra Serif" w:cs="Arial"/>
          <w:i/>
          <w:szCs w:val="28"/>
        </w:rPr>
      </w:pPr>
      <w:r w:rsidRPr="00F42725">
        <w:rPr>
          <w:rFonts w:ascii="PT Astra Serif" w:eastAsia="Times New Roman" w:hAnsi="PT Astra Serif" w:cs="Arial"/>
          <w:szCs w:val="28"/>
        </w:rPr>
        <w:t>«Инженерные классы авиастроительного профиля» (</w:t>
      </w:r>
      <w:proofErr w:type="spellStart"/>
      <w:r w:rsidRPr="00F42725">
        <w:rPr>
          <w:rFonts w:ascii="PT Astra Serif" w:eastAsia="Times New Roman" w:hAnsi="PT Astra Serif" w:cs="Arial"/>
          <w:szCs w:val="28"/>
        </w:rPr>
        <w:t>УлГТУ</w:t>
      </w:r>
      <w:proofErr w:type="spellEnd"/>
      <w:r w:rsidRPr="00F42725">
        <w:rPr>
          <w:rFonts w:ascii="PT Astra Serif" w:eastAsia="Times New Roman" w:hAnsi="PT Astra Serif" w:cs="Arial"/>
          <w:szCs w:val="28"/>
        </w:rPr>
        <w:t xml:space="preserve">, </w:t>
      </w:r>
      <w:proofErr w:type="spellStart"/>
      <w:r w:rsidRPr="00F42725">
        <w:rPr>
          <w:rFonts w:ascii="PT Astra Serif" w:eastAsia="Times New Roman" w:hAnsi="PT Astra Serif" w:cs="Arial"/>
          <w:szCs w:val="28"/>
        </w:rPr>
        <w:t>УлГПУ</w:t>
      </w:r>
      <w:proofErr w:type="spellEnd"/>
      <w:r w:rsidRPr="00F42725">
        <w:rPr>
          <w:rFonts w:ascii="PT Astra Serif" w:eastAsia="Times New Roman" w:hAnsi="PT Astra Serif" w:cs="Arial"/>
          <w:szCs w:val="28"/>
        </w:rPr>
        <w:t xml:space="preserve">, «Ил» - Авиастар») – </w:t>
      </w:r>
      <w:r w:rsidRPr="00F42725">
        <w:rPr>
          <w:rFonts w:ascii="PT Astra Serif" w:eastAsia="Times New Roman" w:hAnsi="PT Astra Serif" w:cs="Arial"/>
          <w:i/>
          <w:szCs w:val="28"/>
        </w:rPr>
        <w:t>4 школы г</w:t>
      </w:r>
      <w:r>
        <w:rPr>
          <w:rFonts w:ascii="PT Astra Serif" w:eastAsia="Times New Roman" w:hAnsi="PT Astra Serif" w:cs="Arial"/>
          <w:i/>
          <w:szCs w:val="28"/>
        </w:rPr>
        <w:t>. </w:t>
      </w:r>
      <w:r w:rsidRPr="00F42725">
        <w:rPr>
          <w:rFonts w:ascii="PT Astra Serif" w:eastAsia="Times New Roman" w:hAnsi="PT Astra Serif" w:cs="Arial"/>
          <w:i/>
          <w:szCs w:val="28"/>
        </w:rPr>
        <w:t>Ульяновска</w:t>
      </w:r>
      <w:r>
        <w:rPr>
          <w:rFonts w:ascii="PT Astra Serif" w:eastAsia="Times New Roman" w:hAnsi="PT Astra Serif" w:cs="Arial"/>
          <w:i/>
          <w:szCs w:val="28"/>
        </w:rPr>
        <w:t>;</w:t>
      </w:r>
    </w:p>
    <w:p w14:paraId="1B5C5464" w14:textId="4BBFADB5"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eastAsia="Times New Roman" w:hAnsi="PT Astra Serif" w:cs="Arial"/>
          <w:szCs w:val="28"/>
        </w:rPr>
        <w:t>«Кадры в АПК» (Минсельхоз), «</w:t>
      </w:r>
      <w:proofErr w:type="spellStart"/>
      <w:r w:rsidRPr="00F42725">
        <w:rPr>
          <w:rFonts w:ascii="PT Astra Serif" w:eastAsia="Times New Roman" w:hAnsi="PT Astra Serif" w:cs="Arial"/>
          <w:szCs w:val="28"/>
        </w:rPr>
        <w:t>Агроклассы</w:t>
      </w:r>
      <w:proofErr w:type="spellEnd"/>
      <w:r w:rsidRPr="00F42725">
        <w:rPr>
          <w:rFonts w:ascii="PT Astra Serif" w:eastAsia="Times New Roman" w:hAnsi="PT Astra Serif" w:cs="Arial"/>
          <w:szCs w:val="28"/>
        </w:rPr>
        <w:t>» (</w:t>
      </w:r>
      <w:proofErr w:type="spellStart"/>
      <w:r w:rsidR="00F660A1" w:rsidRPr="00F42725">
        <w:rPr>
          <w:rFonts w:ascii="PT Astra Serif" w:eastAsia="Times New Roman" w:hAnsi="PT Astra Serif" w:cs="Arial"/>
          <w:szCs w:val="28"/>
        </w:rPr>
        <w:t>УлГАУ</w:t>
      </w:r>
      <w:proofErr w:type="spellEnd"/>
      <w:r w:rsidR="00F660A1" w:rsidRPr="00F42725">
        <w:rPr>
          <w:rFonts w:ascii="PT Astra Serif" w:eastAsia="Times New Roman" w:hAnsi="PT Astra Serif" w:cs="Arial"/>
          <w:szCs w:val="28"/>
        </w:rPr>
        <w:t xml:space="preserve"> </w:t>
      </w:r>
      <w:r w:rsidR="00F660A1">
        <w:rPr>
          <w:rFonts w:ascii="PT Astra Serif" w:eastAsia="Times New Roman" w:hAnsi="PT Astra Serif" w:cs="Arial"/>
          <w:szCs w:val="28"/>
        </w:rPr>
        <w:t>имени П.А. Столыпина</w:t>
      </w:r>
      <w:r w:rsidRPr="00F42725">
        <w:rPr>
          <w:rFonts w:ascii="PT Astra Serif" w:eastAsia="Times New Roman" w:hAnsi="PT Astra Serif" w:cs="Arial"/>
          <w:szCs w:val="28"/>
        </w:rPr>
        <w:t xml:space="preserve"> и </w:t>
      </w:r>
      <w:proofErr w:type="spellStart"/>
      <w:r w:rsidRPr="00F42725">
        <w:rPr>
          <w:rFonts w:ascii="PT Astra Serif" w:eastAsia="Times New Roman" w:hAnsi="PT Astra Serif" w:cs="Arial"/>
          <w:szCs w:val="28"/>
        </w:rPr>
        <w:t>сельхозпредприниматели</w:t>
      </w:r>
      <w:proofErr w:type="spellEnd"/>
      <w:r w:rsidRPr="00F42725">
        <w:rPr>
          <w:rFonts w:ascii="PT Astra Serif" w:eastAsia="Times New Roman" w:hAnsi="PT Astra Serif" w:cs="Arial"/>
          <w:szCs w:val="28"/>
        </w:rPr>
        <w:t xml:space="preserve">) – </w:t>
      </w:r>
      <w:r w:rsidRPr="00F42725">
        <w:rPr>
          <w:rFonts w:ascii="PT Astra Serif" w:eastAsia="Times New Roman" w:hAnsi="PT Astra Serif" w:cs="Arial"/>
          <w:i/>
          <w:szCs w:val="28"/>
        </w:rPr>
        <w:t>7 школ;</w:t>
      </w:r>
    </w:p>
    <w:p w14:paraId="401E39B9" w14:textId="77777777" w:rsidR="00C548A9" w:rsidRPr="00F42725" w:rsidRDefault="00C548A9" w:rsidP="00C548A9">
      <w:pPr>
        <w:widowControl w:val="0"/>
        <w:shd w:val="clear" w:color="auto" w:fill="FFFFFF"/>
        <w:rPr>
          <w:rFonts w:ascii="PT Astra Serif" w:eastAsia="Times New Roman" w:hAnsi="PT Astra Serif" w:cs="Arial"/>
          <w:i/>
          <w:szCs w:val="28"/>
        </w:rPr>
      </w:pPr>
      <w:r>
        <w:rPr>
          <w:rFonts w:ascii="PT Astra Serif" w:eastAsia="Times New Roman" w:hAnsi="PT Astra Serif" w:cs="Arial"/>
          <w:szCs w:val="28"/>
        </w:rPr>
        <w:t>«Психолого-</w:t>
      </w:r>
      <w:r w:rsidRPr="00F42725">
        <w:rPr>
          <w:rFonts w:ascii="PT Astra Serif" w:eastAsia="Times New Roman" w:hAnsi="PT Astra Serif" w:cs="Arial"/>
          <w:szCs w:val="28"/>
        </w:rPr>
        <w:t>педагогические классы» (</w:t>
      </w:r>
      <w:proofErr w:type="spellStart"/>
      <w:r w:rsidRPr="00F42725">
        <w:rPr>
          <w:rFonts w:ascii="PT Astra Serif" w:eastAsia="Times New Roman" w:hAnsi="PT Astra Serif" w:cs="Arial"/>
          <w:szCs w:val="28"/>
        </w:rPr>
        <w:t>УлГПУ</w:t>
      </w:r>
      <w:proofErr w:type="spellEnd"/>
      <w:r w:rsidRPr="00F42725">
        <w:rPr>
          <w:rFonts w:ascii="PT Astra Serif" w:eastAsia="Times New Roman" w:hAnsi="PT Astra Serif" w:cs="Arial"/>
          <w:szCs w:val="28"/>
        </w:rPr>
        <w:t xml:space="preserve"> им. И.Н. Ульянова </w:t>
      </w:r>
      <w:r>
        <w:rPr>
          <w:rFonts w:ascii="PT Astra Serif" w:eastAsia="Times New Roman" w:hAnsi="PT Astra Serif" w:cs="Arial"/>
          <w:szCs w:val="28"/>
        </w:rPr>
        <w:br/>
      </w:r>
      <w:r w:rsidRPr="00F42725">
        <w:rPr>
          <w:rFonts w:ascii="PT Astra Serif" w:eastAsia="Times New Roman" w:hAnsi="PT Astra Serif" w:cs="Arial"/>
          <w:szCs w:val="28"/>
        </w:rPr>
        <w:t xml:space="preserve">и школы) </w:t>
      </w:r>
      <w:r w:rsidRPr="00F42725">
        <w:rPr>
          <w:rFonts w:ascii="PT Astra Serif" w:eastAsia="Times New Roman" w:hAnsi="PT Astra Serif" w:cs="Arial"/>
          <w:i/>
          <w:szCs w:val="28"/>
        </w:rPr>
        <w:t>– 69 школ региона;</w:t>
      </w:r>
    </w:p>
    <w:p w14:paraId="62994D4A" w14:textId="77777777" w:rsidR="00C548A9" w:rsidRPr="00F42725" w:rsidRDefault="00C548A9" w:rsidP="00C548A9">
      <w:pPr>
        <w:widowControl w:val="0"/>
        <w:shd w:val="clear" w:color="auto" w:fill="FFFFFF"/>
        <w:rPr>
          <w:rFonts w:ascii="PT Astra Serif" w:eastAsia="Times New Roman" w:hAnsi="PT Astra Serif" w:cs="Arial"/>
          <w:i/>
          <w:szCs w:val="28"/>
        </w:rPr>
      </w:pPr>
      <w:r w:rsidRPr="00F42725">
        <w:rPr>
          <w:rFonts w:ascii="PT Astra Serif" w:eastAsia="Times New Roman" w:hAnsi="PT Astra Serif" w:cs="Arial"/>
          <w:szCs w:val="28"/>
        </w:rPr>
        <w:t xml:space="preserve">«Лицейские классы </w:t>
      </w:r>
      <w:proofErr w:type="spellStart"/>
      <w:r w:rsidRPr="00F42725">
        <w:rPr>
          <w:rFonts w:ascii="PT Astra Serif" w:eastAsia="Times New Roman" w:hAnsi="PT Astra Serif" w:cs="Arial"/>
          <w:szCs w:val="28"/>
        </w:rPr>
        <w:t>УлГТУ</w:t>
      </w:r>
      <w:proofErr w:type="spellEnd"/>
      <w:r w:rsidRPr="00F42725">
        <w:rPr>
          <w:rFonts w:ascii="PT Astra Serif" w:eastAsia="Times New Roman" w:hAnsi="PT Astra Serif" w:cs="Arial"/>
          <w:szCs w:val="28"/>
        </w:rPr>
        <w:t xml:space="preserve">» - </w:t>
      </w:r>
      <w:r w:rsidRPr="00F42725">
        <w:rPr>
          <w:rFonts w:ascii="PT Astra Serif" w:eastAsia="Times New Roman" w:hAnsi="PT Astra Serif" w:cs="Arial"/>
          <w:i/>
          <w:szCs w:val="28"/>
        </w:rPr>
        <w:t>5 лицеев, 16 школ с лицейскими классами;</w:t>
      </w:r>
    </w:p>
    <w:p w14:paraId="2E36FCFB"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eastAsia="Times New Roman" w:hAnsi="PT Astra Serif" w:cs="Arial"/>
          <w:szCs w:val="28"/>
        </w:rPr>
        <w:t xml:space="preserve">«Инженерные классы </w:t>
      </w:r>
      <w:proofErr w:type="spellStart"/>
      <w:r w:rsidRPr="00F42725">
        <w:rPr>
          <w:rFonts w:ascii="PT Astra Serif" w:eastAsia="Times New Roman" w:hAnsi="PT Astra Serif" w:cs="Arial"/>
          <w:szCs w:val="28"/>
        </w:rPr>
        <w:t>Росатома</w:t>
      </w:r>
      <w:proofErr w:type="spellEnd"/>
      <w:r w:rsidRPr="00F42725">
        <w:rPr>
          <w:rFonts w:ascii="PT Astra Serif" w:eastAsia="Times New Roman" w:hAnsi="PT Astra Serif" w:cs="Arial"/>
          <w:szCs w:val="28"/>
        </w:rPr>
        <w:t>» (</w:t>
      </w:r>
      <w:r w:rsidRPr="00F42725">
        <w:rPr>
          <w:rFonts w:ascii="PT Astra Serif" w:eastAsia="Times New Roman" w:hAnsi="PT Astra Serif" w:cs="Arial"/>
          <w:i/>
          <w:szCs w:val="28"/>
        </w:rPr>
        <w:t>Лицей ядерных технологий</w:t>
      </w:r>
      <w:r w:rsidRPr="00F42725">
        <w:rPr>
          <w:rFonts w:ascii="PT Astra Serif" w:eastAsia="Times New Roman" w:hAnsi="PT Astra Serif" w:cs="Arial"/>
          <w:szCs w:val="28"/>
        </w:rPr>
        <w:t>);</w:t>
      </w:r>
    </w:p>
    <w:p w14:paraId="0E93EEA5"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eastAsia="Times New Roman" w:hAnsi="PT Astra Serif" w:cs="Arial"/>
          <w:szCs w:val="28"/>
        </w:rPr>
        <w:t>«Классы Передовой инженерной школы» (</w:t>
      </w:r>
      <w:r w:rsidRPr="00F42725">
        <w:rPr>
          <w:rFonts w:ascii="PT Astra Serif" w:eastAsia="Times New Roman" w:hAnsi="PT Astra Serif" w:cs="Arial"/>
          <w:i/>
          <w:szCs w:val="28"/>
        </w:rPr>
        <w:t>гимназия № 34, 40 лицей</w:t>
      </w:r>
      <w:r w:rsidRPr="00F42725">
        <w:rPr>
          <w:rFonts w:ascii="PT Astra Serif" w:eastAsia="Times New Roman" w:hAnsi="PT Astra Serif" w:cs="Arial"/>
          <w:szCs w:val="28"/>
        </w:rPr>
        <w:t>).</w:t>
      </w:r>
    </w:p>
    <w:p w14:paraId="5C36F207"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В 2024/25 учебном году открылись инженерные классы:</w:t>
      </w:r>
    </w:p>
    <w:p w14:paraId="42EFD853"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hAnsi="PT Astra Serif" w:cs="Times New Roman"/>
          <w:szCs w:val="28"/>
        </w:rPr>
        <w:t>ОГАОУ многопрофильный лицей 20 - АО «НПП «Завод Искра»;</w:t>
      </w:r>
    </w:p>
    <w:p w14:paraId="064AC392"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 xml:space="preserve">МБОУ </w:t>
      </w:r>
      <w:proofErr w:type="spellStart"/>
      <w:r w:rsidRPr="00F42725">
        <w:rPr>
          <w:rFonts w:ascii="PT Astra Serif" w:hAnsi="PT Astra Serif" w:cs="Times New Roman"/>
          <w:szCs w:val="28"/>
        </w:rPr>
        <w:t>Ишеевский</w:t>
      </w:r>
      <w:proofErr w:type="spellEnd"/>
      <w:r w:rsidRPr="00F42725">
        <w:rPr>
          <w:rFonts w:ascii="PT Astra Serif" w:hAnsi="PT Astra Serif" w:cs="Times New Roman"/>
          <w:szCs w:val="28"/>
        </w:rPr>
        <w:t xml:space="preserve"> многопрофильный лицей им. Н.К.</w:t>
      </w:r>
      <w:r>
        <w:rPr>
          <w:rFonts w:ascii="PT Astra Serif" w:hAnsi="PT Astra Serif" w:cs="Times New Roman"/>
          <w:szCs w:val="28"/>
        </w:rPr>
        <w:t> </w:t>
      </w:r>
      <w:proofErr w:type="spellStart"/>
      <w:r w:rsidRPr="00F42725">
        <w:rPr>
          <w:rFonts w:ascii="PT Astra Serif" w:hAnsi="PT Astra Serif" w:cs="Times New Roman"/>
          <w:szCs w:val="28"/>
        </w:rPr>
        <w:t>Джорджадзе</w:t>
      </w:r>
      <w:proofErr w:type="spellEnd"/>
      <w:r w:rsidRPr="00F42725">
        <w:rPr>
          <w:rFonts w:ascii="PT Astra Serif" w:hAnsi="PT Astra Serif" w:cs="Times New Roman"/>
          <w:szCs w:val="28"/>
        </w:rPr>
        <w:t xml:space="preserve"> - АО «НПП «Завод Искра».</w:t>
      </w:r>
    </w:p>
    <w:p w14:paraId="7D3D5C3A" w14:textId="77777777" w:rsidR="00C548A9" w:rsidRPr="00F42725" w:rsidRDefault="00C548A9" w:rsidP="00C548A9">
      <w:pPr>
        <w:widowControl w:val="0"/>
        <w:shd w:val="clear" w:color="auto" w:fill="FFFFFF"/>
        <w:rPr>
          <w:rFonts w:ascii="PT Astra Serif" w:hAnsi="PT Astra Serif" w:cs="Times New Roman"/>
          <w:szCs w:val="28"/>
        </w:rPr>
      </w:pPr>
      <w:r w:rsidRPr="00F42725">
        <w:rPr>
          <w:rFonts w:ascii="PT Astra Serif" w:hAnsi="PT Astra Serif" w:cs="Times New Roman"/>
          <w:szCs w:val="28"/>
        </w:rPr>
        <w:t>Состоялось открытие Универсального кабинета цифровых технологий (машиностроение и робототехника) МБОУ г. Ульяновска Мариинская гимназия (ООО ИПК «</w:t>
      </w:r>
      <w:proofErr w:type="spellStart"/>
      <w:r w:rsidRPr="00F42725">
        <w:rPr>
          <w:rFonts w:ascii="PT Astra Serif" w:hAnsi="PT Astra Serif" w:cs="Times New Roman"/>
          <w:szCs w:val="28"/>
        </w:rPr>
        <w:t>Халтек</w:t>
      </w:r>
      <w:proofErr w:type="spellEnd"/>
      <w:r w:rsidRPr="00F42725">
        <w:rPr>
          <w:rFonts w:ascii="PT Astra Serif" w:hAnsi="PT Astra Serif" w:cs="Times New Roman"/>
          <w:szCs w:val="28"/>
        </w:rPr>
        <w:t>»)</w:t>
      </w:r>
      <w:r>
        <w:rPr>
          <w:rFonts w:ascii="PT Astra Serif" w:hAnsi="PT Astra Serif" w:cs="Times New Roman"/>
          <w:szCs w:val="28"/>
        </w:rPr>
        <w:t>.</w:t>
      </w:r>
    </w:p>
    <w:p w14:paraId="36081302"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hAnsi="PT Astra Serif" w:cs="Times New Roman"/>
          <w:szCs w:val="28"/>
        </w:rPr>
        <w:t xml:space="preserve">На базе МБОУ г. Ульяновска СШ № 61 совместно с </w:t>
      </w:r>
      <w:proofErr w:type="spellStart"/>
      <w:r w:rsidRPr="00F42725">
        <w:rPr>
          <w:rFonts w:ascii="PT Astra Serif" w:hAnsi="PT Astra Serif" w:cs="Times New Roman"/>
          <w:szCs w:val="28"/>
        </w:rPr>
        <w:t>УлГТУ</w:t>
      </w:r>
      <w:proofErr w:type="spellEnd"/>
      <w:r w:rsidRPr="00F42725">
        <w:rPr>
          <w:rFonts w:ascii="PT Astra Serif" w:hAnsi="PT Astra Serif" w:cs="Times New Roman"/>
          <w:szCs w:val="28"/>
        </w:rPr>
        <w:t xml:space="preserve"> и Филиалом ПАО «</w:t>
      </w:r>
      <w:proofErr w:type="spellStart"/>
      <w:r w:rsidRPr="00F42725">
        <w:rPr>
          <w:rFonts w:ascii="PT Astra Serif" w:hAnsi="PT Astra Serif" w:cs="Times New Roman"/>
          <w:szCs w:val="28"/>
        </w:rPr>
        <w:t>Россети</w:t>
      </w:r>
      <w:proofErr w:type="spellEnd"/>
      <w:r w:rsidRPr="00F42725">
        <w:rPr>
          <w:rFonts w:ascii="PT Astra Serif" w:hAnsi="PT Astra Serif" w:cs="Times New Roman"/>
          <w:szCs w:val="28"/>
        </w:rPr>
        <w:t xml:space="preserve"> Волга» - «Ульяновские распределительные сети» открыт </w:t>
      </w:r>
      <w:proofErr w:type="spellStart"/>
      <w:r w:rsidRPr="00F42725">
        <w:rPr>
          <w:rFonts w:ascii="PT Astra Serif" w:hAnsi="PT Astra Serif" w:cs="Times New Roman"/>
          <w:szCs w:val="28"/>
        </w:rPr>
        <w:t>энергокружок</w:t>
      </w:r>
      <w:proofErr w:type="spellEnd"/>
      <w:r w:rsidRPr="00F42725">
        <w:rPr>
          <w:rFonts w:ascii="PT Astra Serif" w:hAnsi="PT Astra Serif" w:cs="Times New Roman"/>
          <w:szCs w:val="28"/>
        </w:rPr>
        <w:t xml:space="preserve"> ПАО «</w:t>
      </w:r>
      <w:proofErr w:type="spellStart"/>
      <w:r w:rsidRPr="00F42725">
        <w:rPr>
          <w:rFonts w:ascii="PT Astra Serif" w:hAnsi="PT Astra Serif" w:cs="Times New Roman"/>
          <w:szCs w:val="28"/>
        </w:rPr>
        <w:t>Россети</w:t>
      </w:r>
      <w:proofErr w:type="spellEnd"/>
      <w:r w:rsidRPr="00F42725">
        <w:rPr>
          <w:rFonts w:ascii="PT Astra Serif" w:hAnsi="PT Astra Serif" w:cs="Times New Roman"/>
          <w:szCs w:val="28"/>
        </w:rPr>
        <w:t xml:space="preserve"> Волга».</w:t>
      </w:r>
    </w:p>
    <w:p w14:paraId="6ECE09F7"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hAnsi="PT Astra Serif" w:cs="Times New Roman"/>
          <w:szCs w:val="28"/>
        </w:rPr>
        <w:t xml:space="preserve">6 инженерных классов </w:t>
      </w:r>
      <w:proofErr w:type="spellStart"/>
      <w:r w:rsidRPr="00F42725">
        <w:rPr>
          <w:rFonts w:ascii="PT Astra Serif" w:hAnsi="PT Astra Serif" w:cs="Times New Roman"/>
          <w:szCs w:val="28"/>
        </w:rPr>
        <w:t>Росатома</w:t>
      </w:r>
      <w:proofErr w:type="spellEnd"/>
      <w:r w:rsidRPr="00F42725">
        <w:rPr>
          <w:rFonts w:ascii="PT Astra Serif" w:hAnsi="PT Astra Serif" w:cs="Times New Roman"/>
          <w:szCs w:val="28"/>
        </w:rPr>
        <w:t xml:space="preserve"> (ОГАУ «Лицей ядерных технологий») совместно с НИЯУ МИФИ - </w:t>
      </w:r>
      <w:r w:rsidRPr="00F42725">
        <w:rPr>
          <w:rFonts w:ascii="PT Astra Serif" w:eastAsia="PT Astra Serif" w:hAnsi="PT Astra Serif" w:cs="PT Astra Serif"/>
          <w:szCs w:val="28"/>
        </w:rPr>
        <w:t>АО «ГНЦ НИИАР»/ ФГБУ «</w:t>
      </w:r>
      <w:proofErr w:type="spellStart"/>
      <w:r w:rsidRPr="00F42725">
        <w:rPr>
          <w:rFonts w:ascii="PT Astra Serif" w:eastAsia="PT Astra Serif" w:hAnsi="PT Astra Serif" w:cs="PT Astra Serif"/>
          <w:szCs w:val="28"/>
        </w:rPr>
        <w:t>ФНКЦРиО</w:t>
      </w:r>
      <w:proofErr w:type="spellEnd"/>
      <w:r w:rsidRPr="00F42725">
        <w:rPr>
          <w:rFonts w:ascii="PT Astra Serif" w:eastAsia="PT Astra Serif" w:hAnsi="PT Astra Serif" w:cs="PT Astra Serif"/>
          <w:szCs w:val="28"/>
        </w:rPr>
        <w:t xml:space="preserve"> ФМБА России»</w:t>
      </w:r>
      <w:r>
        <w:rPr>
          <w:rFonts w:ascii="PT Astra Serif" w:eastAsia="PT Astra Serif" w:hAnsi="PT Astra Serif" w:cs="PT Astra Serif"/>
          <w:szCs w:val="28"/>
        </w:rPr>
        <w:t>.</w:t>
      </w:r>
    </w:p>
    <w:p w14:paraId="71614B8D" w14:textId="69B542E9" w:rsidR="00C548A9" w:rsidRPr="00F42725" w:rsidRDefault="00C548A9" w:rsidP="00C548A9">
      <w:pPr>
        <w:widowControl w:val="0"/>
        <w:shd w:val="clear" w:color="auto" w:fill="FFFFFF"/>
        <w:rPr>
          <w:rFonts w:ascii="PT Astra Serif" w:hAnsi="PT Astra Serif" w:cs="Arial"/>
          <w:spacing w:val="-2"/>
          <w:kern w:val="2"/>
          <w:szCs w:val="28"/>
          <w:lang w:bidi="hi-IN"/>
        </w:rPr>
      </w:pPr>
      <w:r w:rsidRPr="00F42725">
        <w:rPr>
          <w:rFonts w:ascii="PT Astra Serif" w:eastAsia="Times New Roman" w:hAnsi="PT Astra Serif" w:cs="Arial"/>
          <w:szCs w:val="28"/>
        </w:rPr>
        <w:t xml:space="preserve">6 агротехнологических классов совместно с </w:t>
      </w:r>
      <w:proofErr w:type="spellStart"/>
      <w:r w:rsidRPr="00F42725">
        <w:rPr>
          <w:rFonts w:ascii="PT Astra Serif" w:eastAsia="Times New Roman" w:hAnsi="PT Astra Serif" w:cs="Arial"/>
          <w:szCs w:val="28"/>
        </w:rPr>
        <w:t>УлГАУ</w:t>
      </w:r>
      <w:proofErr w:type="spellEnd"/>
      <w:r w:rsidRPr="00F42725">
        <w:rPr>
          <w:rFonts w:ascii="PT Astra Serif" w:eastAsia="Times New Roman" w:hAnsi="PT Astra Serif" w:cs="Arial"/>
          <w:szCs w:val="28"/>
        </w:rPr>
        <w:t xml:space="preserve"> </w:t>
      </w:r>
      <w:r w:rsidR="00F660A1">
        <w:rPr>
          <w:rFonts w:ascii="PT Astra Serif" w:eastAsia="Times New Roman" w:hAnsi="PT Astra Serif" w:cs="Arial"/>
          <w:szCs w:val="28"/>
        </w:rPr>
        <w:t>им. П.А. Столыпина</w:t>
      </w:r>
      <w:r>
        <w:rPr>
          <w:rFonts w:ascii="PT Astra Serif" w:eastAsia="Times New Roman" w:hAnsi="PT Astra Serif" w:cs="Arial"/>
          <w:szCs w:val="28"/>
        </w:rPr>
        <w:br/>
      </w:r>
      <w:r w:rsidRPr="00F42725">
        <w:rPr>
          <w:rFonts w:ascii="PT Astra Serif" w:eastAsia="Times New Roman" w:hAnsi="PT Astra Serif" w:cs="Arial"/>
          <w:szCs w:val="28"/>
        </w:rPr>
        <w:t xml:space="preserve">и сельхозпроизводителями </w:t>
      </w:r>
      <w:r w:rsidRPr="00F42725">
        <w:rPr>
          <w:rFonts w:ascii="PT Astra Serif" w:hAnsi="PT Astra Serif" w:cs="Arial"/>
          <w:spacing w:val="-2"/>
          <w:kern w:val="2"/>
          <w:szCs w:val="28"/>
          <w:lang w:bidi="hi-IN"/>
        </w:rPr>
        <w:t>ООО «</w:t>
      </w:r>
      <w:proofErr w:type="spellStart"/>
      <w:r w:rsidRPr="00F42725">
        <w:rPr>
          <w:rFonts w:ascii="PT Astra Serif" w:hAnsi="PT Astra Serif" w:cs="Arial"/>
          <w:spacing w:val="-2"/>
          <w:kern w:val="2"/>
          <w:szCs w:val="28"/>
          <w:lang w:bidi="hi-IN"/>
        </w:rPr>
        <w:t>Энвол</w:t>
      </w:r>
      <w:proofErr w:type="spellEnd"/>
      <w:r w:rsidRPr="00F42725">
        <w:rPr>
          <w:rFonts w:ascii="PT Astra Serif" w:hAnsi="PT Astra Serif" w:cs="Arial"/>
          <w:spacing w:val="-2"/>
          <w:kern w:val="2"/>
          <w:szCs w:val="28"/>
          <w:lang w:bidi="hi-IN"/>
        </w:rPr>
        <w:t>» и ООО «Агро-Нептун».</w:t>
      </w:r>
    </w:p>
    <w:p w14:paraId="3C9C661F" w14:textId="77777777" w:rsidR="00C548A9" w:rsidRPr="00F42725" w:rsidRDefault="00C548A9" w:rsidP="00C548A9">
      <w:pPr>
        <w:widowControl w:val="0"/>
        <w:shd w:val="clear" w:color="auto" w:fill="FFFFFF"/>
        <w:ind w:firstLine="567"/>
        <w:rPr>
          <w:rFonts w:ascii="PT Astra Serif" w:eastAsia="PT Astra Serif" w:hAnsi="PT Astra Serif" w:cs="PT Astra Serif"/>
          <w:b/>
          <w:i/>
          <w:szCs w:val="28"/>
          <w:u w:val="single"/>
        </w:rPr>
      </w:pPr>
    </w:p>
    <w:p w14:paraId="57067D84" w14:textId="77777777" w:rsidR="00C548A9" w:rsidRPr="001A1890" w:rsidRDefault="00C548A9" w:rsidP="00C23BDD">
      <w:pPr>
        <w:widowControl w:val="0"/>
        <w:shd w:val="clear" w:color="auto" w:fill="FFFFFF"/>
        <w:ind w:firstLine="0"/>
        <w:jc w:val="center"/>
        <w:rPr>
          <w:rFonts w:ascii="PT Astra Serif" w:eastAsia="PT Astra Serif" w:hAnsi="PT Astra Serif" w:cs="PT Astra Serif"/>
          <w:b/>
          <w:i/>
          <w:szCs w:val="28"/>
        </w:rPr>
      </w:pPr>
      <w:r w:rsidRPr="001A1890">
        <w:rPr>
          <w:rFonts w:ascii="PT Astra Serif" w:eastAsia="PT Astra Serif" w:hAnsi="PT Astra Serif" w:cs="PT Astra Serif"/>
          <w:b/>
          <w:i/>
          <w:szCs w:val="28"/>
        </w:rPr>
        <w:t>Качество образования</w:t>
      </w:r>
    </w:p>
    <w:p w14:paraId="2F0A0B05" w14:textId="77777777" w:rsidR="00C548A9" w:rsidRPr="00F42725" w:rsidRDefault="00C548A9" w:rsidP="00C548A9">
      <w:pPr>
        <w:widowControl w:val="0"/>
        <w:shd w:val="clear" w:color="auto" w:fill="FFFFFF"/>
        <w:ind w:firstLine="567"/>
        <w:jc w:val="center"/>
        <w:rPr>
          <w:rFonts w:ascii="PT Astra Serif" w:eastAsia="PT Astra Serif" w:hAnsi="PT Astra Serif" w:cs="PT Astra Serif"/>
          <w:szCs w:val="28"/>
          <w:u w:val="single"/>
        </w:rPr>
      </w:pPr>
    </w:p>
    <w:p w14:paraId="2F557F08" w14:textId="77777777" w:rsidR="00C548A9" w:rsidRPr="00F42725" w:rsidRDefault="00C548A9" w:rsidP="00C548A9">
      <w:pPr>
        <w:widowControl w:val="0"/>
        <w:tabs>
          <w:tab w:val="left" w:pos="0"/>
        </w:tabs>
        <w:rPr>
          <w:rFonts w:ascii="PT Astra Serif" w:eastAsia="PT Astra Serif" w:hAnsi="PT Astra Serif" w:cs="PT Astra Serif"/>
          <w:szCs w:val="28"/>
        </w:rPr>
      </w:pPr>
      <w:r w:rsidRPr="00F42725">
        <w:rPr>
          <w:rFonts w:ascii="PT Astra Serif" w:eastAsia="PT Astra Serif" w:hAnsi="PT Astra Serif" w:cs="PT Astra Serif"/>
          <w:szCs w:val="28"/>
        </w:rPr>
        <w:t>Все вышеперечисленные мероприятия позволяют повысить качество образования.</w:t>
      </w:r>
    </w:p>
    <w:p w14:paraId="7DF722EE" w14:textId="77777777" w:rsidR="00C548A9" w:rsidRPr="00F42725" w:rsidRDefault="00C548A9" w:rsidP="00C548A9">
      <w:pPr>
        <w:widowControl w:val="0"/>
        <w:shd w:val="clear" w:color="auto" w:fill="FFFFFF"/>
        <w:rPr>
          <w:rFonts w:ascii="PT Astra Serif" w:eastAsia="PT Astra Serif" w:hAnsi="PT Astra Serif" w:cs="PT Astra Serif"/>
          <w:b/>
          <w:szCs w:val="28"/>
        </w:rPr>
      </w:pPr>
      <w:r w:rsidRPr="00F42725">
        <w:rPr>
          <w:rFonts w:ascii="PT Astra Serif" w:eastAsia="PT Astra Serif" w:hAnsi="PT Astra Serif" w:cs="PT Astra Serif"/>
          <w:b/>
          <w:szCs w:val="28"/>
        </w:rPr>
        <w:t>Результаты ЕГЭ 2025 года.</w:t>
      </w:r>
    </w:p>
    <w:p w14:paraId="0D03FA2D" w14:textId="77777777" w:rsidR="00C548A9" w:rsidRPr="00F42725" w:rsidRDefault="00C548A9" w:rsidP="00C548A9">
      <w:pPr>
        <w:widowControl w:val="0"/>
        <w:shd w:val="clear" w:color="auto" w:fill="FFFFFF"/>
        <w:rPr>
          <w:rFonts w:ascii="PT Astra Serif" w:eastAsia="Times New Roman" w:hAnsi="PT Astra Serif" w:cs="Arial"/>
          <w:szCs w:val="28"/>
        </w:rPr>
      </w:pPr>
      <w:r w:rsidRPr="00F42725">
        <w:rPr>
          <w:rFonts w:ascii="PT Astra Serif" w:eastAsia="Times New Roman" w:hAnsi="PT Astra Serif" w:cs="Arial"/>
          <w:szCs w:val="28"/>
        </w:rPr>
        <w:t>Самым популярным экзам</w:t>
      </w:r>
      <w:r>
        <w:rPr>
          <w:rFonts w:ascii="PT Astra Serif" w:eastAsia="Times New Roman" w:hAnsi="PT Astra Serif" w:cs="Arial"/>
          <w:szCs w:val="28"/>
        </w:rPr>
        <w:t>еном по выбору традиционно остаё</w:t>
      </w:r>
      <w:r w:rsidRPr="00F42725">
        <w:rPr>
          <w:rFonts w:ascii="PT Astra Serif" w:eastAsia="Times New Roman" w:hAnsi="PT Astra Serif" w:cs="Arial"/>
          <w:szCs w:val="28"/>
        </w:rPr>
        <w:t>тся «Обществознание» (2</w:t>
      </w:r>
      <w:r>
        <w:rPr>
          <w:rFonts w:ascii="PT Astra Serif" w:eastAsia="Times New Roman" w:hAnsi="PT Astra Serif" w:cs="Arial"/>
          <w:szCs w:val="28"/>
        </w:rPr>
        <w:t> </w:t>
      </w:r>
      <w:r w:rsidRPr="00F42725">
        <w:rPr>
          <w:rFonts w:ascii="PT Astra Serif" w:eastAsia="Times New Roman" w:hAnsi="PT Astra Serif" w:cs="Arial"/>
          <w:szCs w:val="28"/>
        </w:rPr>
        <w:t xml:space="preserve">120 участников). Второй год подряд учебный предмет «Информатика» занимает второе место по популярности среди предметов, которые участники ЕГЭ сдают по выбору (945 чел.), на третьем месте – </w:t>
      </w:r>
      <w:r w:rsidRPr="00F42725">
        <w:rPr>
          <w:rFonts w:ascii="PT Astra Serif" w:eastAsia="Times New Roman" w:hAnsi="PT Astra Serif" w:cs="Arial"/>
          <w:szCs w:val="28"/>
        </w:rPr>
        <w:lastRenderedPageBreak/>
        <w:t>биология (858 чел.), далее – физика (804 уч.), и химия (594).</w:t>
      </w:r>
    </w:p>
    <w:p w14:paraId="6CA1519C" w14:textId="77777777" w:rsidR="00C548A9" w:rsidRPr="00F42725" w:rsidRDefault="00C548A9" w:rsidP="00C548A9">
      <w:pPr>
        <w:widowControl w:val="0"/>
        <w:rPr>
          <w:rFonts w:ascii="PT Astra Serif" w:eastAsia="Times New Roman" w:hAnsi="PT Astra Serif" w:cs="Arial"/>
          <w:szCs w:val="28"/>
        </w:rPr>
      </w:pPr>
      <w:r w:rsidRPr="00F42725">
        <w:rPr>
          <w:rFonts w:ascii="PT Astra Serif" w:eastAsia="Times New Roman" w:hAnsi="PT Astra Serif" w:cs="Arial"/>
          <w:szCs w:val="28"/>
        </w:rPr>
        <w:t>При этом следует отметить, что экзамены по химии, физике и биологии становятся все популярнее среди выпускников, подтверждая растущий интерес к естественно-научным направлениям.</w:t>
      </w:r>
    </w:p>
    <w:p w14:paraId="5EA471B2" w14:textId="77777777" w:rsidR="00E6353D" w:rsidRPr="00E6353D" w:rsidRDefault="00E6353D" w:rsidP="00E6353D">
      <w:pPr>
        <w:widowControl w:val="0"/>
        <w:shd w:val="clear" w:color="auto" w:fill="FFFFFF"/>
        <w:rPr>
          <w:rFonts w:ascii="PT Astra Serif" w:eastAsia="PT Astra Serif" w:hAnsi="PT Astra Serif" w:cs="PT Astra Serif"/>
          <w:b/>
          <w:szCs w:val="28"/>
        </w:rPr>
      </w:pPr>
      <w:r w:rsidRPr="00E6353D">
        <w:rPr>
          <w:rFonts w:ascii="PT Astra Serif" w:eastAsia="PT Astra Serif" w:hAnsi="PT Astra Serif" w:cs="PT Astra Serif"/>
          <w:b/>
          <w:szCs w:val="28"/>
          <w:u w:val="single"/>
        </w:rPr>
        <w:t>Профильная математика</w:t>
      </w:r>
      <w:r w:rsidRPr="00E6353D">
        <w:rPr>
          <w:rFonts w:ascii="PT Astra Serif" w:eastAsia="PT Astra Serif" w:hAnsi="PT Astra Serif" w:cs="PT Astra Serif"/>
          <w:b/>
          <w:szCs w:val="28"/>
        </w:rPr>
        <w:t xml:space="preserve"> </w:t>
      </w:r>
      <w:r w:rsidRPr="00E6353D">
        <w:rPr>
          <w:rFonts w:ascii="PT Astra Serif" w:hAnsi="PT Astra Serif" w:cs="Arial"/>
          <w:szCs w:val="28"/>
        </w:rPr>
        <w:t xml:space="preserve">в 2025 году средний балл по региону составил 63,34, год назад – 63,07. Имеем 4 </w:t>
      </w:r>
      <w:proofErr w:type="spellStart"/>
      <w:r w:rsidRPr="00E6353D">
        <w:rPr>
          <w:rFonts w:ascii="PT Astra Serif" w:hAnsi="PT Astra Serif" w:cs="Arial"/>
          <w:szCs w:val="28"/>
        </w:rPr>
        <w:t>стобалльника</w:t>
      </w:r>
      <w:proofErr w:type="spellEnd"/>
      <w:r w:rsidRPr="00E6353D">
        <w:rPr>
          <w:rFonts w:ascii="PT Astra Serif" w:hAnsi="PT Astra Serif" w:cs="Arial"/>
          <w:szCs w:val="28"/>
        </w:rPr>
        <w:t xml:space="preserve">. Количество </w:t>
      </w:r>
      <w:proofErr w:type="spellStart"/>
      <w:r w:rsidRPr="00E6353D">
        <w:rPr>
          <w:rFonts w:ascii="PT Astra Serif" w:hAnsi="PT Astra Serif" w:cs="Arial"/>
          <w:szCs w:val="28"/>
        </w:rPr>
        <w:t>высокобалльников</w:t>
      </w:r>
      <w:proofErr w:type="spellEnd"/>
      <w:r w:rsidRPr="00E6353D">
        <w:rPr>
          <w:rFonts w:ascii="PT Astra Serif" w:hAnsi="PT Astra Serif" w:cs="Arial"/>
          <w:szCs w:val="28"/>
        </w:rPr>
        <w:t xml:space="preserve"> (набравших от 81 до 99 баллов) – более 7%.</w:t>
      </w:r>
    </w:p>
    <w:p w14:paraId="65AAAD80" w14:textId="77777777" w:rsidR="00E6353D" w:rsidRPr="00E6353D" w:rsidRDefault="00E6353D" w:rsidP="00E6353D">
      <w:pPr>
        <w:widowControl w:val="0"/>
        <w:pBdr>
          <w:top w:val="nil"/>
          <w:left w:val="nil"/>
          <w:bottom w:val="nil"/>
          <w:right w:val="nil"/>
          <w:between w:val="nil"/>
        </w:pBdr>
        <w:shd w:val="clear" w:color="auto" w:fill="FFFFFF"/>
        <w:rPr>
          <w:rFonts w:ascii="PT Astra Serif" w:eastAsia="PT Astra Serif" w:hAnsi="PT Astra Serif" w:cs="PT Astra Serif"/>
          <w:szCs w:val="28"/>
        </w:rPr>
      </w:pPr>
      <w:r w:rsidRPr="00E6353D">
        <w:rPr>
          <w:rFonts w:ascii="PT Astra Serif" w:eastAsia="PT Astra Serif" w:hAnsi="PT Astra Serif" w:cs="PT Astra Serif"/>
          <w:b/>
          <w:szCs w:val="28"/>
        </w:rPr>
        <w:t>Улучшились</w:t>
      </w:r>
      <w:r w:rsidRPr="00E6353D">
        <w:rPr>
          <w:rFonts w:ascii="PT Astra Serif" w:eastAsia="PT Astra Serif" w:hAnsi="PT Astra Serif" w:cs="PT Astra Serif"/>
          <w:szCs w:val="28"/>
        </w:rPr>
        <w:t xml:space="preserve"> в этом году результаты по </w:t>
      </w:r>
      <w:r w:rsidRPr="00E6353D">
        <w:rPr>
          <w:rFonts w:ascii="PT Astra Serif" w:eastAsia="PT Astra Serif" w:hAnsi="PT Astra Serif" w:cs="PT Astra Serif"/>
          <w:b/>
          <w:szCs w:val="28"/>
          <w:u w:val="single"/>
        </w:rPr>
        <w:t>физике</w:t>
      </w:r>
      <w:r w:rsidRPr="00E6353D">
        <w:rPr>
          <w:rFonts w:ascii="PT Astra Serif" w:hAnsi="PT Astra Serif" w:cs="Arial"/>
          <w:szCs w:val="28"/>
        </w:rPr>
        <w:t xml:space="preserve"> (средний балл — 61,18 против 61,06 годом ранее), при одновременном увеличении количества </w:t>
      </w:r>
      <w:proofErr w:type="spellStart"/>
      <w:r w:rsidRPr="00E6353D">
        <w:rPr>
          <w:rFonts w:ascii="PT Astra Serif" w:hAnsi="PT Astra Serif" w:cs="Arial"/>
          <w:szCs w:val="28"/>
        </w:rPr>
        <w:t>высокобалльников</w:t>
      </w:r>
      <w:proofErr w:type="spellEnd"/>
      <w:r w:rsidRPr="00E6353D">
        <w:rPr>
          <w:rFonts w:ascii="PT Astra Serif" w:hAnsi="PT Astra Serif" w:cs="Arial"/>
          <w:szCs w:val="28"/>
        </w:rPr>
        <w:t xml:space="preserve"> до 14,3% от общего количества сдававших физику в 2025 году.</w:t>
      </w:r>
    </w:p>
    <w:p w14:paraId="1C18CBC6" w14:textId="77777777" w:rsidR="00C548A9" w:rsidRPr="00F42725" w:rsidRDefault="00C548A9" w:rsidP="00C548A9">
      <w:pPr>
        <w:widowControl w:val="0"/>
        <w:pBdr>
          <w:top w:val="nil"/>
          <w:left w:val="nil"/>
          <w:bottom w:val="nil"/>
          <w:right w:val="nil"/>
          <w:between w:val="nil"/>
        </w:pBdr>
        <w:rPr>
          <w:rFonts w:ascii="PT Astra Serif" w:eastAsia="PT Astra Serif" w:hAnsi="PT Astra Serif" w:cs="PT Astra Serif"/>
          <w:szCs w:val="28"/>
        </w:rPr>
      </w:pPr>
      <w:r w:rsidRPr="00F42725">
        <w:rPr>
          <w:rFonts w:ascii="PT Astra Serif" w:eastAsia="PT Astra Serif" w:hAnsi="PT Astra Serif" w:cs="PT Astra Serif"/>
          <w:b/>
          <w:szCs w:val="28"/>
          <w:u w:val="single"/>
        </w:rPr>
        <w:t>Количество участников ЕГЭ по химии</w:t>
      </w:r>
      <w:r>
        <w:rPr>
          <w:rFonts w:ascii="PT Astra Serif" w:eastAsia="PT Astra Serif" w:hAnsi="PT Astra Serif" w:cs="PT Astra Serif"/>
          <w:b/>
          <w:szCs w:val="28"/>
          <w:u w:val="single"/>
        </w:rPr>
        <w:t xml:space="preserve"> </w:t>
      </w:r>
      <w:r w:rsidRPr="00F42725">
        <w:rPr>
          <w:rFonts w:ascii="PT Astra Serif" w:eastAsia="PT Astra Serif" w:hAnsi="PT Astra Serif" w:cs="PT Astra Serif"/>
          <w:szCs w:val="28"/>
        </w:rPr>
        <w:t>на протяжении послед</w:t>
      </w:r>
      <w:r>
        <w:rPr>
          <w:rFonts w:ascii="PT Astra Serif" w:eastAsia="PT Astra Serif" w:hAnsi="PT Astra Serif" w:cs="PT Astra Serif"/>
          <w:szCs w:val="28"/>
        </w:rPr>
        <w:t>них трёх лет остаё</w:t>
      </w:r>
      <w:r w:rsidRPr="00F42725">
        <w:rPr>
          <w:rFonts w:ascii="PT Astra Serif" w:eastAsia="PT Astra Serif" w:hAnsi="PT Astra Serif" w:cs="PT Astra Serif"/>
          <w:szCs w:val="28"/>
        </w:rPr>
        <w:t>тся стабильным. Результат в диапазоне 81</w:t>
      </w:r>
      <w:r>
        <w:rPr>
          <w:rFonts w:ascii="PT Astra Serif" w:eastAsia="PT Astra Serif" w:hAnsi="PT Astra Serif" w:cs="PT Astra Serif"/>
          <w:szCs w:val="28"/>
        </w:rPr>
        <w:t xml:space="preserve"> </w:t>
      </w:r>
      <w:r w:rsidRPr="00F42725">
        <w:rPr>
          <w:rFonts w:ascii="PT Astra Serif" w:eastAsia="PT Astra Serif" w:hAnsi="PT Astra Serif" w:cs="PT Astra Serif"/>
          <w:szCs w:val="28"/>
        </w:rPr>
        <w:t>-</w:t>
      </w:r>
      <w:r>
        <w:rPr>
          <w:rFonts w:ascii="PT Astra Serif" w:eastAsia="PT Astra Serif" w:hAnsi="PT Astra Serif" w:cs="PT Astra Serif"/>
          <w:szCs w:val="28"/>
        </w:rPr>
        <w:t xml:space="preserve"> </w:t>
      </w:r>
      <w:r w:rsidRPr="00F42725">
        <w:rPr>
          <w:rFonts w:ascii="PT Astra Serif" w:eastAsia="PT Astra Serif" w:hAnsi="PT Astra Serif" w:cs="PT Astra Serif"/>
          <w:szCs w:val="28"/>
        </w:rPr>
        <w:t>99 баллов показали 17% участников экзамена. Максимальный результат в 100 баллов получили 11 выпускников (в прошлом году их было всего 2).</w:t>
      </w:r>
    </w:p>
    <w:p w14:paraId="7E4E32A2" w14:textId="77777777" w:rsidR="00C548A9" w:rsidRPr="00F42725" w:rsidRDefault="00C548A9" w:rsidP="00C548A9">
      <w:pPr>
        <w:widowControl w:val="0"/>
        <w:pBdr>
          <w:top w:val="nil"/>
          <w:left w:val="nil"/>
          <w:bottom w:val="nil"/>
          <w:right w:val="nil"/>
          <w:between w:val="nil"/>
        </w:pBdr>
        <w:shd w:val="clear" w:color="auto" w:fill="FFFFFF"/>
        <w:rPr>
          <w:rFonts w:ascii="PT Astra Serif" w:eastAsia="PT Astra Serif" w:hAnsi="PT Astra Serif" w:cs="PT Astra Serif"/>
          <w:szCs w:val="28"/>
        </w:rPr>
      </w:pPr>
      <w:r w:rsidRPr="00F42725">
        <w:rPr>
          <w:rFonts w:ascii="PT Astra Serif" w:eastAsia="PT Astra Serif" w:hAnsi="PT Astra Serif" w:cs="PT Astra Serif"/>
          <w:b/>
          <w:szCs w:val="28"/>
          <w:u w:val="single"/>
        </w:rPr>
        <w:t>ЕГЭ по русскому языку</w:t>
      </w:r>
      <w:r>
        <w:rPr>
          <w:rFonts w:ascii="PT Astra Serif" w:eastAsia="PT Astra Serif" w:hAnsi="PT Astra Serif" w:cs="PT Astra Serif"/>
          <w:szCs w:val="28"/>
        </w:rPr>
        <w:t xml:space="preserve"> были п</w:t>
      </w:r>
      <w:r w:rsidRPr="00F42725">
        <w:rPr>
          <w:rFonts w:ascii="PT Astra Serif" w:eastAsia="PT Astra Serif" w:hAnsi="PT Astra Serif" w:cs="PT Astra Serif"/>
          <w:szCs w:val="28"/>
        </w:rPr>
        <w:t>олуч</w:t>
      </w:r>
      <w:r>
        <w:rPr>
          <w:rFonts w:ascii="PT Astra Serif" w:eastAsia="PT Astra Serif" w:hAnsi="PT Astra Serif" w:cs="PT Astra Serif"/>
          <w:szCs w:val="28"/>
        </w:rPr>
        <w:t>ены</w:t>
      </w:r>
      <w:r w:rsidRPr="00F42725">
        <w:rPr>
          <w:rFonts w:ascii="PT Astra Serif" w:eastAsia="PT Astra Serif" w:hAnsi="PT Astra Serif" w:cs="PT Astra Serif"/>
          <w:szCs w:val="28"/>
        </w:rPr>
        <w:t xml:space="preserve"> достаточно высокие результаты. 99,8% участников показали результаты выше минимального балла необходимого для получения школьного аттестата, 10,7% – результат от 81 до 99 баллов, </w:t>
      </w:r>
      <w:r w:rsidRPr="00F42725">
        <w:rPr>
          <w:rFonts w:ascii="PT Astra Serif" w:hAnsi="PT Astra Serif" w:cs="Arial"/>
          <w:szCs w:val="28"/>
        </w:rPr>
        <w:t xml:space="preserve">а 4 участника – </w:t>
      </w:r>
      <w:proofErr w:type="spellStart"/>
      <w:r>
        <w:rPr>
          <w:rFonts w:ascii="PT Astra Serif" w:hAnsi="PT Astra Serif" w:cs="Arial"/>
          <w:szCs w:val="28"/>
        </w:rPr>
        <w:t>сто</w:t>
      </w:r>
      <w:r w:rsidRPr="00F42725">
        <w:rPr>
          <w:rFonts w:ascii="PT Astra Serif" w:hAnsi="PT Astra Serif" w:cs="Arial"/>
          <w:szCs w:val="28"/>
        </w:rPr>
        <w:t>балльный</w:t>
      </w:r>
      <w:proofErr w:type="spellEnd"/>
      <w:r w:rsidRPr="00F42725">
        <w:rPr>
          <w:rFonts w:ascii="PT Astra Serif" w:hAnsi="PT Astra Serif" w:cs="Arial"/>
          <w:szCs w:val="28"/>
        </w:rPr>
        <w:t xml:space="preserve"> результат.</w:t>
      </w:r>
    </w:p>
    <w:p w14:paraId="18F96A8A" w14:textId="77777777" w:rsidR="00C548A9" w:rsidRPr="00F42725" w:rsidRDefault="00C548A9" w:rsidP="00C548A9">
      <w:pPr>
        <w:widowControl w:val="0"/>
        <w:rPr>
          <w:rFonts w:ascii="PT Astra Serif" w:eastAsia="Times New Roman" w:hAnsi="PT Astra Serif" w:cs="Arial"/>
          <w:szCs w:val="28"/>
        </w:rPr>
      </w:pPr>
      <w:r w:rsidRPr="00F42725">
        <w:rPr>
          <w:rFonts w:ascii="PT Astra Serif" w:eastAsia="Times New Roman" w:hAnsi="PT Astra Serif" w:cs="Arial"/>
          <w:szCs w:val="28"/>
        </w:rPr>
        <w:t xml:space="preserve">41 выпускник 2025 года имеет </w:t>
      </w:r>
      <w:proofErr w:type="spellStart"/>
      <w:r w:rsidRPr="00F42725">
        <w:rPr>
          <w:rFonts w:ascii="PT Astra Serif" w:eastAsia="Times New Roman" w:hAnsi="PT Astra Serif" w:cs="Arial"/>
          <w:szCs w:val="28"/>
        </w:rPr>
        <w:t>стобалльные</w:t>
      </w:r>
      <w:proofErr w:type="spellEnd"/>
      <w:r w:rsidRPr="00F42725">
        <w:rPr>
          <w:rFonts w:ascii="PT Astra Serif" w:eastAsia="Times New Roman" w:hAnsi="PT Astra Serif" w:cs="Arial"/>
          <w:szCs w:val="28"/>
        </w:rPr>
        <w:t xml:space="preserve"> результаты. </w:t>
      </w:r>
    </w:p>
    <w:p w14:paraId="3378E303" w14:textId="77777777" w:rsidR="00C548A9" w:rsidRPr="00F42725" w:rsidRDefault="00C548A9" w:rsidP="00C548A9">
      <w:pPr>
        <w:widowControl w:val="0"/>
        <w:rPr>
          <w:rFonts w:ascii="PT Astra Serif" w:eastAsia="PT Astra Serif" w:hAnsi="PT Astra Serif" w:cs="PT Astra Serif"/>
          <w:b/>
          <w:szCs w:val="28"/>
        </w:rPr>
      </w:pPr>
      <w:r w:rsidRPr="00F42725">
        <w:rPr>
          <w:rFonts w:ascii="PT Astra Serif" w:eastAsia="PT Astra Serif" w:hAnsi="PT Astra Serif" w:cs="PT Astra Serif"/>
          <w:b/>
          <w:szCs w:val="28"/>
        </w:rPr>
        <w:t xml:space="preserve">С целью расширения единого образовательного пространства </w:t>
      </w:r>
      <w:r>
        <w:rPr>
          <w:rFonts w:ascii="PT Astra Serif" w:eastAsia="PT Astra Serif" w:hAnsi="PT Astra Serif" w:cs="PT Astra Serif"/>
          <w:b/>
          <w:szCs w:val="28"/>
        </w:rPr>
        <w:t xml:space="preserve">Ульяновская область </w:t>
      </w:r>
      <w:r w:rsidRPr="00F42725">
        <w:rPr>
          <w:rFonts w:ascii="PT Astra Serif" w:eastAsia="PT Astra Serif" w:hAnsi="PT Astra Serif" w:cs="PT Astra Serif"/>
          <w:b/>
          <w:szCs w:val="28"/>
        </w:rPr>
        <w:t>переходи</w:t>
      </w:r>
      <w:r>
        <w:rPr>
          <w:rFonts w:ascii="PT Astra Serif" w:eastAsia="PT Astra Serif" w:hAnsi="PT Astra Serif" w:cs="PT Astra Serif"/>
          <w:b/>
          <w:szCs w:val="28"/>
        </w:rPr>
        <w:t>т</w:t>
      </w:r>
      <w:r w:rsidRPr="00F42725">
        <w:rPr>
          <w:rFonts w:ascii="PT Astra Serif" w:eastAsia="PT Astra Serif" w:hAnsi="PT Astra Serif" w:cs="PT Astra Serif"/>
          <w:b/>
          <w:szCs w:val="28"/>
        </w:rPr>
        <w:t xml:space="preserve"> на государственные учебники</w:t>
      </w:r>
      <w:r w:rsidRPr="00F42725">
        <w:rPr>
          <w:rFonts w:ascii="PT Astra Serif" w:eastAsia="PT Astra Serif" w:hAnsi="PT Astra Serif" w:cs="PT Astra Serif"/>
          <w:szCs w:val="28"/>
        </w:rPr>
        <w:t xml:space="preserve">. </w:t>
      </w:r>
      <w:r w:rsidRPr="00F42725">
        <w:rPr>
          <w:rFonts w:ascii="PT Astra Serif" w:eastAsia="PT Astra Serif" w:hAnsi="PT Astra Serif" w:cs="PT Astra Serif"/>
          <w:b/>
          <w:szCs w:val="28"/>
        </w:rPr>
        <w:t xml:space="preserve">В 2025 году все средние школы закупили учебники по всеобщей истории </w:t>
      </w:r>
      <w:r>
        <w:rPr>
          <w:rFonts w:ascii="PT Astra Serif" w:eastAsia="PT Astra Serif" w:hAnsi="PT Astra Serif" w:cs="PT Astra Serif"/>
          <w:b/>
          <w:szCs w:val="28"/>
        </w:rPr>
        <w:br/>
      </w:r>
      <w:r w:rsidRPr="00F42725">
        <w:rPr>
          <w:rFonts w:ascii="PT Astra Serif" w:eastAsia="PT Astra Serif" w:hAnsi="PT Astra Serif" w:cs="PT Astra Serif"/>
          <w:b/>
          <w:szCs w:val="28"/>
        </w:rPr>
        <w:t>и истории России для 5</w:t>
      </w:r>
      <w:r>
        <w:rPr>
          <w:rFonts w:ascii="PT Astra Serif" w:eastAsia="PT Astra Serif" w:hAnsi="PT Astra Serif" w:cs="PT Astra Serif"/>
          <w:b/>
          <w:szCs w:val="28"/>
        </w:rPr>
        <w:t xml:space="preserve"> </w:t>
      </w:r>
      <w:r w:rsidRPr="00F42725">
        <w:rPr>
          <w:rFonts w:ascii="PT Astra Serif" w:eastAsia="PT Astra Serif" w:hAnsi="PT Astra Serif" w:cs="PT Astra Serif"/>
          <w:b/>
          <w:szCs w:val="28"/>
        </w:rPr>
        <w:t>-</w:t>
      </w:r>
      <w:r>
        <w:rPr>
          <w:rFonts w:ascii="PT Astra Serif" w:eastAsia="PT Astra Serif" w:hAnsi="PT Astra Serif" w:cs="PT Astra Serif"/>
          <w:b/>
          <w:szCs w:val="28"/>
        </w:rPr>
        <w:t xml:space="preserve"> </w:t>
      </w:r>
      <w:r w:rsidRPr="00F42725">
        <w:rPr>
          <w:rFonts w:ascii="PT Astra Serif" w:eastAsia="PT Astra Serif" w:hAnsi="PT Astra Serif" w:cs="PT Astra Serif"/>
          <w:b/>
          <w:szCs w:val="28"/>
        </w:rPr>
        <w:t>9 классов.</w:t>
      </w:r>
    </w:p>
    <w:p w14:paraId="3FA9AA61" w14:textId="77777777" w:rsidR="00C548A9" w:rsidRPr="00F42725" w:rsidRDefault="00C548A9" w:rsidP="00C548A9">
      <w:pPr>
        <w:widowControl w:val="0"/>
        <w:rPr>
          <w:rFonts w:ascii="PT Astra Serif" w:eastAsia="PT Astra Serif" w:hAnsi="PT Astra Serif" w:cs="PT Astra Serif"/>
          <w:i/>
          <w:szCs w:val="28"/>
        </w:rPr>
      </w:pPr>
      <w:r w:rsidRPr="00F42725">
        <w:rPr>
          <w:rFonts w:ascii="PT Astra Serif" w:eastAsia="PT Astra Serif" w:hAnsi="PT Astra Serif" w:cs="PT Astra Serif"/>
          <w:i/>
          <w:szCs w:val="28"/>
        </w:rPr>
        <w:t>Переход на государственные учебники будет постепенным. В 2026 году закупим учебники обществознания для 9</w:t>
      </w:r>
      <w:r>
        <w:rPr>
          <w:rFonts w:ascii="PT Astra Serif" w:eastAsia="PT Astra Serif" w:hAnsi="PT Astra Serif" w:cs="PT Astra Serif"/>
          <w:i/>
          <w:szCs w:val="28"/>
        </w:rPr>
        <w:t xml:space="preserve"> </w:t>
      </w:r>
      <w:r w:rsidRPr="00F42725">
        <w:rPr>
          <w:rFonts w:ascii="PT Astra Serif" w:eastAsia="PT Astra Serif" w:hAnsi="PT Astra Serif" w:cs="PT Astra Serif"/>
          <w:i/>
          <w:szCs w:val="28"/>
        </w:rPr>
        <w:t>-</w:t>
      </w:r>
      <w:r>
        <w:rPr>
          <w:rFonts w:ascii="PT Astra Serif" w:eastAsia="PT Astra Serif" w:hAnsi="PT Astra Serif" w:cs="PT Astra Serif"/>
          <w:i/>
          <w:szCs w:val="28"/>
        </w:rPr>
        <w:t xml:space="preserve"> </w:t>
      </w:r>
      <w:r w:rsidRPr="00F42725">
        <w:rPr>
          <w:rFonts w:ascii="PT Astra Serif" w:eastAsia="PT Astra Serif" w:hAnsi="PT Astra Serif" w:cs="PT Astra Serif"/>
          <w:i/>
          <w:szCs w:val="28"/>
        </w:rPr>
        <w:t xml:space="preserve">10 классов. </w:t>
      </w:r>
    </w:p>
    <w:p w14:paraId="6AFA1F3B" w14:textId="77777777" w:rsidR="00C548A9" w:rsidRDefault="00C548A9" w:rsidP="00C548A9">
      <w:pPr>
        <w:widowControl w:val="0"/>
        <w:ind w:firstLine="851"/>
        <w:rPr>
          <w:rFonts w:ascii="PT Astra Serif" w:eastAsia="PT Astra Serif" w:hAnsi="PT Astra Serif" w:cs="PT Astra Serif"/>
          <w:i/>
          <w:szCs w:val="28"/>
        </w:rPr>
      </w:pPr>
    </w:p>
    <w:p w14:paraId="188D0C07" w14:textId="77777777" w:rsidR="00C548A9" w:rsidRDefault="00C548A9" w:rsidP="00C23BDD">
      <w:pPr>
        <w:widowControl w:val="0"/>
        <w:tabs>
          <w:tab w:val="left" w:pos="709"/>
        </w:tabs>
        <w:ind w:firstLine="0"/>
        <w:jc w:val="center"/>
        <w:rPr>
          <w:rFonts w:ascii="PT Astra Serif" w:eastAsia="Times New Roman" w:hAnsi="PT Astra Serif" w:cs="Times New Roman"/>
          <w:b/>
          <w:i/>
          <w:szCs w:val="28"/>
        </w:rPr>
      </w:pPr>
      <w:r w:rsidRPr="001A1890">
        <w:rPr>
          <w:rFonts w:ascii="PT Astra Serif" w:eastAsia="Times New Roman" w:hAnsi="PT Astra Serif" w:cs="Times New Roman"/>
          <w:b/>
          <w:i/>
          <w:szCs w:val="28"/>
        </w:rPr>
        <w:t>Цифровизация и равный доступ для всех</w:t>
      </w:r>
    </w:p>
    <w:p w14:paraId="76132A1A" w14:textId="77777777" w:rsidR="00C548A9" w:rsidRPr="001A1890" w:rsidRDefault="00C548A9" w:rsidP="00C548A9">
      <w:pPr>
        <w:widowControl w:val="0"/>
        <w:tabs>
          <w:tab w:val="left" w:pos="709"/>
        </w:tabs>
        <w:jc w:val="center"/>
        <w:rPr>
          <w:rFonts w:ascii="PT Astra Serif" w:eastAsia="Times New Roman" w:hAnsi="PT Astra Serif" w:cs="Times New Roman"/>
          <w:b/>
          <w:i/>
          <w:szCs w:val="28"/>
        </w:rPr>
      </w:pPr>
    </w:p>
    <w:p w14:paraId="5843252D" w14:textId="37B17252" w:rsidR="00C548A9" w:rsidRPr="00F42725" w:rsidRDefault="00C548A9" w:rsidP="00C548A9">
      <w:pPr>
        <w:widowControl w:val="0"/>
        <w:tabs>
          <w:tab w:val="left" w:pos="709"/>
        </w:tabs>
        <w:rPr>
          <w:rFonts w:ascii="PT Astra Serif" w:eastAsia="Times New Roman" w:hAnsi="PT Astra Serif" w:cs="Times New Roman"/>
          <w:szCs w:val="28"/>
        </w:rPr>
      </w:pPr>
      <w:r w:rsidRPr="00F42725">
        <w:rPr>
          <w:rFonts w:ascii="PT Astra Serif" w:eastAsia="Times New Roman" w:hAnsi="PT Astra Serif" w:cs="Times New Roman"/>
          <w:szCs w:val="28"/>
        </w:rPr>
        <w:t xml:space="preserve">В регионе продолжается работа по формированию современной безопасной цифровой образовательной среды, обеспечивающей качество </w:t>
      </w:r>
      <w:r>
        <w:rPr>
          <w:rFonts w:ascii="PT Astra Serif" w:eastAsia="Times New Roman" w:hAnsi="PT Astra Serif" w:cs="Times New Roman"/>
          <w:szCs w:val="28"/>
        </w:rPr>
        <w:br/>
      </w:r>
      <w:r w:rsidRPr="00F42725">
        <w:rPr>
          <w:rFonts w:ascii="PT Astra Serif" w:eastAsia="Times New Roman" w:hAnsi="PT Astra Serif" w:cs="Times New Roman"/>
          <w:szCs w:val="28"/>
        </w:rPr>
        <w:t>и доступ</w:t>
      </w:r>
      <w:r w:rsidR="00C23BDD">
        <w:rPr>
          <w:rFonts w:ascii="PT Astra Serif" w:eastAsia="Times New Roman" w:hAnsi="PT Astra Serif" w:cs="Times New Roman"/>
          <w:szCs w:val="28"/>
        </w:rPr>
        <w:t>ность образования всех уровней.</w:t>
      </w:r>
    </w:p>
    <w:p w14:paraId="22F60165" w14:textId="77777777" w:rsidR="00C548A9" w:rsidRPr="00F42725" w:rsidRDefault="00C548A9" w:rsidP="00C548A9">
      <w:pPr>
        <w:widowControl w:val="0"/>
        <w:tabs>
          <w:tab w:val="left" w:pos="709"/>
        </w:tabs>
        <w:rPr>
          <w:rFonts w:ascii="PT Astra Serif" w:eastAsia="Times New Roman" w:hAnsi="PT Astra Serif" w:cs="Times New Roman"/>
          <w:szCs w:val="28"/>
        </w:rPr>
      </w:pPr>
      <w:r w:rsidRPr="00F42725">
        <w:rPr>
          <w:rFonts w:ascii="PT Astra Serif" w:eastAsia="Times New Roman" w:hAnsi="PT Astra Serif" w:cs="Times New Roman"/>
          <w:szCs w:val="28"/>
        </w:rPr>
        <w:t>Продолжаем развивать цифровую экосистему «Сетевой город. Образование» – в 2025 году в состав информационной системы вошел модуль дополнительного образования, обеспечивающий автоматизацию процессов управления организациями дополнительного образования, уч</w:t>
      </w:r>
      <w:r>
        <w:rPr>
          <w:rFonts w:ascii="PT Astra Serif" w:eastAsia="Times New Roman" w:hAnsi="PT Astra Serif" w:cs="Times New Roman"/>
          <w:szCs w:val="28"/>
        </w:rPr>
        <w:t>ё</w:t>
      </w:r>
      <w:r w:rsidRPr="00F42725">
        <w:rPr>
          <w:rFonts w:ascii="PT Astra Serif" w:eastAsia="Times New Roman" w:hAnsi="PT Astra Serif" w:cs="Times New Roman"/>
          <w:szCs w:val="28"/>
        </w:rPr>
        <w:t xml:space="preserve">т контингента обучающихся, организацию учебного процесса. Кроме того, продолжается совершенствование информационной системы в сфере организации летнего отдыха и оздоровления детей и среднего профессионального образования. Регион является одним из 17 участников пилотного проекта по созданию </w:t>
      </w:r>
      <w:proofErr w:type="spellStart"/>
      <w:r w:rsidRPr="00F42725">
        <w:rPr>
          <w:rFonts w:ascii="PT Astra Serif" w:eastAsia="Times New Roman" w:hAnsi="PT Astra Serif" w:cs="Times New Roman"/>
          <w:szCs w:val="28"/>
        </w:rPr>
        <w:t>суперсервиса</w:t>
      </w:r>
      <w:proofErr w:type="spellEnd"/>
      <w:r w:rsidRPr="00F42725">
        <w:rPr>
          <w:rFonts w:ascii="PT Astra Serif" w:eastAsia="Times New Roman" w:hAnsi="PT Astra Serif" w:cs="Times New Roman"/>
          <w:szCs w:val="28"/>
        </w:rPr>
        <w:t xml:space="preserve"> для координации отдыха детей в каникулярное время и входит </w:t>
      </w:r>
      <w:r>
        <w:rPr>
          <w:rFonts w:ascii="PT Astra Serif" w:eastAsia="Times New Roman" w:hAnsi="PT Astra Serif" w:cs="Times New Roman"/>
          <w:szCs w:val="28"/>
        </w:rPr>
        <w:br/>
      </w:r>
      <w:r w:rsidRPr="00F42725">
        <w:rPr>
          <w:rFonts w:ascii="PT Astra Serif" w:eastAsia="Times New Roman" w:hAnsi="PT Astra Serif" w:cs="Times New Roman"/>
          <w:szCs w:val="28"/>
        </w:rPr>
        <w:t xml:space="preserve">в число 5 субъектов, участвующих в тестировании </w:t>
      </w:r>
      <w:proofErr w:type="spellStart"/>
      <w:r w:rsidRPr="00F42725">
        <w:rPr>
          <w:rFonts w:ascii="PT Astra Serif" w:eastAsia="Times New Roman" w:hAnsi="PT Astra Serif" w:cs="Times New Roman"/>
          <w:szCs w:val="28"/>
        </w:rPr>
        <w:t>суперсервиса</w:t>
      </w:r>
      <w:proofErr w:type="spellEnd"/>
      <w:r w:rsidRPr="00F42725">
        <w:rPr>
          <w:rFonts w:ascii="PT Astra Serif" w:eastAsia="Times New Roman" w:hAnsi="PT Astra Serif" w:cs="Times New Roman"/>
          <w:szCs w:val="28"/>
        </w:rPr>
        <w:t xml:space="preserve"> для поступления в учреждения СПО.</w:t>
      </w:r>
    </w:p>
    <w:p w14:paraId="52A0558F" w14:textId="77777777" w:rsidR="00C548A9" w:rsidRPr="00F42725" w:rsidRDefault="00C548A9" w:rsidP="00C548A9">
      <w:pPr>
        <w:widowControl w:val="0"/>
        <w:tabs>
          <w:tab w:val="left" w:pos="709"/>
        </w:tabs>
        <w:rPr>
          <w:rFonts w:ascii="PT Astra Serif" w:eastAsia="Times New Roman" w:hAnsi="PT Astra Serif" w:cs="Times New Roman"/>
          <w:szCs w:val="28"/>
        </w:rPr>
      </w:pPr>
      <w:r w:rsidRPr="00F42725">
        <w:rPr>
          <w:rFonts w:ascii="PT Astra Serif" w:eastAsia="Times New Roman" w:hAnsi="PT Astra Serif" w:cs="Times New Roman"/>
          <w:szCs w:val="28"/>
        </w:rPr>
        <w:t>Система образования региона продолжает активно принимать участие</w:t>
      </w:r>
      <w:r>
        <w:rPr>
          <w:rFonts w:ascii="PT Astra Serif" w:eastAsia="Times New Roman" w:hAnsi="PT Astra Serif" w:cs="Times New Roman"/>
          <w:szCs w:val="28"/>
        </w:rPr>
        <w:br/>
      </w:r>
      <w:r w:rsidRPr="00F42725">
        <w:rPr>
          <w:rFonts w:ascii="PT Astra Serif" w:eastAsia="Times New Roman" w:hAnsi="PT Astra Serif" w:cs="Times New Roman"/>
          <w:szCs w:val="28"/>
        </w:rPr>
        <w:t xml:space="preserve"> в федеральных проектах, направленных на формирование цифровой </w:t>
      </w:r>
      <w:r w:rsidRPr="00F42725">
        <w:rPr>
          <w:rFonts w:ascii="PT Astra Serif" w:eastAsia="Times New Roman" w:hAnsi="PT Astra Serif" w:cs="Times New Roman"/>
          <w:szCs w:val="28"/>
        </w:rPr>
        <w:lastRenderedPageBreak/>
        <w:t>грамотности обучающихся. По итогам 2025 года регион получил признание федерального уровня благодаря активному вовлечению в проекты «Урок цифры» и «Код будущего. Искусственный интеллект».</w:t>
      </w:r>
    </w:p>
    <w:p w14:paraId="6BFF2EEE" w14:textId="3A6A889F" w:rsidR="00C548A9" w:rsidRDefault="00C548A9" w:rsidP="00CE277D">
      <w:pPr>
        <w:widowControl w:val="0"/>
        <w:tabs>
          <w:tab w:val="left" w:pos="709"/>
        </w:tabs>
        <w:rPr>
          <w:rFonts w:ascii="PT Astra Serif" w:eastAsia="Times New Roman" w:hAnsi="PT Astra Serif" w:cs="Times New Roman"/>
          <w:szCs w:val="28"/>
        </w:rPr>
      </w:pPr>
      <w:r w:rsidRPr="00F42725">
        <w:rPr>
          <w:rFonts w:ascii="PT Astra Serif" w:eastAsia="Times New Roman" w:hAnsi="PT Astra Serif" w:cs="Times New Roman"/>
          <w:szCs w:val="28"/>
        </w:rPr>
        <w:t>100% школ и колледжей подключены</w:t>
      </w:r>
      <w:r w:rsidR="00CE277D">
        <w:rPr>
          <w:rFonts w:ascii="PT Astra Serif" w:eastAsia="Times New Roman" w:hAnsi="PT Astra Serif" w:cs="Times New Roman"/>
          <w:szCs w:val="28"/>
        </w:rPr>
        <w:t xml:space="preserve"> к высокоскоростному интернету.</w:t>
      </w:r>
    </w:p>
    <w:p w14:paraId="5ED0E5A1" w14:textId="2B7FA3CA" w:rsidR="00CE277D" w:rsidRPr="00CE277D" w:rsidRDefault="00CE277D" w:rsidP="00CE277D">
      <w:pPr>
        <w:widowControl w:val="0"/>
        <w:tabs>
          <w:tab w:val="left" w:pos="709"/>
        </w:tabs>
        <w:rPr>
          <w:rFonts w:ascii="PT Astra Serif" w:hAnsi="PT Astra Serif" w:cs="Arial"/>
          <w:szCs w:val="28"/>
          <w:shd w:val="clear" w:color="auto" w:fill="FFFFFF"/>
        </w:rPr>
      </w:pPr>
      <w:r w:rsidRPr="00CE277D">
        <w:rPr>
          <w:rFonts w:ascii="PT Astra Serif" w:hAnsi="PT Astra Serif"/>
          <w:szCs w:val="28"/>
        </w:rPr>
        <w:t>В 2026 году началась реализация нового</w:t>
      </w:r>
      <w:r w:rsidRPr="00CE277D">
        <w:rPr>
          <w:rFonts w:ascii="PT Astra Serif" w:hAnsi="PT Astra Serif"/>
          <w:b/>
          <w:szCs w:val="28"/>
        </w:rPr>
        <w:t xml:space="preserve"> </w:t>
      </w:r>
      <w:r w:rsidRPr="00CE277D">
        <w:rPr>
          <w:rFonts w:ascii="PT Astra Serif" w:hAnsi="PT Astra Serif" w:cs="Arial"/>
          <w:szCs w:val="28"/>
        </w:rPr>
        <w:t xml:space="preserve">мероприятия регионального проекта «Цифровые платформы в отраслях социальной сферы» в рамках национального проекта «Экономика данных и цифровая трансформация государства». </w:t>
      </w:r>
      <w:r w:rsidRPr="00CE277D">
        <w:rPr>
          <w:rFonts w:ascii="PT Astra Serif" w:hAnsi="PT Astra Serif" w:cs="Arial"/>
          <w:b/>
          <w:szCs w:val="28"/>
          <w:shd w:val="clear" w:color="auto" w:fill="FFFFFF"/>
        </w:rPr>
        <w:t>Все</w:t>
      </w:r>
      <w:r w:rsidRPr="00CE277D">
        <w:rPr>
          <w:rFonts w:ascii="PT Astra Serif" w:hAnsi="PT Astra Serif" w:cs="Arial"/>
          <w:szCs w:val="28"/>
          <w:shd w:val="clear" w:color="auto" w:fill="FFFFFF"/>
        </w:rPr>
        <w:t xml:space="preserve"> </w:t>
      </w:r>
      <w:r w:rsidRPr="00CE277D">
        <w:rPr>
          <w:rFonts w:ascii="PT Astra Serif" w:hAnsi="PT Astra Serif" w:cs="Arial"/>
          <w:b/>
          <w:szCs w:val="28"/>
          <w:shd w:val="clear" w:color="auto" w:fill="FFFFFF"/>
        </w:rPr>
        <w:t>школы и организации среднего профессионального образования обеспечены высокоскоростным доступом к сети Интернет</w:t>
      </w:r>
      <w:r w:rsidRPr="00CE277D">
        <w:rPr>
          <w:rFonts w:ascii="PT Astra Serif" w:hAnsi="PT Astra Serif" w:cs="Arial"/>
          <w:szCs w:val="28"/>
          <w:shd w:val="clear" w:color="auto" w:fill="FFFFFF"/>
        </w:rPr>
        <w:t xml:space="preserve"> </w:t>
      </w:r>
      <w:r w:rsidRPr="00CE277D">
        <w:rPr>
          <w:rFonts w:ascii="PT Astra Serif" w:hAnsi="PT Astra Serif" w:cs="Arial"/>
          <w:szCs w:val="28"/>
          <w:shd w:val="clear" w:color="auto" w:fill="FFFFFF"/>
        </w:rPr>
        <w:br/>
        <w:t xml:space="preserve">с использованием защищённой единой сети передачи данных. На эти цели </w:t>
      </w:r>
      <w:r w:rsidRPr="00CE277D">
        <w:rPr>
          <w:rFonts w:ascii="PT Astra Serif" w:hAnsi="PT Astra Serif" w:cs="Arial"/>
          <w:szCs w:val="28"/>
          <w:shd w:val="clear" w:color="auto" w:fill="FFFFFF"/>
        </w:rPr>
        <w:br/>
        <w:t xml:space="preserve">в региональном бюджете предусмотрено более </w:t>
      </w:r>
      <w:r w:rsidRPr="00CE277D">
        <w:rPr>
          <w:rFonts w:ascii="PT Astra Serif" w:hAnsi="PT Astra Serif" w:cs="Arial"/>
          <w:b/>
          <w:szCs w:val="28"/>
          <w:shd w:val="clear" w:color="auto" w:fill="FFFFFF"/>
        </w:rPr>
        <w:t>65 млн рублей</w:t>
      </w:r>
      <w:r w:rsidRPr="00CE277D">
        <w:rPr>
          <w:rFonts w:ascii="PT Astra Serif" w:hAnsi="PT Astra Serif" w:cs="Arial"/>
          <w:szCs w:val="28"/>
          <w:shd w:val="clear" w:color="auto" w:fill="FFFFFF"/>
        </w:rPr>
        <w:t xml:space="preserve"> (65</w:t>
      </w:r>
      <w:r>
        <w:rPr>
          <w:rFonts w:ascii="PT Astra Serif" w:hAnsi="PT Astra Serif" w:cs="Arial"/>
          <w:szCs w:val="28"/>
          <w:shd w:val="clear" w:color="auto" w:fill="FFFFFF"/>
        </w:rPr>
        <w:t> </w:t>
      </w:r>
      <w:r w:rsidRPr="00CE277D">
        <w:rPr>
          <w:rFonts w:ascii="PT Astra Serif" w:hAnsi="PT Astra Serif" w:cs="Arial"/>
          <w:szCs w:val="28"/>
          <w:shd w:val="clear" w:color="auto" w:fill="FFFFFF"/>
        </w:rPr>
        <w:t>427</w:t>
      </w:r>
      <w:r>
        <w:rPr>
          <w:rFonts w:ascii="PT Astra Serif" w:hAnsi="PT Astra Serif" w:cs="Arial"/>
          <w:szCs w:val="28"/>
          <w:shd w:val="clear" w:color="auto" w:fill="FFFFFF"/>
        </w:rPr>
        <w:t> </w:t>
      </w:r>
      <w:r w:rsidRPr="00CE277D">
        <w:rPr>
          <w:rFonts w:ascii="PT Astra Serif" w:hAnsi="PT Astra Serif" w:cs="Arial"/>
          <w:szCs w:val="28"/>
          <w:shd w:val="clear" w:color="auto" w:fill="FFFFFF"/>
        </w:rPr>
        <w:t>690 рублей).</w:t>
      </w:r>
      <w:r w:rsidRPr="00CE277D">
        <w:rPr>
          <w:rFonts w:ascii="PT Astra Serif" w:hAnsi="PT Astra Serif" w:cs="Arial"/>
          <w:szCs w:val="28"/>
        </w:rPr>
        <w:t xml:space="preserve"> </w:t>
      </w:r>
    </w:p>
    <w:p w14:paraId="0F0627E2" w14:textId="5AD55930" w:rsidR="00CE277D" w:rsidRPr="00CE277D" w:rsidRDefault="00CE277D" w:rsidP="00CE277D">
      <w:pPr>
        <w:widowControl w:val="0"/>
        <w:tabs>
          <w:tab w:val="left" w:pos="426"/>
          <w:tab w:val="left" w:pos="1418"/>
        </w:tabs>
        <w:rPr>
          <w:rFonts w:ascii="PT Astra Serif" w:hAnsi="PT Astra Serif"/>
          <w:szCs w:val="28"/>
        </w:rPr>
      </w:pPr>
      <w:r w:rsidRPr="00CE277D">
        <w:rPr>
          <w:rFonts w:ascii="PT Astra Serif" w:hAnsi="PT Astra Serif" w:cs="Arial"/>
          <w:szCs w:val="28"/>
        </w:rPr>
        <w:t xml:space="preserve">Для </w:t>
      </w:r>
      <w:r w:rsidRPr="00CE277D">
        <w:rPr>
          <w:rFonts w:ascii="PT Astra Serif" w:hAnsi="PT Astra Serif" w:cs="Arial"/>
          <w:b/>
          <w:szCs w:val="28"/>
        </w:rPr>
        <w:t xml:space="preserve">обеспечения комплексной безопасности и комфортной среды </w:t>
      </w:r>
      <w:r w:rsidRPr="00CE277D">
        <w:rPr>
          <w:rFonts w:ascii="PT Astra Serif" w:hAnsi="PT Astra Serif" w:cs="Arial"/>
          <w:b/>
          <w:szCs w:val="28"/>
        </w:rPr>
        <w:br/>
        <w:t>в 35 образовательных организациях создадут ИТ-инфраструктуру</w:t>
      </w:r>
      <w:r w:rsidRPr="00CE277D">
        <w:rPr>
          <w:rFonts w:ascii="PT Astra Serif" w:hAnsi="PT Astra Serif" w:cs="Arial"/>
          <w:szCs w:val="28"/>
        </w:rPr>
        <w:t xml:space="preserve"> для обеспечения </w:t>
      </w:r>
      <w:r w:rsidRPr="00CE277D">
        <w:rPr>
          <w:rFonts w:ascii="PT Astra Serif" w:hAnsi="PT Astra Serif"/>
          <w:szCs w:val="28"/>
        </w:rPr>
        <w:t xml:space="preserve">безопасного доступа к информационным системам </w:t>
      </w:r>
      <w:r>
        <w:rPr>
          <w:rFonts w:ascii="PT Astra Serif" w:hAnsi="PT Astra Serif"/>
          <w:szCs w:val="28"/>
        </w:rPr>
        <w:br/>
      </w:r>
      <w:r w:rsidRPr="00CE277D">
        <w:rPr>
          <w:rFonts w:ascii="PT Astra Serif" w:hAnsi="PT Astra Serif"/>
          <w:szCs w:val="28"/>
        </w:rPr>
        <w:t>и информационно-телекоммуникационной сети «Интернет»</w:t>
      </w:r>
      <w:r w:rsidRPr="00CE277D">
        <w:rPr>
          <w:rFonts w:ascii="PT Astra Serif" w:hAnsi="PT Astra Serif"/>
          <w:b/>
          <w:szCs w:val="28"/>
        </w:rPr>
        <w:t xml:space="preserve">, </w:t>
      </w:r>
      <w:r w:rsidRPr="00CE277D">
        <w:rPr>
          <w:rFonts w:ascii="PT Astra Serif" w:hAnsi="PT Astra Serif"/>
          <w:szCs w:val="28"/>
        </w:rPr>
        <w:t xml:space="preserve">на эти цели предусмотрено </w:t>
      </w:r>
      <w:r w:rsidRPr="00CE277D">
        <w:rPr>
          <w:rFonts w:ascii="PT Astra Serif" w:hAnsi="PT Astra Serif"/>
          <w:b/>
          <w:szCs w:val="28"/>
        </w:rPr>
        <w:t>48,1 млн</w:t>
      </w:r>
      <w:r w:rsidRPr="00CE277D">
        <w:rPr>
          <w:rFonts w:ascii="PT Astra Serif" w:hAnsi="PT Astra Serif"/>
          <w:szCs w:val="28"/>
        </w:rPr>
        <w:t xml:space="preserve"> рублей (ФБ 46,7 млн рублей). К 2030 году планируется обеспечение 100 процентов школ и учреждений СПО </w:t>
      </w:r>
      <w:r w:rsidR="00463AF0">
        <w:rPr>
          <w:rFonts w:ascii="PT Astra Serif" w:hAnsi="PT Astra Serif"/>
          <w:szCs w:val="28"/>
        </w:rPr>
        <w:br/>
      </w:r>
      <w:r w:rsidRPr="00CE277D">
        <w:rPr>
          <w:rFonts w:ascii="PT Astra Serif" w:hAnsi="PT Astra Serif" w:cs="Arial"/>
          <w:b/>
          <w:szCs w:val="28"/>
        </w:rPr>
        <w:t>ИТ-инфраструктурой.</w:t>
      </w:r>
    </w:p>
    <w:p w14:paraId="37B85473" w14:textId="77777777" w:rsidR="00C548A9" w:rsidRPr="00F42725" w:rsidRDefault="00C548A9" w:rsidP="00C23BDD">
      <w:pPr>
        <w:widowControl w:val="0"/>
        <w:ind w:firstLine="0"/>
        <w:rPr>
          <w:rFonts w:ascii="PT Astra Serif" w:eastAsia="Times New Roman" w:hAnsi="PT Astra Serif" w:cs="Times New Roman"/>
          <w:szCs w:val="28"/>
        </w:rPr>
      </w:pPr>
    </w:p>
    <w:p w14:paraId="358CA083" w14:textId="77777777" w:rsidR="00C548A9" w:rsidRPr="006E3528" w:rsidRDefault="00C548A9" w:rsidP="00C23BDD">
      <w:pPr>
        <w:widowControl w:val="0"/>
        <w:ind w:firstLine="0"/>
        <w:jc w:val="center"/>
        <w:rPr>
          <w:rFonts w:ascii="PT Astra Serif" w:eastAsia="PT Astra Serif" w:hAnsi="PT Astra Serif" w:cs="PT Astra Serif"/>
          <w:b/>
          <w:i/>
          <w:szCs w:val="28"/>
        </w:rPr>
      </w:pPr>
      <w:r w:rsidRPr="006E3528">
        <w:rPr>
          <w:rFonts w:ascii="PT Astra Serif" w:eastAsia="PT Astra Serif" w:hAnsi="PT Astra Serif" w:cs="PT Astra Serif"/>
          <w:b/>
          <w:i/>
          <w:szCs w:val="28"/>
        </w:rPr>
        <w:t>Развитие среднего профессионального образования</w:t>
      </w:r>
    </w:p>
    <w:p w14:paraId="6EF6882B" w14:textId="77777777" w:rsidR="00C548A9" w:rsidRPr="00F42725" w:rsidRDefault="00C548A9" w:rsidP="00C23BDD">
      <w:pPr>
        <w:widowControl w:val="0"/>
        <w:ind w:firstLine="0"/>
        <w:jc w:val="center"/>
        <w:rPr>
          <w:rFonts w:ascii="PT Astra Serif" w:eastAsia="PT Astra Serif" w:hAnsi="PT Astra Serif" w:cs="PT Astra Serif"/>
          <w:b/>
          <w:i/>
          <w:szCs w:val="28"/>
          <w:u w:val="single"/>
        </w:rPr>
      </w:pPr>
    </w:p>
    <w:p w14:paraId="02D2DDE0" w14:textId="77777777" w:rsidR="00C548A9" w:rsidRPr="00F42725" w:rsidRDefault="00C548A9" w:rsidP="00C548A9">
      <w:pPr>
        <w:widowControl w:val="0"/>
        <w:shd w:val="clear" w:color="auto" w:fill="FFFFFF"/>
        <w:rPr>
          <w:rFonts w:ascii="PT Astra Serif" w:eastAsia="PT Astra Serif" w:hAnsi="PT Astra Serif" w:cs="PT Astra Serif"/>
          <w:szCs w:val="28"/>
        </w:rPr>
      </w:pPr>
      <w:r w:rsidRPr="00F42725">
        <w:rPr>
          <w:rFonts w:ascii="PT Astra Serif" w:eastAsia="PT Astra Serif" w:hAnsi="PT Astra Serif" w:cs="PT Astra Serif"/>
          <w:szCs w:val="28"/>
        </w:rPr>
        <w:t>В послании Федеральному Собранию Президент РФ В.В.</w:t>
      </w:r>
      <w:r>
        <w:rPr>
          <w:rFonts w:ascii="PT Astra Serif" w:eastAsia="PT Astra Serif" w:hAnsi="PT Astra Serif" w:cs="PT Astra Serif"/>
          <w:szCs w:val="28"/>
        </w:rPr>
        <w:t> </w:t>
      </w:r>
      <w:r w:rsidRPr="00F42725">
        <w:rPr>
          <w:rFonts w:ascii="PT Astra Serif" w:eastAsia="PT Astra Serif" w:hAnsi="PT Astra Serif" w:cs="PT Astra Serif"/>
          <w:szCs w:val="28"/>
        </w:rPr>
        <w:t xml:space="preserve">Путин особенно отметил значимость </w:t>
      </w:r>
      <w:r w:rsidRPr="00F42725">
        <w:rPr>
          <w:rFonts w:ascii="PT Astra Serif" w:eastAsia="PT Astra Serif" w:hAnsi="PT Astra Serif" w:cs="PT Astra Serif"/>
          <w:b/>
          <w:szCs w:val="28"/>
        </w:rPr>
        <w:t xml:space="preserve">развития среднего профессионального образования и проекта Профессионалитет в тесном взаимодействии </w:t>
      </w:r>
      <w:r>
        <w:rPr>
          <w:rFonts w:ascii="PT Astra Serif" w:eastAsia="PT Astra Serif" w:hAnsi="PT Astra Serif" w:cs="PT Astra Serif"/>
          <w:b/>
          <w:szCs w:val="28"/>
        </w:rPr>
        <w:br/>
      </w:r>
      <w:r w:rsidRPr="00F42725">
        <w:rPr>
          <w:rFonts w:ascii="PT Astra Serif" w:eastAsia="PT Astra Serif" w:hAnsi="PT Astra Serif" w:cs="PT Astra Serif"/>
          <w:b/>
          <w:szCs w:val="28"/>
        </w:rPr>
        <w:t>с работодателями.</w:t>
      </w:r>
    </w:p>
    <w:p w14:paraId="6E967E6A" w14:textId="5BD1FFF6" w:rsidR="00C548A9" w:rsidRPr="00F42725" w:rsidRDefault="00C548A9" w:rsidP="00C548A9">
      <w:pPr>
        <w:widowControl w:val="0"/>
        <w:rPr>
          <w:rFonts w:ascii="PT Astra Serif" w:hAnsi="PT Astra Serif"/>
          <w:szCs w:val="28"/>
        </w:rPr>
      </w:pPr>
      <w:r w:rsidRPr="00F42725">
        <w:rPr>
          <w:rFonts w:ascii="PT Astra Serif" w:eastAsia="Times New Roman" w:hAnsi="PT Astra Serif"/>
          <w:szCs w:val="28"/>
        </w:rPr>
        <w:t>В 2025 году продолжили функционирование образовательно-производственные кластеры, созданные с 2022</w:t>
      </w:r>
      <w:r>
        <w:rPr>
          <w:rFonts w:ascii="PT Astra Serif" w:eastAsia="Times New Roman" w:hAnsi="PT Astra Serif"/>
          <w:szCs w:val="28"/>
        </w:rPr>
        <w:t xml:space="preserve"> </w:t>
      </w:r>
      <w:r w:rsidRPr="00F42725">
        <w:rPr>
          <w:rFonts w:ascii="PT Astra Serif" w:eastAsia="Times New Roman" w:hAnsi="PT Astra Serif"/>
          <w:szCs w:val="28"/>
        </w:rPr>
        <w:t>-</w:t>
      </w:r>
      <w:r>
        <w:rPr>
          <w:rFonts w:ascii="PT Astra Serif" w:eastAsia="Times New Roman" w:hAnsi="PT Astra Serif"/>
          <w:szCs w:val="28"/>
        </w:rPr>
        <w:t xml:space="preserve"> </w:t>
      </w:r>
      <w:r w:rsidRPr="00F42725">
        <w:rPr>
          <w:rFonts w:ascii="PT Astra Serif" w:eastAsia="Times New Roman" w:hAnsi="PT Astra Serif"/>
          <w:szCs w:val="28"/>
        </w:rPr>
        <w:t>2024 г</w:t>
      </w:r>
      <w:r w:rsidR="00463AF0">
        <w:rPr>
          <w:rFonts w:ascii="PT Astra Serif" w:eastAsia="Times New Roman" w:hAnsi="PT Astra Serif"/>
          <w:szCs w:val="28"/>
        </w:rPr>
        <w:t xml:space="preserve">г. </w:t>
      </w:r>
      <w:r w:rsidRPr="00F42725">
        <w:rPr>
          <w:rFonts w:ascii="PT Astra Serif" w:eastAsia="Times New Roman" w:hAnsi="PT Astra Serif"/>
          <w:szCs w:val="28"/>
        </w:rPr>
        <w:t xml:space="preserve">в ключевых для региональной экономики отраслях, в которых по программам </w:t>
      </w:r>
      <w:proofErr w:type="spellStart"/>
      <w:r w:rsidRPr="00F42725">
        <w:rPr>
          <w:rFonts w:ascii="PT Astra Serif" w:eastAsia="Times New Roman" w:hAnsi="PT Astra Serif"/>
          <w:szCs w:val="28"/>
        </w:rPr>
        <w:t>Профессионалитета</w:t>
      </w:r>
      <w:proofErr w:type="spellEnd"/>
      <w:r w:rsidRPr="00F42725">
        <w:rPr>
          <w:rFonts w:ascii="PT Astra Serif" w:eastAsia="Times New Roman" w:hAnsi="PT Astra Serif"/>
          <w:szCs w:val="28"/>
        </w:rPr>
        <w:t xml:space="preserve"> обучается 7,6 тыс. студентов</w:t>
      </w:r>
      <w:r w:rsidRPr="00F42725">
        <w:rPr>
          <w:rFonts w:ascii="PT Astra Serif" w:hAnsi="PT Astra Serif"/>
          <w:szCs w:val="28"/>
        </w:rPr>
        <w:t xml:space="preserve"> в отрасли «Авиастроение», «Радиоэлектроника», «Сельское хозяйство», «Машиностроение», «Искусство и креативная индустрия». </w:t>
      </w:r>
    </w:p>
    <w:p w14:paraId="1E7C9083" w14:textId="77777777" w:rsidR="00C548A9" w:rsidRDefault="00C548A9" w:rsidP="00C548A9">
      <w:pPr>
        <w:widowControl w:val="0"/>
        <w:suppressAutoHyphens/>
        <w:contextualSpacing/>
        <w:rPr>
          <w:rFonts w:ascii="PT Astra Serif" w:hAnsi="PT Astra Serif"/>
          <w:szCs w:val="28"/>
        </w:rPr>
      </w:pPr>
      <w:r w:rsidRPr="00F42725">
        <w:rPr>
          <w:rFonts w:ascii="PT Astra Serif" w:hAnsi="PT Astra Serif"/>
          <w:szCs w:val="28"/>
        </w:rPr>
        <w:t>1 сентября 2025 года открыт созданный в течение года образовательно-производственный кластер в отрасли «Железнодорожный</w:t>
      </w:r>
      <w:r w:rsidRPr="00F42725">
        <w:rPr>
          <w:rFonts w:ascii="PT Astra Serif" w:hAnsi="PT Astra Serif"/>
          <w:b/>
          <w:szCs w:val="28"/>
        </w:rPr>
        <w:t xml:space="preserve"> </w:t>
      </w:r>
      <w:r w:rsidRPr="00F42725">
        <w:rPr>
          <w:rFonts w:ascii="PT Astra Serif" w:hAnsi="PT Astra Serif"/>
          <w:szCs w:val="28"/>
        </w:rPr>
        <w:t>транспорт»</w:t>
      </w:r>
      <w:r w:rsidRPr="00F42725">
        <w:rPr>
          <w:rFonts w:ascii="PT Astra Serif" w:hAnsi="PT Astra Serif"/>
          <w:b/>
          <w:szCs w:val="28"/>
        </w:rPr>
        <w:t xml:space="preserve"> </w:t>
      </w:r>
      <w:r w:rsidRPr="00F42725">
        <w:rPr>
          <w:rFonts w:ascii="PT Astra Serif" w:hAnsi="PT Astra Serif"/>
          <w:szCs w:val="28"/>
        </w:rPr>
        <w:t>на базе Ульяновского техникума железнодорожного транспорта. Ключевые партнеры – это ОА «Российские железные дороги» и ООО «Инжиниринг Сервис-</w:t>
      </w:r>
      <w:proofErr w:type="spellStart"/>
      <w:r w:rsidRPr="00F42725">
        <w:rPr>
          <w:rFonts w:ascii="PT Astra Serif" w:hAnsi="PT Astra Serif"/>
          <w:szCs w:val="28"/>
        </w:rPr>
        <w:t>Путьмаш</w:t>
      </w:r>
      <w:proofErr w:type="spellEnd"/>
      <w:r w:rsidRPr="00F42725">
        <w:rPr>
          <w:rFonts w:ascii="PT Astra Serif" w:hAnsi="PT Astra Serif"/>
          <w:szCs w:val="28"/>
        </w:rPr>
        <w:t xml:space="preserve">». </w:t>
      </w:r>
    </w:p>
    <w:p w14:paraId="2BC0C0A4" w14:textId="77777777" w:rsidR="00C548A9" w:rsidRPr="00AD3AC0" w:rsidRDefault="00C548A9" w:rsidP="00C548A9">
      <w:pPr>
        <w:widowControl w:val="0"/>
        <w:suppressAutoHyphens/>
        <w:contextualSpacing/>
        <w:rPr>
          <w:rFonts w:ascii="PT Astra Serif" w:hAnsi="PT Astra Serif"/>
          <w:iCs/>
          <w:szCs w:val="28"/>
        </w:rPr>
      </w:pPr>
      <w:r w:rsidRPr="005C2828">
        <w:rPr>
          <w:rFonts w:ascii="PT Astra Serif" w:hAnsi="PT Astra Serif" w:cs="Arial"/>
          <w:color w:val="2C2D2E"/>
          <w:szCs w:val="28"/>
          <w:shd w:val="clear" w:color="auto" w:fill="FFFFFF"/>
        </w:rPr>
        <w:t>Для создания кластера привлечено 165 млн. руб</w:t>
      </w:r>
      <w:r>
        <w:rPr>
          <w:rFonts w:ascii="PT Astra Serif" w:hAnsi="PT Astra Serif" w:cs="Arial"/>
          <w:color w:val="2C2D2E"/>
          <w:szCs w:val="28"/>
          <w:shd w:val="clear" w:color="auto" w:fill="FFFFFF"/>
        </w:rPr>
        <w:t>лей</w:t>
      </w:r>
      <w:r w:rsidRPr="005C2828">
        <w:rPr>
          <w:rFonts w:ascii="PT Astra Serif" w:hAnsi="PT Astra Serif" w:cs="Arial"/>
          <w:color w:val="2C2D2E"/>
          <w:szCs w:val="28"/>
          <w:shd w:val="clear" w:color="auto" w:fill="FFFFFF"/>
        </w:rPr>
        <w:t xml:space="preserve"> (это федеральный бюджет, областной и</w:t>
      </w:r>
      <w:r>
        <w:rPr>
          <w:rFonts w:ascii="PT Astra Serif" w:hAnsi="PT Astra Serif" w:cs="Arial"/>
          <w:color w:val="2C2D2E"/>
          <w:szCs w:val="28"/>
          <w:shd w:val="clear" w:color="auto" w:fill="FFFFFF"/>
        </w:rPr>
        <w:t xml:space="preserve"> </w:t>
      </w:r>
      <w:r w:rsidRPr="005C2828">
        <w:rPr>
          <w:rFonts w:ascii="PT Astra Serif" w:hAnsi="PT Astra Serif" w:cs="Arial"/>
          <w:color w:val="2C2D2E"/>
          <w:szCs w:val="28"/>
          <w:shd w:val="clear" w:color="auto" w:fill="FFFFFF"/>
        </w:rPr>
        <w:t>средства работодателя)</w:t>
      </w:r>
      <w:r w:rsidRPr="005C2828">
        <w:rPr>
          <w:rFonts w:ascii="PT Astra Serif" w:hAnsi="PT Astra Serif"/>
          <w:szCs w:val="28"/>
        </w:rPr>
        <w:t>: закуплено</w:t>
      </w:r>
      <w:r w:rsidRPr="00F42725">
        <w:rPr>
          <w:rFonts w:ascii="PT Astra Serif" w:hAnsi="PT Astra Serif"/>
          <w:szCs w:val="28"/>
        </w:rPr>
        <w:t xml:space="preserve"> оборудование, отвечающее требованиям совре</w:t>
      </w:r>
      <w:r>
        <w:rPr>
          <w:rFonts w:ascii="PT Astra Serif" w:hAnsi="PT Astra Serif"/>
          <w:szCs w:val="28"/>
        </w:rPr>
        <w:t xml:space="preserve">менного производства, и мебель, </w:t>
      </w:r>
      <w:r w:rsidRPr="00F42725">
        <w:rPr>
          <w:rFonts w:ascii="PT Astra Serif" w:hAnsi="PT Astra Serif"/>
          <w:szCs w:val="28"/>
        </w:rPr>
        <w:t xml:space="preserve">проведены ремонтные работы в помещениях техникума с 1 по 4 этаж, а также </w:t>
      </w:r>
      <w:proofErr w:type="spellStart"/>
      <w:r w:rsidRPr="00F42725">
        <w:rPr>
          <w:rFonts w:ascii="PT Astra Serif" w:hAnsi="PT Astra Serif"/>
          <w:szCs w:val="28"/>
        </w:rPr>
        <w:t>брендирование</w:t>
      </w:r>
      <w:proofErr w:type="spellEnd"/>
      <w:r w:rsidRPr="00F42725">
        <w:rPr>
          <w:rFonts w:ascii="PT Astra Serif" w:hAnsi="PT Astra Serif"/>
          <w:szCs w:val="28"/>
        </w:rPr>
        <w:t xml:space="preserve"> помещений в соответствии с требованиями проекта. </w:t>
      </w:r>
    </w:p>
    <w:p w14:paraId="1CAB1F42" w14:textId="77777777" w:rsidR="00C548A9" w:rsidRPr="00F42725" w:rsidRDefault="00C548A9" w:rsidP="00C548A9">
      <w:pPr>
        <w:widowControl w:val="0"/>
        <w:suppressAutoHyphens/>
        <w:ind w:right="57"/>
        <w:rPr>
          <w:rFonts w:ascii="PT Astra Serif" w:hAnsi="PT Astra Serif" w:cs="PT Astra Serif"/>
          <w:szCs w:val="28"/>
          <w:lang w:eastAsia="zh-CN"/>
        </w:rPr>
      </w:pPr>
      <w:r w:rsidRPr="00F42725">
        <w:rPr>
          <w:rFonts w:ascii="PT Astra Serif" w:hAnsi="PT Astra Serif" w:cs="PT Astra Serif"/>
          <w:szCs w:val="28"/>
        </w:rPr>
        <w:t>В новом учебном году на 1 курс зачислено 275 студентов.</w:t>
      </w:r>
    </w:p>
    <w:p w14:paraId="6BDAEBFC"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В соответствии с Программой деятельности образовательно– производственного </w:t>
      </w:r>
      <w:r w:rsidRPr="00F42725">
        <w:rPr>
          <w:rFonts w:ascii="PT Astra Serif" w:hAnsi="PT Astra Serif"/>
          <w:spacing w:val="-67"/>
          <w:szCs w:val="28"/>
        </w:rPr>
        <w:t xml:space="preserve">  </w:t>
      </w:r>
      <w:r w:rsidRPr="00F42725">
        <w:rPr>
          <w:rFonts w:ascii="PT Astra Serif" w:hAnsi="PT Astra Serif"/>
          <w:szCs w:val="28"/>
        </w:rPr>
        <w:t xml:space="preserve">кластера отрасли «Железнодорожный транспорт» в 2025 </w:t>
      </w:r>
      <w:r w:rsidRPr="00F42725">
        <w:rPr>
          <w:rFonts w:ascii="PT Astra Serif" w:hAnsi="PT Astra Serif"/>
          <w:szCs w:val="28"/>
        </w:rPr>
        <w:lastRenderedPageBreak/>
        <w:t>году создано</w:t>
      </w:r>
      <w:r w:rsidRPr="00F42725">
        <w:rPr>
          <w:rFonts w:ascii="PT Astra Serif" w:hAnsi="PT Astra Serif"/>
          <w:szCs w:val="28"/>
          <w:shd w:val="clear" w:color="auto" w:fill="FFFFFF"/>
        </w:rPr>
        <w:t xml:space="preserve"> 13 </w:t>
      </w:r>
      <w:r w:rsidRPr="00F42725">
        <w:rPr>
          <w:rFonts w:ascii="PT Astra Serif" w:hAnsi="PT Astra Serif"/>
          <w:szCs w:val="28"/>
        </w:rPr>
        <w:t>зон по видам работ, оборудованных высокотехнологичным оборудованием.</w:t>
      </w:r>
    </w:p>
    <w:p w14:paraId="489C078D" w14:textId="4DECDD7D"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 xml:space="preserve">Всего на сегодняшний день в составе 6 кластеров функционируют </w:t>
      </w:r>
      <w:r w:rsidR="00C23BDD">
        <w:rPr>
          <w:rFonts w:ascii="PT Astra Serif" w:hAnsi="PT Astra Serif"/>
          <w:szCs w:val="28"/>
        </w:rPr>
        <w:br/>
      </w:r>
      <w:r w:rsidRPr="00F42725">
        <w:rPr>
          <w:rFonts w:ascii="PT Astra Serif" w:hAnsi="PT Astra Serif"/>
          <w:szCs w:val="28"/>
        </w:rPr>
        <w:t>17 образовательных организаций и 9 предприятий-партнеров</w:t>
      </w:r>
      <w:r>
        <w:rPr>
          <w:rFonts w:ascii="PT Astra Serif" w:hAnsi="PT Astra Serif"/>
          <w:szCs w:val="28"/>
        </w:rPr>
        <w:t>,</w:t>
      </w:r>
      <w:r w:rsidRPr="00F42725">
        <w:rPr>
          <w:rFonts w:ascii="PT Astra Serif" w:hAnsi="PT Astra Serif"/>
          <w:szCs w:val="28"/>
        </w:rPr>
        <w:t xml:space="preserve"> из числа непосредственных работодателей </w:t>
      </w:r>
      <w:r w:rsidRPr="00F42725">
        <w:rPr>
          <w:rFonts w:ascii="PT Astra Serif" w:eastAsia="PT Astra Serif" w:hAnsi="PT Astra Serif" w:cs="PT Astra Serif"/>
          <w:szCs w:val="28"/>
        </w:rPr>
        <w:t>(ПАО «Ил» - Авиастар, ЗАО «</w:t>
      </w:r>
      <w:proofErr w:type="spellStart"/>
      <w:r w:rsidRPr="00F42725">
        <w:rPr>
          <w:rFonts w:ascii="PT Astra Serif" w:eastAsia="PT Astra Serif" w:hAnsi="PT Astra Serif" w:cs="PT Astra Serif"/>
          <w:szCs w:val="28"/>
        </w:rPr>
        <w:t>Проминвест</w:t>
      </w:r>
      <w:proofErr w:type="spellEnd"/>
      <w:r w:rsidRPr="00F42725">
        <w:rPr>
          <w:rFonts w:ascii="PT Astra Serif" w:eastAsia="PT Astra Serif" w:hAnsi="PT Astra Serif" w:cs="PT Astra Serif"/>
          <w:szCs w:val="28"/>
        </w:rPr>
        <w:t>», ОАО «Ульяновское конструкторское бюро приборостроения», АО «НПП «Завод «Искра», ООО «</w:t>
      </w:r>
      <w:proofErr w:type="spellStart"/>
      <w:r w:rsidRPr="00F42725">
        <w:rPr>
          <w:rFonts w:ascii="PT Astra Serif" w:eastAsia="PT Astra Serif" w:hAnsi="PT Astra Serif" w:cs="PT Astra Serif"/>
          <w:szCs w:val="28"/>
        </w:rPr>
        <w:t>Автосвет</w:t>
      </w:r>
      <w:proofErr w:type="spellEnd"/>
      <w:r w:rsidRPr="00F42725">
        <w:rPr>
          <w:rFonts w:ascii="PT Astra Serif" w:eastAsia="PT Astra Serif" w:hAnsi="PT Astra Serif" w:cs="PT Astra Serif"/>
          <w:szCs w:val="28"/>
        </w:rPr>
        <w:t>», ООО «</w:t>
      </w:r>
      <w:proofErr w:type="spellStart"/>
      <w:r w:rsidRPr="00F42725">
        <w:rPr>
          <w:rFonts w:ascii="PT Astra Serif" w:eastAsia="PT Astra Serif" w:hAnsi="PT Astra Serif" w:cs="PT Astra Serif"/>
          <w:szCs w:val="28"/>
        </w:rPr>
        <w:t>Димитровградский</w:t>
      </w:r>
      <w:proofErr w:type="spellEnd"/>
      <w:r w:rsidRPr="00F42725">
        <w:rPr>
          <w:rFonts w:ascii="PT Astra Serif" w:eastAsia="PT Astra Serif" w:hAnsi="PT Astra Serif" w:cs="PT Astra Serif"/>
          <w:szCs w:val="28"/>
        </w:rPr>
        <w:t xml:space="preserve"> автоагрегатный завод», ООО «Бостон»</w:t>
      </w:r>
      <w:r>
        <w:rPr>
          <w:rFonts w:ascii="PT Astra Serif" w:hAnsi="PT Astra Serif"/>
          <w:szCs w:val="28"/>
        </w:rPr>
        <w:t>).</w:t>
      </w:r>
    </w:p>
    <w:p w14:paraId="24DA805E" w14:textId="77777777"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За 3 года реализации проекта заметно увеличился конкурс на поступление в средние профессиональные учебные заведения, даже по традиционным специализациям, которые ранее не пользовались спросом. Средний балл аттестата выпускников вырос с 3,6 до 4,2, что свидетельствует о притоке более подготовленных абитуриентов и возможности готовить специалистов на качественно новом уровне.</w:t>
      </w:r>
    </w:p>
    <w:p w14:paraId="6D7B6F50" w14:textId="77777777"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В 2024 году уже состоялся первый выпуск непосредственно по образовательным программам «</w:t>
      </w:r>
      <w:proofErr w:type="spellStart"/>
      <w:r w:rsidRPr="00F42725">
        <w:rPr>
          <w:rFonts w:ascii="PT Astra Serif" w:hAnsi="PT Astra Serif"/>
          <w:szCs w:val="28"/>
        </w:rPr>
        <w:t>Профессионалитета</w:t>
      </w:r>
      <w:proofErr w:type="spellEnd"/>
      <w:r w:rsidRPr="00F42725">
        <w:rPr>
          <w:rFonts w:ascii="PT Astra Serif" w:hAnsi="PT Astra Serif"/>
          <w:szCs w:val="28"/>
        </w:rPr>
        <w:t>» образовательно-производственного кластера «Авиастроение» в количестве 204 человека.</w:t>
      </w:r>
    </w:p>
    <w:p w14:paraId="336A2FBF" w14:textId="77777777"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В 2025 году выпуск по программам «Профессионалитет» составил 430 человек, из которых для предприятий ОПК – 342 человека.</w:t>
      </w:r>
    </w:p>
    <w:p w14:paraId="1C9BB228" w14:textId="77777777" w:rsidR="00463AF0" w:rsidRPr="00463AF0" w:rsidRDefault="00463AF0" w:rsidP="00463AF0">
      <w:pPr>
        <w:widowControl w:val="0"/>
        <w:ind w:right="57"/>
        <w:rPr>
          <w:rFonts w:ascii="PT Astra Serif" w:hAnsi="PT Astra Serif"/>
          <w:szCs w:val="28"/>
        </w:rPr>
      </w:pPr>
      <w:r w:rsidRPr="00463AF0">
        <w:rPr>
          <w:rFonts w:ascii="PT Astra Serif" w:hAnsi="PT Astra Serif"/>
        </w:rPr>
        <w:t>Условия, созданные в рамках проекта совместно с работодателями, способствуют повышению качества подготовки специалистов и успешному прохождению демонстрационного экзамена по профильному уровню (43,5% при плане 43%).</w:t>
      </w:r>
    </w:p>
    <w:p w14:paraId="0BB68A95" w14:textId="3DF8F9D4"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Созданные в рамках проекта условия совместно с работодателями способствуют повышению качества подготовки специалистов и успешному прохождению демонстрационного экзамена по профильному уровню (43,5% при плане 43%).</w:t>
      </w:r>
    </w:p>
    <w:p w14:paraId="74EF2196" w14:textId="77777777" w:rsidR="00C548A9" w:rsidRPr="00F42725" w:rsidRDefault="00C548A9" w:rsidP="00C548A9">
      <w:pPr>
        <w:widowControl w:val="0"/>
        <w:ind w:right="57"/>
        <w:rPr>
          <w:rFonts w:ascii="PT Astra Serif" w:hAnsi="PT Astra Serif"/>
          <w:szCs w:val="28"/>
        </w:rPr>
      </w:pPr>
      <w:r w:rsidRPr="00F42725">
        <w:rPr>
          <w:rFonts w:ascii="PT Astra Serif" w:hAnsi="PT Astra Serif"/>
          <w:szCs w:val="28"/>
        </w:rPr>
        <w:t>Гарантия трудоустройства на ведущие предприятия региона. Уровень трудоустройства выпускников по программам «Профессионалитет» в 2025 году достиг 98,3% (при плане на 2025 год 85%).</w:t>
      </w:r>
    </w:p>
    <w:p w14:paraId="14E85ED2" w14:textId="77777777" w:rsidR="00C548A9" w:rsidRPr="00F42725" w:rsidRDefault="00C548A9" w:rsidP="00C548A9">
      <w:pPr>
        <w:widowControl w:val="0"/>
        <w:ind w:left="57" w:right="57" w:firstLine="851"/>
        <w:rPr>
          <w:rFonts w:ascii="PT Astra Serif" w:hAnsi="PT Astra Serif"/>
          <w:szCs w:val="28"/>
        </w:rPr>
      </w:pPr>
      <w:r w:rsidRPr="00F42725">
        <w:rPr>
          <w:rFonts w:ascii="PT Astra Serif" w:hAnsi="PT Astra Serif"/>
          <w:szCs w:val="28"/>
        </w:rPr>
        <w:t xml:space="preserve">В 2025 году в целях создания условий для подготовки и непрерывного образования кадров здравоохранения и социальной сферы на уровне передовых стандартов проведен </w:t>
      </w:r>
      <w:r w:rsidRPr="00F42725">
        <w:rPr>
          <w:rFonts w:ascii="PT Astra Serif" w:hAnsi="PT Astra Serif"/>
          <w:b/>
          <w:szCs w:val="28"/>
        </w:rPr>
        <w:t>капитальный ремонт помещений Центра опережающей профессиональной подготовки по направлению «Социальная сфера»</w:t>
      </w:r>
      <w:r w:rsidRPr="00F42725">
        <w:rPr>
          <w:rFonts w:ascii="PT Astra Serif" w:hAnsi="PT Astra Serif"/>
          <w:szCs w:val="28"/>
        </w:rPr>
        <w:t xml:space="preserve"> (далее – ЦОПП), созданного на базе ОГБПОУ «Ульяновский медицинский колледж имени С.Б.</w:t>
      </w:r>
      <w:r>
        <w:rPr>
          <w:rFonts w:ascii="PT Astra Serif" w:hAnsi="PT Astra Serif"/>
          <w:szCs w:val="28"/>
        </w:rPr>
        <w:t> </w:t>
      </w:r>
      <w:r w:rsidRPr="00F42725">
        <w:rPr>
          <w:rFonts w:ascii="PT Astra Serif" w:hAnsi="PT Astra Serif"/>
          <w:szCs w:val="28"/>
        </w:rPr>
        <w:t>Анурьевой» в рамках федерального проекта «Профессионалитет». На проведение ремонтных работ из областного бюджета Ульяновской области выделено 22</w:t>
      </w:r>
      <w:r>
        <w:rPr>
          <w:rFonts w:ascii="PT Astra Serif" w:hAnsi="PT Astra Serif"/>
          <w:szCs w:val="28"/>
        </w:rPr>
        <w:t> </w:t>
      </w:r>
      <w:r w:rsidRPr="00F42725">
        <w:rPr>
          <w:rFonts w:ascii="PT Astra Serif" w:hAnsi="PT Astra Serif"/>
          <w:szCs w:val="28"/>
        </w:rPr>
        <w:t>622</w:t>
      </w:r>
      <w:r>
        <w:rPr>
          <w:rFonts w:ascii="PT Astra Serif" w:hAnsi="PT Astra Serif"/>
          <w:szCs w:val="28"/>
        </w:rPr>
        <w:t> </w:t>
      </w:r>
      <w:r w:rsidRPr="00F42725">
        <w:rPr>
          <w:rFonts w:ascii="PT Astra Serif" w:hAnsi="PT Astra Serif"/>
          <w:szCs w:val="28"/>
        </w:rPr>
        <w:t>602,68 рублей. Ремонтные работы завершены в октябре 2025 года, финансовые средства освоены в полном объеме.</w:t>
      </w:r>
    </w:p>
    <w:p w14:paraId="318A6459" w14:textId="77777777" w:rsidR="00C548A9" w:rsidRPr="00F42725" w:rsidRDefault="00C548A9" w:rsidP="00C548A9">
      <w:pPr>
        <w:widowControl w:val="0"/>
        <w:shd w:val="clear" w:color="auto" w:fill="FFFFFF"/>
        <w:rPr>
          <w:rFonts w:ascii="PT Astra Serif" w:eastAsia="PT Astra Serif" w:hAnsi="PT Astra Serif" w:cs="PT Astra Serif"/>
          <w:szCs w:val="28"/>
        </w:rPr>
      </w:pPr>
      <w:r w:rsidRPr="00F42725">
        <w:rPr>
          <w:rFonts w:ascii="PT Astra Serif" w:eastAsia="PT Astra Serif" w:hAnsi="PT Astra Serif" w:cs="PT Astra Serif"/>
          <w:szCs w:val="28"/>
        </w:rPr>
        <w:t xml:space="preserve">В </w:t>
      </w:r>
      <w:r w:rsidRPr="00F42725">
        <w:rPr>
          <w:rFonts w:ascii="PT Astra Serif" w:hAnsi="PT Astra Serif"/>
          <w:szCs w:val="28"/>
        </w:rPr>
        <w:t xml:space="preserve">рамках федерального проекта «Разработка важнейших наукоемких технологий и опережающая подготовка и переподготовка квалифицированных кадров по направлению транспортной мобильности» национального проекта «Промышленное обеспечение транспортной мобильности» </w:t>
      </w:r>
      <w:r w:rsidRPr="00F42725">
        <w:rPr>
          <w:rFonts w:ascii="PT Astra Serif" w:eastAsia="PT Astra Serif" w:hAnsi="PT Astra Serif" w:cs="PT Astra Serif"/>
          <w:szCs w:val="28"/>
        </w:rPr>
        <w:t>в 2025 году</w:t>
      </w:r>
      <w:r w:rsidRPr="00F42725">
        <w:rPr>
          <w:rFonts w:ascii="PT Astra Serif" w:eastAsia="PT Astra Serif" w:hAnsi="PT Astra Serif" w:cs="PT Astra Serif"/>
          <w:b/>
          <w:szCs w:val="28"/>
        </w:rPr>
        <w:t xml:space="preserve"> </w:t>
      </w:r>
      <w:r w:rsidRPr="00F42725">
        <w:rPr>
          <w:rFonts w:ascii="PT Astra Serif" w:eastAsia="PT Astra Serif" w:hAnsi="PT Astra Serif" w:cs="PT Astra Serif"/>
          <w:szCs w:val="28"/>
        </w:rPr>
        <w:t xml:space="preserve">создан </w:t>
      </w:r>
      <w:r w:rsidRPr="00F42725">
        <w:rPr>
          <w:rFonts w:ascii="PT Astra Serif" w:eastAsia="PT Astra Serif" w:hAnsi="PT Astra Serif" w:cs="PT Astra Serif"/>
          <w:b/>
          <w:szCs w:val="28"/>
        </w:rPr>
        <w:t>Межрегиональный отраслевой учебно-</w:t>
      </w:r>
      <w:r w:rsidRPr="00F42725">
        <w:rPr>
          <w:rFonts w:ascii="PT Astra Serif" w:eastAsia="PT Astra Serif" w:hAnsi="PT Astra Serif" w:cs="PT Astra Serif"/>
          <w:b/>
          <w:szCs w:val="28"/>
        </w:rPr>
        <w:lastRenderedPageBreak/>
        <w:t xml:space="preserve">методический центр подготовки кадров для авиастроительной </w:t>
      </w:r>
      <w:r>
        <w:rPr>
          <w:rFonts w:ascii="PT Astra Serif" w:eastAsia="PT Astra Serif" w:hAnsi="PT Astra Serif" w:cs="PT Astra Serif"/>
          <w:b/>
          <w:szCs w:val="28"/>
        </w:rPr>
        <w:br/>
      </w:r>
      <w:r w:rsidRPr="00F42725">
        <w:rPr>
          <w:rFonts w:ascii="PT Astra Serif" w:eastAsia="PT Astra Serif" w:hAnsi="PT Astra Serif" w:cs="PT Astra Serif"/>
          <w:b/>
          <w:szCs w:val="28"/>
        </w:rPr>
        <w:t>и инновационной транспортной отрасли</w:t>
      </w:r>
      <w:r w:rsidRPr="00F42725">
        <w:rPr>
          <w:rFonts w:ascii="PT Astra Serif" w:eastAsia="PT Astra Serif" w:hAnsi="PT Astra Serif" w:cs="PT Astra Serif"/>
          <w:szCs w:val="28"/>
        </w:rPr>
        <w:t xml:space="preserve"> (далее – центр) – на базе Ульяновского авиационного колледжа – Межрегионального центра компетенций.</w:t>
      </w:r>
    </w:p>
    <w:p w14:paraId="25387DCE" w14:textId="77777777" w:rsidR="00C548A9" w:rsidRPr="00F42725" w:rsidRDefault="00C548A9" w:rsidP="00C548A9">
      <w:pPr>
        <w:widowControl w:val="0"/>
        <w:ind w:left="57" w:right="57" w:firstLine="652"/>
        <w:rPr>
          <w:rFonts w:ascii="PT Astra Serif" w:hAnsi="PT Astra Serif"/>
          <w:szCs w:val="28"/>
        </w:rPr>
      </w:pPr>
      <w:r w:rsidRPr="00F42725">
        <w:rPr>
          <w:rFonts w:ascii="PT Astra Serif" w:hAnsi="PT Astra Serif"/>
          <w:szCs w:val="28"/>
        </w:rPr>
        <w:t xml:space="preserve">Для организации и проведения на базе центра подготовки и повышения квалификации преподавательских кадров из отраслевых колледжей создано </w:t>
      </w:r>
      <w:r>
        <w:rPr>
          <w:rFonts w:ascii="PT Astra Serif" w:hAnsi="PT Astra Serif"/>
          <w:szCs w:val="28"/>
        </w:rPr>
        <w:br/>
      </w:r>
      <w:r w:rsidRPr="00F42725">
        <w:rPr>
          <w:rFonts w:ascii="PT Astra Serif" w:hAnsi="PT Astra Serif"/>
          <w:szCs w:val="28"/>
        </w:rPr>
        <w:t xml:space="preserve">6 зон по видам работ (мастерских). </w:t>
      </w:r>
    </w:p>
    <w:p w14:paraId="033F08A7" w14:textId="77777777" w:rsidR="00C548A9" w:rsidRPr="00F42725" w:rsidRDefault="00C548A9" w:rsidP="00C548A9">
      <w:pPr>
        <w:widowControl w:val="0"/>
        <w:ind w:left="57" w:right="57" w:firstLine="652"/>
        <w:rPr>
          <w:rFonts w:ascii="PT Astra Serif" w:hAnsi="PT Astra Serif"/>
          <w:szCs w:val="28"/>
        </w:rPr>
      </w:pPr>
      <w:r w:rsidRPr="00F42725">
        <w:rPr>
          <w:rFonts w:ascii="PT Astra Serif" w:hAnsi="PT Astra Serif"/>
          <w:szCs w:val="28"/>
        </w:rPr>
        <w:t>Для создания центра привлечено 85 млн. руб. из средств федерального бюджета и по 1 млн. руб</w:t>
      </w:r>
      <w:r>
        <w:rPr>
          <w:rFonts w:ascii="PT Astra Serif" w:hAnsi="PT Astra Serif"/>
          <w:szCs w:val="28"/>
        </w:rPr>
        <w:t>лей</w:t>
      </w:r>
      <w:r w:rsidRPr="00F42725">
        <w:rPr>
          <w:rFonts w:ascii="PT Astra Serif" w:hAnsi="PT Astra Serif"/>
          <w:szCs w:val="28"/>
        </w:rPr>
        <w:t xml:space="preserve"> - средства работодателей авиастроительной </w:t>
      </w:r>
      <w:r>
        <w:rPr>
          <w:rFonts w:ascii="PT Astra Serif" w:hAnsi="PT Astra Serif"/>
          <w:szCs w:val="28"/>
        </w:rPr>
        <w:br/>
      </w:r>
      <w:r w:rsidRPr="00F42725">
        <w:rPr>
          <w:rFonts w:ascii="PT Astra Serif" w:hAnsi="PT Astra Serif"/>
          <w:szCs w:val="28"/>
        </w:rPr>
        <w:t xml:space="preserve">и инновационной транспортной отрасли. </w:t>
      </w:r>
    </w:p>
    <w:p w14:paraId="00F8CFE9" w14:textId="77777777" w:rsidR="00463AF0" w:rsidRPr="00463AF0" w:rsidRDefault="00463AF0" w:rsidP="00463AF0">
      <w:pPr>
        <w:widowControl w:val="0"/>
        <w:ind w:left="57" w:right="57" w:firstLine="652"/>
        <w:rPr>
          <w:rFonts w:ascii="PT Astra Serif" w:hAnsi="PT Astra Serif"/>
          <w:szCs w:val="28"/>
        </w:rPr>
      </w:pPr>
      <w:r w:rsidRPr="00463AF0">
        <w:rPr>
          <w:rFonts w:ascii="PT Astra Serif" w:hAnsi="PT Astra Serif"/>
          <w:szCs w:val="28"/>
        </w:rPr>
        <w:t xml:space="preserve">Индустриальными партнёрами выступили Филиал ПАО «Ил» – Авиастар, ООО «УЗГА-Инжиниринг», ООО «СКБ «Пиранья», ООО «Завод «Сигнал». Сетевыми партнёрами определены 8 колледжей и техникумов Российской Федерации. </w:t>
      </w:r>
    </w:p>
    <w:p w14:paraId="1F778F3B" w14:textId="77777777" w:rsidR="00C548A9" w:rsidRPr="00F42725" w:rsidRDefault="00C548A9" w:rsidP="00C548A9">
      <w:pPr>
        <w:widowControl w:val="0"/>
        <w:ind w:left="57" w:right="57" w:firstLine="851"/>
        <w:rPr>
          <w:rFonts w:ascii="PT Astra Serif" w:hAnsi="PT Astra Serif"/>
          <w:szCs w:val="28"/>
        </w:rPr>
      </w:pPr>
    </w:p>
    <w:p w14:paraId="48BE7F42" w14:textId="77777777" w:rsidR="00C548A9" w:rsidRDefault="00C548A9" w:rsidP="00A52819">
      <w:pPr>
        <w:widowControl w:val="0"/>
        <w:ind w:firstLine="0"/>
        <w:jc w:val="center"/>
        <w:rPr>
          <w:rFonts w:ascii="PT Astra Serif" w:eastAsia="PT Astra Serif" w:hAnsi="PT Astra Serif" w:cs="PT Astra Serif"/>
          <w:b/>
          <w:i/>
          <w:szCs w:val="28"/>
        </w:rPr>
      </w:pPr>
      <w:r w:rsidRPr="006E3528">
        <w:rPr>
          <w:rFonts w:ascii="PT Astra Serif" w:eastAsia="PT Astra Serif" w:hAnsi="PT Astra Serif" w:cs="PT Astra Serif"/>
          <w:b/>
          <w:i/>
          <w:szCs w:val="28"/>
        </w:rPr>
        <w:t>Антитеррористическая безопасность</w:t>
      </w:r>
    </w:p>
    <w:p w14:paraId="4F24E2FD" w14:textId="77777777" w:rsidR="00C548A9" w:rsidRPr="006E3528" w:rsidRDefault="00C548A9" w:rsidP="00C548A9">
      <w:pPr>
        <w:widowControl w:val="0"/>
        <w:ind w:left="142"/>
        <w:jc w:val="center"/>
        <w:rPr>
          <w:rFonts w:ascii="PT Astra Serif" w:eastAsia="PT Astra Serif" w:hAnsi="PT Astra Serif" w:cs="PT Astra Serif"/>
          <w:b/>
          <w:i/>
          <w:szCs w:val="28"/>
        </w:rPr>
      </w:pPr>
    </w:p>
    <w:p w14:paraId="5524DFD9" w14:textId="77777777" w:rsidR="00C548A9" w:rsidRPr="00F42725" w:rsidRDefault="00C548A9" w:rsidP="00C548A9">
      <w:pPr>
        <w:widowControl w:val="0"/>
        <w:rPr>
          <w:rFonts w:ascii="PT Astra Serif" w:eastAsia="PT Astra Serif" w:hAnsi="PT Astra Serif" w:cs="PT Astra Serif"/>
          <w:b/>
          <w:szCs w:val="28"/>
          <w:u w:val="single"/>
        </w:rPr>
      </w:pPr>
      <w:r w:rsidRPr="00F42725">
        <w:rPr>
          <w:rFonts w:ascii="PT Astra Serif" w:eastAsia="PT Astra Serif" w:hAnsi="PT Astra Serif" w:cs="PT Astra Serif"/>
          <w:szCs w:val="28"/>
        </w:rPr>
        <w:t xml:space="preserve">В 2025 году продолжены мероприятия по обеспечению </w:t>
      </w:r>
      <w:r w:rsidRPr="00F42725">
        <w:rPr>
          <w:rFonts w:ascii="PT Astra Serif" w:eastAsia="PT Astra Serif" w:hAnsi="PT Astra Serif" w:cs="PT Astra Serif"/>
          <w:b/>
          <w:szCs w:val="28"/>
        </w:rPr>
        <w:t>антитеррористической защищенности</w:t>
      </w:r>
      <w:r w:rsidRPr="00F42725">
        <w:rPr>
          <w:rFonts w:ascii="PT Astra Serif" w:eastAsia="PT Astra Serif" w:hAnsi="PT Astra Serif" w:cs="PT Astra Serif"/>
          <w:szCs w:val="28"/>
        </w:rPr>
        <w:t xml:space="preserve"> образовательных организаций. </w:t>
      </w:r>
    </w:p>
    <w:p w14:paraId="02AC5CCE" w14:textId="1CA4C6EF" w:rsidR="00C548A9" w:rsidRPr="00F42725" w:rsidRDefault="00C548A9" w:rsidP="00C548A9">
      <w:pPr>
        <w:widowControl w:val="0"/>
        <w:rPr>
          <w:rFonts w:ascii="PT Astra Serif" w:eastAsia="PT Astra Serif" w:hAnsi="PT Astra Serif" w:cs="PT Astra Serif"/>
          <w:b/>
          <w:szCs w:val="28"/>
          <w:u w:val="single"/>
        </w:rPr>
      </w:pPr>
      <w:r w:rsidRPr="00F42725">
        <w:rPr>
          <w:rFonts w:ascii="PT Astra Serif" w:eastAsia="PT Astra Serif" w:hAnsi="PT Astra Serif" w:cs="PT Astra Serif"/>
          <w:szCs w:val="28"/>
        </w:rPr>
        <w:t xml:space="preserve">На выделенные из областного бюджета в рамках Госпрограммы «Развитие и модернизация системы образования Ульяновской области» </w:t>
      </w:r>
      <w:r>
        <w:rPr>
          <w:rFonts w:ascii="PT Astra Serif" w:eastAsia="PT Astra Serif" w:hAnsi="PT Astra Serif" w:cs="PT Astra Serif"/>
          <w:szCs w:val="28"/>
        </w:rPr>
        <w:br/>
      </w:r>
      <w:r w:rsidRPr="00F42725">
        <w:rPr>
          <w:rFonts w:ascii="PT Astra Serif" w:eastAsia="PT Astra Serif" w:hAnsi="PT Astra Serif" w:cs="PT Astra Serif"/>
          <w:szCs w:val="28"/>
        </w:rPr>
        <w:t>в объеме</w:t>
      </w:r>
      <w:r w:rsidRPr="00F42725">
        <w:rPr>
          <w:rFonts w:ascii="PT Astra Serif" w:eastAsia="PT Astra Serif" w:hAnsi="PT Astra Serif" w:cs="PT Astra Serif"/>
          <w:b/>
          <w:szCs w:val="28"/>
        </w:rPr>
        <w:t xml:space="preserve"> 50</w:t>
      </w:r>
      <w:r>
        <w:rPr>
          <w:rFonts w:ascii="PT Astra Serif" w:eastAsia="PT Astra Serif" w:hAnsi="PT Astra Serif" w:cs="PT Astra Serif"/>
          <w:b/>
          <w:szCs w:val="28"/>
        </w:rPr>
        <w:t> </w:t>
      </w:r>
      <w:r w:rsidRPr="00F42725">
        <w:rPr>
          <w:rFonts w:ascii="PT Astra Serif" w:eastAsia="PT Astra Serif" w:hAnsi="PT Astra Serif" w:cs="PT Astra Serif"/>
          <w:b/>
          <w:szCs w:val="28"/>
        </w:rPr>
        <w:t>000,0 тыс. руб</w:t>
      </w:r>
      <w:r w:rsidR="00E31830">
        <w:rPr>
          <w:rFonts w:ascii="PT Astra Serif" w:eastAsia="PT Astra Serif" w:hAnsi="PT Astra Serif" w:cs="PT Astra Serif"/>
          <w:b/>
          <w:szCs w:val="28"/>
        </w:rPr>
        <w:t>лей</w:t>
      </w:r>
      <w:r w:rsidRPr="00F42725">
        <w:rPr>
          <w:rFonts w:ascii="PT Astra Serif" w:eastAsia="PT Astra Serif" w:hAnsi="PT Astra Serif" w:cs="PT Astra Serif"/>
          <w:b/>
          <w:szCs w:val="28"/>
        </w:rPr>
        <w:t xml:space="preserve"> </w:t>
      </w:r>
      <w:r w:rsidRPr="00E31830">
        <w:rPr>
          <w:rFonts w:ascii="PT Astra Serif" w:eastAsia="PT Astra Serif" w:hAnsi="PT Astra Serif" w:cs="PT Astra Serif"/>
          <w:szCs w:val="28"/>
        </w:rPr>
        <w:t>были</w:t>
      </w:r>
      <w:r w:rsidRPr="00F42725">
        <w:rPr>
          <w:rFonts w:ascii="PT Astra Serif" w:eastAsia="PT Astra Serif" w:hAnsi="PT Astra Serif" w:cs="PT Astra Serif"/>
          <w:szCs w:val="28"/>
        </w:rPr>
        <w:t xml:space="preserve"> завершены работы </w:t>
      </w:r>
      <w:r w:rsidRPr="00F42725">
        <w:rPr>
          <w:rFonts w:ascii="PT Astra Serif" w:eastAsia="PT Astra Serif" w:hAnsi="PT Astra Serif" w:cs="PT Astra Serif"/>
          <w:b/>
          <w:szCs w:val="28"/>
        </w:rPr>
        <w:t>на 77 объектах образования</w:t>
      </w:r>
      <w:r w:rsidRPr="00F42725">
        <w:rPr>
          <w:rFonts w:ascii="PT Astra Serif" w:eastAsia="PT Astra Serif" w:hAnsi="PT Astra Serif" w:cs="PT Astra Serif"/>
          <w:szCs w:val="28"/>
        </w:rPr>
        <w:t>:</w:t>
      </w:r>
    </w:p>
    <w:p w14:paraId="2970FD90"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оборудование объектов системами оповещения и управления эвакуацией при угрозе возникновения или возникновении чрезвычайной ситуации (СОУЭ АТЗ) произведено </w:t>
      </w:r>
      <w:r w:rsidRPr="00F42725">
        <w:rPr>
          <w:rFonts w:ascii="PT Astra Serif" w:hAnsi="PT Astra Serif"/>
          <w:b/>
          <w:szCs w:val="28"/>
        </w:rPr>
        <w:t>на 35 объектах</w:t>
      </w:r>
      <w:r w:rsidRPr="00F42725">
        <w:rPr>
          <w:rFonts w:ascii="PT Astra Serif" w:hAnsi="PT Astra Serif"/>
          <w:szCs w:val="28"/>
        </w:rPr>
        <w:t>;</w:t>
      </w:r>
    </w:p>
    <w:p w14:paraId="41551584" w14:textId="77777777" w:rsidR="00463AF0" w:rsidRPr="00463AF0" w:rsidRDefault="00463AF0" w:rsidP="00463AF0">
      <w:pPr>
        <w:widowControl w:val="0"/>
        <w:rPr>
          <w:rFonts w:ascii="PT Astra Serif" w:hAnsi="PT Astra Serif"/>
          <w:szCs w:val="28"/>
        </w:rPr>
      </w:pPr>
      <w:r w:rsidRPr="00463AF0">
        <w:rPr>
          <w:rFonts w:ascii="PT Astra Serif" w:hAnsi="PT Astra Serif"/>
          <w:szCs w:val="28"/>
        </w:rPr>
        <w:t xml:space="preserve">установка или восстановительный ремонт </w:t>
      </w:r>
      <w:proofErr w:type="spellStart"/>
      <w:r w:rsidRPr="00463AF0">
        <w:rPr>
          <w:rFonts w:ascii="PT Astra Serif" w:hAnsi="PT Astra Serif"/>
          <w:szCs w:val="28"/>
        </w:rPr>
        <w:t>периметрального</w:t>
      </w:r>
      <w:proofErr w:type="spellEnd"/>
      <w:r w:rsidRPr="00463AF0">
        <w:rPr>
          <w:rFonts w:ascii="PT Astra Serif" w:hAnsi="PT Astra Serif"/>
          <w:szCs w:val="28"/>
        </w:rPr>
        <w:t xml:space="preserve"> ограждения произведен </w:t>
      </w:r>
      <w:r w:rsidRPr="00463AF0">
        <w:rPr>
          <w:rFonts w:ascii="PT Astra Serif" w:hAnsi="PT Astra Serif"/>
          <w:b/>
          <w:szCs w:val="28"/>
        </w:rPr>
        <w:t>на 20 объектах</w:t>
      </w:r>
      <w:r w:rsidRPr="00463AF0">
        <w:rPr>
          <w:rFonts w:ascii="PT Astra Serif" w:hAnsi="PT Astra Serif"/>
          <w:szCs w:val="28"/>
        </w:rPr>
        <w:t>;</w:t>
      </w:r>
    </w:p>
    <w:p w14:paraId="4A3D3DC8"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оборудование объектов образования СКУД (в </w:t>
      </w:r>
      <w:r>
        <w:rPr>
          <w:rFonts w:ascii="PT Astra Serif" w:hAnsi="PT Astra Serif"/>
          <w:szCs w:val="28"/>
        </w:rPr>
        <w:t>том числе</w:t>
      </w:r>
      <w:r w:rsidRPr="00F42725">
        <w:rPr>
          <w:rFonts w:ascii="PT Astra Serif" w:hAnsi="PT Astra Serif"/>
          <w:szCs w:val="28"/>
        </w:rPr>
        <w:t xml:space="preserve"> турникетами) произведено </w:t>
      </w:r>
      <w:r w:rsidRPr="00F42725">
        <w:rPr>
          <w:rFonts w:ascii="PT Astra Serif" w:hAnsi="PT Astra Serif"/>
          <w:b/>
          <w:szCs w:val="28"/>
        </w:rPr>
        <w:t>на 6 объектах</w:t>
      </w:r>
      <w:r w:rsidRPr="00F42725">
        <w:rPr>
          <w:rFonts w:ascii="PT Astra Serif" w:hAnsi="PT Astra Serif"/>
          <w:szCs w:val="28"/>
        </w:rPr>
        <w:t>;</w:t>
      </w:r>
    </w:p>
    <w:p w14:paraId="2A780995"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ремонт </w:t>
      </w:r>
      <w:proofErr w:type="spellStart"/>
      <w:r w:rsidRPr="00F42725">
        <w:rPr>
          <w:rFonts w:ascii="PT Astra Serif" w:hAnsi="PT Astra Serif"/>
          <w:szCs w:val="28"/>
        </w:rPr>
        <w:t>периметрального</w:t>
      </w:r>
      <w:proofErr w:type="spellEnd"/>
      <w:r w:rsidRPr="00F42725">
        <w:rPr>
          <w:rFonts w:ascii="PT Astra Serif" w:hAnsi="PT Astra Serif"/>
          <w:szCs w:val="28"/>
        </w:rPr>
        <w:t xml:space="preserve"> освещения произведен </w:t>
      </w:r>
      <w:r w:rsidRPr="00F42725">
        <w:rPr>
          <w:rFonts w:ascii="PT Astra Serif" w:hAnsi="PT Astra Serif"/>
          <w:b/>
          <w:szCs w:val="28"/>
        </w:rPr>
        <w:t>на 3 объектах</w:t>
      </w:r>
      <w:r w:rsidRPr="00F42725">
        <w:rPr>
          <w:rFonts w:ascii="PT Astra Serif" w:hAnsi="PT Astra Serif"/>
          <w:szCs w:val="28"/>
        </w:rPr>
        <w:t>;</w:t>
      </w:r>
    </w:p>
    <w:p w14:paraId="5A14707E" w14:textId="6D887B2A" w:rsidR="00C548A9" w:rsidRPr="00F660A1" w:rsidRDefault="00C548A9" w:rsidP="00C548A9">
      <w:pPr>
        <w:widowControl w:val="0"/>
        <w:rPr>
          <w:rFonts w:ascii="PT Astra Serif" w:hAnsi="PT Astra Serif"/>
          <w:spacing w:val="-20"/>
          <w:szCs w:val="28"/>
        </w:rPr>
      </w:pPr>
      <w:r w:rsidRPr="00F42725">
        <w:rPr>
          <w:rFonts w:ascii="PT Astra Serif" w:hAnsi="PT Astra Serif"/>
          <w:szCs w:val="28"/>
        </w:rPr>
        <w:t xml:space="preserve">оборудование средствами снижения скорости произведено </w:t>
      </w:r>
      <w:r w:rsidRPr="00F42725">
        <w:rPr>
          <w:rFonts w:ascii="PT Astra Serif" w:hAnsi="PT Astra Serif"/>
          <w:b/>
          <w:szCs w:val="28"/>
        </w:rPr>
        <w:t xml:space="preserve">на 1 </w:t>
      </w:r>
      <w:r w:rsidRPr="00F660A1">
        <w:rPr>
          <w:rFonts w:ascii="PT Astra Serif" w:hAnsi="PT Astra Serif"/>
          <w:b/>
          <w:spacing w:val="-20"/>
          <w:szCs w:val="28"/>
        </w:rPr>
        <w:t>объекте</w:t>
      </w:r>
      <w:r w:rsidRPr="00F660A1">
        <w:rPr>
          <w:rFonts w:ascii="PT Astra Serif" w:hAnsi="PT Astra Serif"/>
          <w:spacing w:val="-20"/>
          <w:szCs w:val="28"/>
        </w:rPr>
        <w:t>;</w:t>
      </w:r>
    </w:p>
    <w:p w14:paraId="5D2C8A08" w14:textId="77777777" w:rsidR="00C548A9" w:rsidRPr="00F42725" w:rsidRDefault="00C548A9" w:rsidP="00C548A9">
      <w:pPr>
        <w:widowControl w:val="0"/>
        <w:rPr>
          <w:rFonts w:ascii="PT Astra Serif" w:hAnsi="PT Astra Serif"/>
          <w:b/>
          <w:szCs w:val="28"/>
        </w:rPr>
      </w:pPr>
      <w:r w:rsidRPr="00F42725">
        <w:rPr>
          <w:rFonts w:ascii="PT Astra Serif" w:hAnsi="PT Astra Serif"/>
          <w:szCs w:val="28"/>
        </w:rPr>
        <w:t xml:space="preserve">установка КПП и оборудование помещения для охраны произведена </w:t>
      </w:r>
      <w:r w:rsidRPr="00F42725">
        <w:rPr>
          <w:rFonts w:ascii="PT Astra Serif" w:hAnsi="PT Astra Serif"/>
          <w:b/>
          <w:szCs w:val="28"/>
        </w:rPr>
        <w:t>на 5 объектах;</w:t>
      </w:r>
    </w:p>
    <w:p w14:paraId="10B84334"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оборудование объектов образования охранными сигнализациями произведено </w:t>
      </w:r>
      <w:r w:rsidRPr="00F42725">
        <w:rPr>
          <w:rFonts w:ascii="PT Astra Serif" w:hAnsi="PT Astra Serif"/>
          <w:b/>
          <w:szCs w:val="28"/>
        </w:rPr>
        <w:t>на 4 объектах</w:t>
      </w:r>
      <w:r w:rsidRPr="00F42725">
        <w:rPr>
          <w:rFonts w:ascii="PT Astra Serif" w:hAnsi="PT Astra Serif"/>
          <w:szCs w:val="28"/>
        </w:rPr>
        <w:t>;</w:t>
      </w:r>
    </w:p>
    <w:p w14:paraId="07F6E3C2" w14:textId="77777777" w:rsidR="00C548A9" w:rsidRPr="00F42725" w:rsidRDefault="00C548A9" w:rsidP="00C548A9">
      <w:pPr>
        <w:widowControl w:val="0"/>
        <w:rPr>
          <w:rFonts w:ascii="PT Astra Serif" w:hAnsi="PT Astra Serif"/>
          <w:szCs w:val="28"/>
        </w:rPr>
      </w:pPr>
      <w:r w:rsidRPr="00F42725">
        <w:rPr>
          <w:rFonts w:ascii="PT Astra Serif" w:hAnsi="PT Astra Serif"/>
          <w:szCs w:val="28"/>
        </w:rPr>
        <w:t xml:space="preserve">монтаж системы видеонаблюдения </w:t>
      </w:r>
      <w:r w:rsidRPr="00F42725">
        <w:rPr>
          <w:rFonts w:ascii="PT Astra Serif" w:hAnsi="PT Astra Serif"/>
          <w:b/>
          <w:szCs w:val="28"/>
        </w:rPr>
        <w:t>на 3 объектах</w:t>
      </w:r>
      <w:r w:rsidRPr="00F42725">
        <w:rPr>
          <w:rFonts w:ascii="PT Astra Serif" w:hAnsi="PT Astra Serif"/>
          <w:szCs w:val="28"/>
        </w:rPr>
        <w:t>.</w:t>
      </w:r>
    </w:p>
    <w:p w14:paraId="258C2FFE"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t xml:space="preserve">В </w:t>
      </w:r>
      <w:r w:rsidRPr="00F42725">
        <w:rPr>
          <w:rFonts w:ascii="PT Astra Serif" w:eastAsia="PT Astra Serif" w:hAnsi="PT Astra Serif" w:cs="PT Astra Serif"/>
          <w:b/>
          <w:szCs w:val="28"/>
        </w:rPr>
        <w:t>2026</w:t>
      </w:r>
      <w:r w:rsidRPr="00F42725">
        <w:rPr>
          <w:rFonts w:ascii="PT Astra Serif" w:eastAsia="PT Astra Serif" w:hAnsi="PT Astra Serif" w:cs="PT Astra Serif"/>
          <w:szCs w:val="28"/>
        </w:rPr>
        <w:t xml:space="preserve"> году мероприятия по антитеррористической защищенности будут выполнены на </w:t>
      </w:r>
      <w:r w:rsidRPr="00F42725">
        <w:rPr>
          <w:rFonts w:ascii="PT Astra Serif" w:eastAsia="PT Astra Serif" w:hAnsi="PT Astra Serif" w:cs="PT Astra Serif"/>
          <w:b/>
          <w:szCs w:val="28"/>
        </w:rPr>
        <w:t>43</w:t>
      </w:r>
      <w:r w:rsidRPr="00F42725">
        <w:rPr>
          <w:rFonts w:ascii="PT Astra Serif" w:eastAsia="PT Astra Serif" w:hAnsi="PT Astra Serif" w:cs="PT Astra Serif"/>
          <w:szCs w:val="28"/>
        </w:rPr>
        <w:t xml:space="preserve"> объектах образования. На данные цели выделено </w:t>
      </w:r>
      <w:r w:rsidRPr="00F42725">
        <w:rPr>
          <w:rFonts w:ascii="PT Astra Serif" w:eastAsia="PT Astra Serif" w:hAnsi="PT Astra Serif" w:cs="PT Astra Serif"/>
          <w:szCs w:val="28"/>
        </w:rPr>
        <w:br/>
        <w:t xml:space="preserve">из областного бюджета </w:t>
      </w:r>
      <w:r w:rsidRPr="00F42725">
        <w:rPr>
          <w:rFonts w:ascii="PT Astra Serif" w:eastAsia="PT Astra Serif" w:hAnsi="PT Astra Serif" w:cs="PT Astra Serif"/>
          <w:b/>
          <w:szCs w:val="28"/>
        </w:rPr>
        <w:t>35 490,0 тыс. рублей</w:t>
      </w:r>
      <w:r w:rsidRPr="00F42725">
        <w:rPr>
          <w:rFonts w:ascii="PT Astra Serif" w:eastAsia="PT Astra Serif" w:hAnsi="PT Astra Serif" w:cs="PT Astra Serif"/>
          <w:szCs w:val="28"/>
        </w:rPr>
        <w:t>.</w:t>
      </w:r>
    </w:p>
    <w:p w14:paraId="0E19E4B0" w14:textId="77777777" w:rsidR="00C548A9" w:rsidRPr="00F42725" w:rsidRDefault="00C548A9" w:rsidP="00C548A9">
      <w:pPr>
        <w:widowControl w:val="0"/>
        <w:jc w:val="center"/>
        <w:rPr>
          <w:rFonts w:ascii="PT Astra Serif" w:eastAsia="PT Astra Serif" w:hAnsi="PT Astra Serif" w:cs="PT Astra Serif"/>
          <w:b/>
          <w:i/>
          <w:szCs w:val="28"/>
          <w:u w:val="single"/>
        </w:rPr>
      </w:pPr>
    </w:p>
    <w:p w14:paraId="1266FD5F" w14:textId="77777777" w:rsidR="00C548A9" w:rsidRPr="006E3528" w:rsidRDefault="00C548A9" w:rsidP="00C23BDD">
      <w:pPr>
        <w:widowControl w:val="0"/>
        <w:ind w:firstLine="0"/>
        <w:jc w:val="center"/>
        <w:rPr>
          <w:rFonts w:ascii="PT Astra Serif" w:eastAsia="PT Astra Serif" w:hAnsi="PT Astra Serif" w:cs="PT Astra Serif"/>
          <w:b/>
          <w:i/>
          <w:szCs w:val="28"/>
        </w:rPr>
      </w:pPr>
      <w:r w:rsidRPr="006E3528">
        <w:rPr>
          <w:rFonts w:ascii="PT Astra Serif" w:eastAsia="PT Astra Serif" w:hAnsi="PT Astra Serif" w:cs="PT Astra Serif"/>
          <w:b/>
          <w:i/>
          <w:szCs w:val="28"/>
        </w:rPr>
        <w:t>Программа «Школьный автобус»</w:t>
      </w:r>
    </w:p>
    <w:p w14:paraId="1412D94A" w14:textId="77777777" w:rsidR="00C548A9" w:rsidRPr="00F42725" w:rsidRDefault="00C548A9" w:rsidP="00C23BDD">
      <w:pPr>
        <w:widowControl w:val="0"/>
        <w:ind w:firstLine="0"/>
        <w:jc w:val="center"/>
        <w:rPr>
          <w:rFonts w:ascii="PT Astra Serif" w:eastAsia="PT Astra Serif" w:hAnsi="PT Astra Serif" w:cs="PT Astra Serif"/>
          <w:b/>
          <w:i/>
          <w:szCs w:val="28"/>
          <w:u w:val="single"/>
        </w:rPr>
      </w:pPr>
    </w:p>
    <w:p w14:paraId="3226B311" w14:textId="77777777" w:rsidR="00C548A9" w:rsidRPr="00F42725" w:rsidRDefault="00C548A9" w:rsidP="00C548A9">
      <w:pPr>
        <w:widowControl w:val="0"/>
        <w:rPr>
          <w:rFonts w:ascii="PT Astra Serif" w:eastAsia="PT Astra Serif" w:hAnsi="PT Astra Serif" w:cs="PT Astra Serif"/>
          <w:i/>
          <w:szCs w:val="28"/>
        </w:rPr>
      </w:pPr>
      <w:r w:rsidRPr="00F42725">
        <w:rPr>
          <w:rFonts w:ascii="PT Astra Serif" w:eastAsia="PT Astra Serif" w:hAnsi="PT Astra Serif" w:cs="PT Astra Serif"/>
          <w:szCs w:val="28"/>
        </w:rPr>
        <w:t xml:space="preserve">Обеспечена доступность образования для обучающихся в 17 образовательных организациях в рамках федеральной программы обновления </w:t>
      </w:r>
      <w:r w:rsidRPr="00F42725">
        <w:rPr>
          <w:rFonts w:ascii="PT Astra Serif" w:eastAsia="PT Astra Serif" w:hAnsi="PT Astra Serif" w:cs="PT Astra Serif"/>
          <w:szCs w:val="28"/>
        </w:rPr>
        <w:lastRenderedPageBreak/>
        <w:t xml:space="preserve">школьного автобусного парка. В 2025 году в Ульяновскую область были поставлены </w:t>
      </w:r>
      <w:r w:rsidRPr="00F42725">
        <w:rPr>
          <w:rFonts w:ascii="PT Astra Serif" w:eastAsia="PT Astra Serif" w:hAnsi="PT Astra Serif" w:cs="PT Astra Serif"/>
          <w:b/>
          <w:szCs w:val="28"/>
        </w:rPr>
        <w:t>18 школьных современных автобусов</w:t>
      </w:r>
      <w:r w:rsidRPr="00F42725">
        <w:rPr>
          <w:rFonts w:ascii="PT Astra Serif" w:eastAsia="PT Astra Serif" w:hAnsi="PT Astra Serif" w:cs="PT Astra Serif"/>
          <w:szCs w:val="28"/>
        </w:rPr>
        <w:t xml:space="preserve"> </w:t>
      </w:r>
      <w:r w:rsidRPr="00F42725">
        <w:rPr>
          <w:rFonts w:ascii="PT Astra Serif" w:eastAsia="PT Astra Serif" w:hAnsi="PT Astra Serif" w:cs="PT Astra Serif"/>
          <w:i/>
          <w:szCs w:val="28"/>
        </w:rPr>
        <w:t xml:space="preserve">(Газель </w:t>
      </w:r>
      <w:proofErr w:type="spellStart"/>
      <w:r w:rsidRPr="00F42725">
        <w:rPr>
          <w:rFonts w:ascii="PT Astra Serif" w:eastAsia="PT Astra Serif" w:hAnsi="PT Astra Serif" w:cs="PT Astra Serif"/>
          <w:i/>
          <w:szCs w:val="28"/>
        </w:rPr>
        <w:t>Некст</w:t>
      </w:r>
      <w:proofErr w:type="spellEnd"/>
      <w:r w:rsidRPr="00F42725">
        <w:rPr>
          <w:rFonts w:ascii="PT Astra Serif" w:eastAsia="PT Astra Serif" w:hAnsi="PT Astra Serif" w:cs="PT Astra Serif"/>
          <w:i/>
          <w:szCs w:val="28"/>
        </w:rPr>
        <w:t xml:space="preserve"> – 11 ед., ПАЗ – 7 ед.) на общую сумму 58 млн. 174,15 тыс. рублей.</w:t>
      </w:r>
    </w:p>
    <w:p w14:paraId="11B05C16" w14:textId="77777777" w:rsidR="00C548A9" w:rsidRPr="00F42725" w:rsidRDefault="00C548A9" w:rsidP="00C548A9">
      <w:pPr>
        <w:widowControl w:val="0"/>
        <w:rPr>
          <w:rFonts w:ascii="PT Astra Serif" w:eastAsia="PT Astra Serif" w:hAnsi="PT Astra Serif" w:cs="PT Astra Serif"/>
          <w:szCs w:val="28"/>
        </w:rPr>
      </w:pPr>
      <w:r w:rsidRPr="00F42725">
        <w:rPr>
          <w:rFonts w:ascii="PT Astra Serif" w:eastAsia="PT Astra Serif" w:hAnsi="PT Astra Serif" w:cs="PT Astra Serif"/>
          <w:szCs w:val="28"/>
        </w:rPr>
        <w:t>В 2026 году планируе</w:t>
      </w:r>
      <w:r>
        <w:rPr>
          <w:rFonts w:ascii="PT Astra Serif" w:eastAsia="PT Astra Serif" w:hAnsi="PT Astra Serif" w:cs="PT Astra Serif"/>
          <w:szCs w:val="28"/>
        </w:rPr>
        <w:t>тся поставка еще 27 автобусов.</w:t>
      </w:r>
    </w:p>
    <w:p w14:paraId="35C9615B" w14:textId="77777777" w:rsidR="00C548A9" w:rsidRDefault="00C548A9" w:rsidP="00605C2A">
      <w:pPr>
        <w:widowControl w:val="0"/>
        <w:ind w:firstLine="0"/>
        <w:jc w:val="center"/>
        <w:rPr>
          <w:rFonts w:ascii="PT Astra Serif" w:eastAsia="PT Astra Serif" w:hAnsi="PT Astra Serif" w:cs="PT Astra Serif"/>
          <w:b/>
          <w:i/>
          <w:szCs w:val="28"/>
          <w:u w:val="single"/>
        </w:rPr>
      </w:pPr>
    </w:p>
    <w:p w14:paraId="09A89DBA" w14:textId="77777777" w:rsidR="00C548A9" w:rsidRPr="00463AF0" w:rsidRDefault="00C548A9" w:rsidP="00605C2A">
      <w:pPr>
        <w:widowControl w:val="0"/>
        <w:ind w:firstLine="0"/>
        <w:jc w:val="center"/>
        <w:rPr>
          <w:rFonts w:ascii="PT Astra Serif" w:eastAsia="PT Astra Serif" w:hAnsi="PT Astra Serif" w:cs="PT Astra Serif"/>
          <w:b/>
          <w:i/>
          <w:szCs w:val="28"/>
        </w:rPr>
      </w:pPr>
      <w:r w:rsidRPr="00463AF0">
        <w:rPr>
          <w:rFonts w:ascii="PT Astra Serif" w:eastAsia="PT Astra Serif" w:hAnsi="PT Astra Serif" w:cs="PT Astra Serif"/>
          <w:b/>
          <w:i/>
          <w:szCs w:val="28"/>
        </w:rPr>
        <w:t>Летний отдых детей</w:t>
      </w:r>
    </w:p>
    <w:p w14:paraId="24B7AEDB" w14:textId="77777777" w:rsidR="00C548A9" w:rsidRPr="00463AF0" w:rsidRDefault="00C548A9" w:rsidP="00605C2A">
      <w:pPr>
        <w:widowControl w:val="0"/>
        <w:ind w:firstLine="0"/>
        <w:jc w:val="center"/>
        <w:rPr>
          <w:rFonts w:ascii="PT Astra Serif" w:hAnsi="PT Astra Serif" w:cs="Times New Roman"/>
          <w:b/>
          <w:szCs w:val="28"/>
        </w:rPr>
      </w:pPr>
    </w:p>
    <w:p w14:paraId="127CAF0E" w14:textId="77777777" w:rsidR="00463AF0" w:rsidRPr="00463AF0" w:rsidRDefault="00463AF0" w:rsidP="00463AF0">
      <w:pPr>
        <w:widowControl w:val="0"/>
        <w:rPr>
          <w:rFonts w:ascii="PT Astra Serif" w:hAnsi="PT Astra Serif"/>
        </w:rPr>
      </w:pPr>
      <w:r w:rsidRPr="00463AF0">
        <w:rPr>
          <w:rFonts w:ascii="PT Astra Serif" w:hAnsi="PT Astra Serif"/>
        </w:rPr>
        <w:t xml:space="preserve">В Год детского отдыха на территории региона действовали </w:t>
      </w:r>
      <w:r w:rsidRPr="00463AF0">
        <w:rPr>
          <w:rFonts w:ascii="PT Astra Serif" w:hAnsi="PT Astra Serif"/>
        </w:rPr>
        <w:br/>
        <w:t xml:space="preserve">559 организаций отдыха детей и их оздоровления: 369 школьных лагерей </w:t>
      </w:r>
      <w:r w:rsidRPr="00463AF0">
        <w:rPr>
          <w:rFonts w:ascii="PT Astra Serif" w:hAnsi="PT Astra Serif"/>
        </w:rPr>
        <w:br/>
        <w:t xml:space="preserve">с дневным пребыванием, 157 лагерей труда и отдыха, 25 загородных лагерей и 7 палаточных лагерей. Охват всеми типами лагерей в период летней оздоровительной кампании составил 52 665 детей, это 40% от общей численности детей школьного возраста. </w:t>
      </w:r>
    </w:p>
    <w:p w14:paraId="54545C0A" w14:textId="77777777" w:rsidR="00463AF0" w:rsidRPr="00463AF0" w:rsidRDefault="00463AF0" w:rsidP="00463AF0">
      <w:pPr>
        <w:widowControl w:val="0"/>
        <w:rPr>
          <w:rFonts w:ascii="PT Astra Serif" w:hAnsi="PT Astra Serif"/>
        </w:rPr>
      </w:pPr>
      <w:r w:rsidRPr="00463AF0">
        <w:rPr>
          <w:rFonts w:ascii="PT Astra Serif" w:hAnsi="PT Astra Serif"/>
        </w:rPr>
        <w:t>По бесплатным путёвкам в детских лагерях (школьных и загородных) отдохнули 15 216 детей в трудной жизненной ситуации, детей из многодетных семей и 1 507 детей из семей участников СВО и погибших участников СВО.</w:t>
      </w:r>
    </w:p>
    <w:p w14:paraId="435BCF10" w14:textId="77777777" w:rsidR="00463AF0" w:rsidRPr="00463AF0" w:rsidRDefault="00463AF0" w:rsidP="00463AF0">
      <w:pPr>
        <w:widowControl w:val="0"/>
        <w:rPr>
          <w:rFonts w:ascii="PT Astra Serif" w:hAnsi="PT Astra Serif"/>
        </w:rPr>
      </w:pPr>
      <w:r w:rsidRPr="00463AF0">
        <w:rPr>
          <w:rFonts w:ascii="PT Astra Serif" w:hAnsi="PT Astra Serif"/>
        </w:rPr>
        <w:t xml:space="preserve">Также был организован отдых 470 детей с подшефной территории Луганской Народной Республики в детском оздоровительном лагере «Жемчужина» (г. Евпатория). </w:t>
      </w:r>
    </w:p>
    <w:p w14:paraId="34237414" w14:textId="3BB8760E" w:rsidR="00463AF0" w:rsidRPr="00463AF0" w:rsidRDefault="00463AF0" w:rsidP="00463AF0">
      <w:pPr>
        <w:widowControl w:val="0"/>
        <w:rPr>
          <w:rFonts w:ascii="PT Astra Serif" w:hAnsi="PT Astra Serif"/>
        </w:rPr>
      </w:pPr>
      <w:r w:rsidRPr="00463AF0">
        <w:rPr>
          <w:rFonts w:ascii="PT Astra Serif" w:hAnsi="PT Astra Serif"/>
        </w:rPr>
        <w:t xml:space="preserve">Участие в федеральном проекте «Создание условий для обучения, отдыха и оздоровления детей и молодёжи» позволяет создавать новые места </w:t>
      </w:r>
      <w:r w:rsidRPr="00463AF0">
        <w:rPr>
          <w:rFonts w:ascii="PT Astra Serif" w:hAnsi="PT Astra Serif"/>
        </w:rPr>
        <w:br/>
        <w:t>в детских лагерях региона, в том числе для детей-инвалидов, повысить качество услуги детского отдыха, создать условия для реализации инициатив детских общественных объединений региона. В 2025 году благодаря участию в федеральном проекте на территории двух муниципальных детских центров г.</w:t>
      </w:r>
      <w:r>
        <w:rPr>
          <w:rFonts w:ascii="PT Astra Serif" w:hAnsi="PT Astra Serif"/>
        </w:rPr>
        <w:t xml:space="preserve"> </w:t>
      </w:r>
      <w:r w:rsidRPr="00463AF0">
        <w:rPr>
          <w:rFonts w:ascii="PT Astra Serif" w:hAnsi="PT Astra Serif"/>
        </w:rPr>
        <w:t xml:space="preserve">Ульяновска им. Деева и «Огонёк» возведены два новых современных корпуса общей мощностью 88 мест. </w:t>
      </w:r>
    </w:p>
    <w:p w14:paraId="4F28DFE2" w14:textId="1CD25EFA" w:rsidR="00463AF0" w:rsidRPr="00463AF0" w:rsidRDefault="00463AF0" w:rsidP="00463AF0">
      <w:pPr>
        <w:widowControl w:val="0"/>
        <w:rPr>
          <w:rFonts w:ascii="PT Astra Serif" w:hAnsi="PT Astra Serif"/>
        </w:rPr>
      </w:pPr>
      <w:r w:rsidRPr="00463AF0">
        <w:rPr>
          <w:rFonts w:ascii="PT Astra Serif" w:hAnsi="PT Astra Serif"/>
        </w:rPr>
        <w:t xml:space="preserve">В текущем году в рамках этого же проекта в Детском оздоровительно образовательном центре им. Деева будет возведён ещё один новый корпус на 46 мест. </w:t>
      </w:r>
    </w:p>
    <w:p w14:paraId="6E21B8EA" w14:textId="1A8BC904" w:rsidR="00463AF0" w:rsidRPr="00463AF0" w:rsidRDefault="00463AF0" w:rsidP="00463AF0">
      <w:pPr>
        <w:widowControl w:val="0"/>
        <w:rPr>
          <w:rFonts w:ascii="PT Astra Serif" w:hAnsi="PT Astra Serif"/>
        </w:rPr>
      </w:pPr>
      <w:r w:rsidRPr="00463AF0">
        <w:rPr>
          <w:rFonts w:ascii="PT Astra Serif" w:hAnsi="PT Astra Serif"/>
        </w:rPr>
        <w:t xml:space="preserve">Участие региона в федеральном проекте позволило увеличить за 2 года общую проектную мощность загородных лагерей на 134 места и увеличить количество оздоровленных детей за этот период на 2 тысячи. </w:t>
      </w:r>
    </w:p>
    <w:p w14:paraId="1EBFE4B7" w14:textId="77777777" w:rsidR="00463AF0" w:rsidRPr="00463AF0" w:rsidRDefault="00463AF0" w:rsidP="00463AF0">
      <w:pPr>
        <w:widowControl w:val="0"/>
        <w:rPr>
          <w:rFonts w:ascii="PT Astra Serif" w:hAnsi="PT Astra Serif"/>
        </w:rPr>
      </w:pPr>
      <w:r w:rsidRPr="00463AF0">
        <w:rPr>
          <w:rFonts w:ascii="PT Astra Serif" w:hAnsi="PT Astra Serif"/>
        </w:rPr>
        <w:t xml:space="preserve">В 2025 году по итогам Всероссийского смотра-конкурса в сфере организации отдыха и оздоровления детей удалось сохранить вторую позицию в рейтинге субъектов Приволжского федерального округа. По итогам Всероссийского конкурса «Лучший лагерь России - 2025» Детский оздоровительный лагерь «Волжанка» стал победителем конкурса, войдя </w:t>
      </w:r>
      <w:r w:rsidRPr="00463AF0">
        <w:rPr>
          <w:rFonts w:ascii="PT Astra Serif" w:hAnsi="PT Astra Serif"/>
        </w:rPr>
        <w:br/>
        <w:t>в ТОП 10 лагерей России.</w:t>
      </w:r>
    </w:p>
    <w:p w14:paraId="42B61620" w14:textId="77777777" w:rsidR="00463AF0" w:rsidRPr="00463AF0" w:rsidRDefault="00463AF0" w:rsidP="00463AF0">
      <w:pPr>
        <w:widowControl w:val="0"/>
        <w:rPr>
          <w:rFonts w:ascii="PT Astra Serif" w:hAnsi="PT Astra Serif"/>
        </w:rPr>
      </w:pPr>
      <w:r w:rsidRPr="00463AF0">
        <w:rPr>
          <w:rFonts w:ascii="PT Astra Serif" w:hAnsi="PT Astra Serif"/>
        </w:rPr>
        <w:t>Одна из приоритетных задач летней оздоровительной кампании – обеспечение максимальной доступности отдыха в детских лагерях и развитие инфраструктуры детского отдыха в каждом муниципальном образовании.</w:t>
      </w:r>
    </w:p>
    <w:p w14:paraId="19FE3461" w14:textId="19C3B991" w:rsidR="00C548A9" w:rsidRDefault="00C548A9" w:rsidP="00463AF0">
      <w:pPr>
        <w:widowControl w:val="0"/>
        <w:rPr>
          <w:rFonts w:ascii="PT Astra Serif" w:eastAsia="PT Astra Serif" w:hAnsi="PT Astra Serif" w:cs="PT Astra Serif"/>
          <w:szCs w:val="28"/>
        </w:rPr>
      </w:pPr>
    </w:p>
    <w:p w14:paraId="04B2B1C5" w14:textId="34ABC043" w:rsidR="00605C2A" w:rsidRDefault="00605C2A" w:rsidP="00463AF0">
      <w:pPr>
        <w:widowControl w:val="0"/>
        <w:rPr>
          <w:rFonts w:ascii="PT Astra Serif" w:eastAsia="PT Astra Serif" w:hAnsi="PT Astra Serif" w:cs="PT Astra Serif"/>
          <w:szCs w:val="28"/>
        </w:rPr>
      </w:pPr>
    </w:p>
    <w:p w14:paraId="3BFB8B4E" w14:textId="77777777" w:rsidR="00605C2A" w:rsidRDefault="00605C2A" w:rsidP="00463AF0">
      <w:pPr>
        <w:widowControl w:val="0"/>
        <w:rPr>
          <w:rFonts w:ascii="PT Astra Serif" w:eastAsia="PT Astra Serif" w:hAnsi="PT Astra Serif" w:cs="PT Astra Serif"/>
          <w:szCs w:val="28"/>
        </w:rPr>
      </w:pPr>
    </w:p>
    <w:p w14:paraId="482C3FBC" w14:textId="77777777" w:rsidR="00C548A9" w:rsidRPr="00463AF0" w:rsidRDefault="00C548A9" w:rsidP="00463AF0">
      <w:pPr>
        <w:widowControl w:val="0"/>
        <w:tabs>
          <w:tab w:val="left" w:pos="0"/>
        </w:tabs>
        <w:ind w:firstLine="0"/>
        <w:jc w:val="center"/>
        <w:rPr>
          <w:rFonts w:ascii="PT Astra Serif" w:eastAsia="PT Astra Serif" w:hAnsi="PT Astra Serif" w:cs="PT Astra Serif"/>
          <w:b/>
          <w:szCs w:val="28"/>
        </w:rPr>
      </w:pPr>
      <w:r w:rsidRPr="00463AF0">
        <w:rPr>
          <w:rFonts w:ascii="PT Astra Serif" w:eastAsia="PT Astra Serif" w:hAnsi="PT Astra Serif" w:cs="PT Astra Serif"/>
          <w:b/>
          <w:szCs w:val="28"/>
        </w:rPr>
        <w:lastRenderedPageBreak/>
        <w:t>Основные задачи и риски 2026 года</w:t>
      </w:r>
    </w:p>
    <w:p w14:paraId="6495E89C" w14:textId="77777777" w:rsidR="00C548A9" w:rsidRPr="00463AF0" w:rsidRDefault="00C548A9" w:rsidP="00463AF0">
      <w:pPr>
        <w:widowControl w:val="0"/>
        <w:rPr>
          <w:rFonts w:ascii="PT Astra Serif" w:hAnsi="PT Astra Serif"/>
          <w:szCs w:val="28"/>
        </w:rPr>
      </w:pPr>
    </w:p>
    <w:p w14:paraId="6609964A"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В 2026 году деятельность Министерства просвещения и воспитания Ульяновской области будет направлена на:</w:t>
      </w:r>
    </w:p>
    <w:p w14:paraId="18D78B1F"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реализацию мероприятий нацпроекта «Молодёжь и дети»;</w:t>
      </w:r>
    </w:p>
    <w:p w14:paraId="2000EFDE"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реализацию нацпроекта «Семья»;</w:t>
      </w:r>
    </w:p>
    <w:p w14:paraId="5EFED5B0"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реализацию нацпроекта «Экономика данных и цифровая трансформация государства»;</w:t>
      </w:r>
    </w:p>
    <w:p w14:paraId="7158AA0F"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реализацию нацпроекта «Эффективная и конкурентная экономика»;</w:t>
      </w:r>
    </w:p>
    <w:p w14:paraId="7180FB94"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участие в федеральном проекте «Создание условий для обучения, отдыха и оздоровления детей и молодёжи (Ульяновская область)».</w:t>
      </w:r>
    </w:p>
    <w:p w14:paraId="7C405FF6" w14:textId="77777777" w:rsidR="00C548A9" w:rsidRPr="00463AF0" w:rsidRDefault="00C548A9" w:rsidP="00463AF0">
      <w:pPr>
        <w:widowControl w:val="0"/>
        <w:rPr>
          <w:rFonts w:ascii="PT Astra Serif" w:hAnsi="PT Astra Serif"/>
          <w:szCs w:val="28"/>
        </w:rPr>
      </w:pPr>
      <w:r w:rsidRPr="00463AF0">
        <w:rPr>
          <w:rFonts w:ascii="PT Astra Serif" w:hAnsi="PT Astra Serif"/>
          <w:b/>
          <w:bCs/>
          <w:szCs w:val="28"/>
        </w:rPr>
        <w:t xml:space="preserve">Реализация национального проекта </w:t>
      </w:r>
      <w:hyperlink r:id="rId10" w:history="1">
        <w:r w:rsidRPr="00E31830">
          <w:rPr>
            <w:rFonts w:ascii="PT Astra Serif" w:hAnsi="PT Astra Serif"/>
            <w:b/>
            <w:szCs w:val="28"/>
          </w:rPr>
          <w:t>«Молодёжь и дети»</w:t>
        </w:r>
      </w:hyperlink>
      <w:r w:rsidRPr="00463AF0">
        <w:rPr>
          <w:rFonts w:ascii="PT Astra Serif" w:hAnsi="PT Astra Serif"/>
          <w:szCs w:val="28"/>
        </w:rPr>
        <w:t>, цель которого – создание возможностей для развития талантов и самореализации молодых людей, воспитания ответственного и высоконравственного человека:</w:t>
      </w:r>
    </w:p>
    <w:p w14:paraId="4CAE62AB"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 xml:space="preserve">строительство новой школы в </w:t>
      </w:r>
      <w:proofErr w:type="spellStart"/>
      <w:r w:rsidRPr="00463AF0">
        <w:rPr>
          <w:rFonts w:ascii="PT Astra Serif" w:hAnsi="PT Astra Serif"/>
          <w:szCs w:val="28"/>
        </w:rPr>
        <w:t>п.г.т</w:t>
      </w:r>
      <w:proofErr w:type="spellEnd"/>
      <w:r w:rsidRPr="00463AF0">
        <w:rPr>
          <w:rFonts w:ascii="PT Astra Serif" w:hAnsi="PT Astra Serif"/>
          <w:szCs w:val="28"/>
        </w:rPr>
        <w:t>. Мулловка Мелекесского района (2025-2027 года);</w:t>
      </w:r>
    </w:p>
    <w:p w14:paraId="590C0F2A"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проведение капитального ремонта в 2026 году 41 здания общеобразовательных организаций (из них 5 школ со сроком ввода в 2027 году);</w:t>
      </w:r>
    </w:p>
    <w:p w14:paraId="3EAE9E51"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 xml:space="preserve">закупка оборудования для </w:t>
      </w:r>
      <w:r w:rsidRPr="00463AF0">
        <w:rPr>
          <w:rFonts w:ascii="PT Astra Serif" w:eastAsia="Times New Roman" w:hAnsi="PT Astra Serif"/>
          <w:szCs w:val="28"/>
        </w:rPr>
        <w:t xml:space="preserve">оснащения 132 школ по предметам ИЗО, Музыка и Физика </w:t>
      </w:r>
      <w:r w:rsidRPr="00463AF0">
        <w:rPr>
          <w:rFonts w:ascii="PT Astra Serif" w:hAnsi="PT Astra Serif"/>
          <w:szCs w:val="28"/>
        </w:rPr>
        <w:t>(37% школ от общего количества);</w:t>
      </w:r>
    </w:p>
    <w:p w14:paraId="71B28F5A" w14:textId="77777777" w:rsidR="00463AF0" w:rsidRPr="00463AF0" w:rsidRDefault="00463AF0" w:rsidP="00463AF0">
      <w:pPr>
        <w:widowControl w:val="0"/>
        <w:contextualSpacing/>
        <w:rPr>
          <w:rFonts w:ascii="PT Astra Serif" w:hAnsi="PT Astra Serif"/>
          <w:szCs w:val="28"/>
        </w:rPr>
      </w:pPr>
      <w:r w:rsidRPr="00463AF0">
        <w:rPr>
          <w:rFonts w:ascii="PT Astra Serif" w:hAnsi="PT Astra Serif"/>
        </w:rPr>
        <w:t>проведение капитального ремонта 7 учебных корпусов в:</w:t>
      </w:r>
    </w:p>
    <w:p w14:paraId="2BAFC26E" w14:textId="77777777" w:rsidR="00C548A9" w:rsidRPr="00463AF0" w:rsidRDefault="00C548A9" w:rsidP="00463AF0">
      <w:pPr>
        <w:widowControl w:val="0"/>
        <w:rPr>
          <w:rFonts w:ascii="PT Astra Serif" w:eastAsia="Times New Roman" w:hAnsi="PT Astra Serif"/>
          <w:i/>
          <w:szCs w:val="28"/>
        </w:rPr>
      </w:pPr>
      <w:r w:rsidRPr="00463AF0">
        <w:rPr>
          <w:rFonts w:ascii="PT Astra Serif" w:eastAsia="Times New Roman" w:hAnsi="PT Astra Serif"/>
          <w:i/>
          <w:szCs w:val="28"/>
        </w:rPr>
        <w:t>ОГАПОУ «УАВИАК-МЦК» учебный лабораторный корпус;</w:t>
      </w:r>
    </w:p>
    <w:p w14:paraId="10C2BCEC" w14:textId="77777777" w:rsidR="00C548A9" w:rsidRPr="00463AF0" w:rsidRDefault="00C548A9" w:rsidP="00463AF0">
      <w:pPr>
        <w:widowControl w:val="0"/>
        <w:rPr>
          <w:rFonts w:ascii="PT Astra Serif" w:hAnsi="PT Astra Serif"/>
          <w:i/>
          <w:szCs w:val="28"/>
        </w:rPr>
      </w:pPr>
      <w:r w:rsidRPr="00463AF0">
        <w:rPr>
          <w:rFonts w:ascii="PT Astra Serif" w:eastAsia="Times New Roman" w:hAnsi="PT Astra Serif"/>
          <w:i/>
          <w:szCs w:val="28"/>
        </w:rPr>
        <w:t xml:space="preserve">ОГБПОУ </w:t>
      </w:r>
      <w:proofErr w:type="spellStart"/>
      <w:r w:rsidRPr="00463AF0">
        <w:rPr>
          <w:rFonts w:ascii="PT Astra Serif" w:eastAsia="Times New Roman" w:hAnsi="PT Astra Serif"/>
          <w:i/>
          <w:szCs w:val="28"/>
        </w:rPr>
        <w:t>НовТТ</w:t>
      </w:r>
      <w:proofErr w:type="spellEnd"/>
      <w:r w:rsidRPr="00463AF0">
        <w:rPr>
          <w:rFonts w:ascii="PT Astra Serif" w:eastAsia="Times New Roman" w:hAnsi="PT Astra Serif"/>
          <w:i/>
          <w:szCs w:val="28"/>
        </w:rPr>
        <w:t xml:space="preserve"> лабораторно-производственное здание и учебный корпус;</w:t>
      </w:r>
    </w:p>
    <w:p w14:paraId="19D65DBD" w14:textId="77777777" w:rsidR="00C548A9" w:rsidRPr="00463AF0" w:rsidRDefault="00C548A9" w:rsidP="00463AF0">
      <w:pPr>
        <w:widowControl w:val="0"/>
        <w:rPr>
          <w:rFonts w:ascii="PT Astra Serif" w:hAnsi="PT Astra Serif"/>
          <w:i/>
          <w:szCs w:val="28"/>
        </w:rPr>
      </w:pPr>
      <w:r w:rsidRPr="00463AF0">
        <w:rPr>
          <w:rFonts w:ascii="PT Astra Serif" w:eastAsia="Times New Roman" w:hAnsi="PT Astra Serif"/>
          <w:i/>
          <w:szCs w:val="28"/>
        </w:rPr>
        <w:t>ОГБПОУ УТОТИД учебный корпус;</w:t>
      </w:r>
    </w:p>
    <w:p w14:paraId="4FD6D162" w14:textId="77777777" w:rsidR="00C548A9" w:rsidRPr="00463AF0" w:rsidRDefault="00C548A9" w:rsidP="00463AF0">
      <w:pPr>
        <w:widowControl w:val="0"/>
        <w:rPr>
          <w:rFonts w:ascii="PT Astra Serif" w:hAnsi="PT Astra Serif"/>
          <w:i/>
          <w:szCs w:val="28"/>
        </w:rPr>
      </w:pPr>
      <w:r w:rsidRPr="00463AF0">
        <w:rPr>
          <w:rFonts w:ascii="PT Astra Serif" w:eastAsia="Times New Roman" w:hAnsi="PT Astra Serif"/>
          <w:i/>
          <w:szCs w:val="28"/>
        </w:rPr>
        <w:t>ОГБПОУ ДТК 2 учебных корпуса (корпус № 1 и корпус № 3);</w:t>
      </w:r>
    </w:p>
    <w:p w14:paraId="7F2B7F81" w14:textId="77777777" w:rsidR="00C548A9" w:rsidRPr="00463AF0" w:rsidRDefault="00C548A9" w:rsidP="00463AF0">
      <w:pPr>
        <w:widowControl w:val="0"/>
        <w:rPr>
          <w:rFonts w:ascii="PT Astra Serif" w:hAnsi="PT Astra Serif"/>
          <w:i/>
          <w:szCs w:val="28"/>
        </w:rPr>
      </w:pPr>
      <w:r w:rsidRPr="00463AF0">
        <w:rPr>
          <w:rFonts w:ascii="PT Astra Serif" w:eastAsia="Times New Roman" w:hAnsi="PT Astra Serif"/>
          <w:i/>
          <w:szCs w:val="28"/>
        </w:rPr>
        <w:t>ОГБПОУ УТЖТ здание корпуса теоретических занятий.</w:t>
      </w:r>
    </w:p>
    <w:p w14:paraId="42C76F13"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 xml:space="preserve">Для снижение кадрового дефицита учителей в общеобразовательных организациях предусмотрены </w:t>
      </w:r>
      <w:r w:rsidRPr="00463AF0">
        <w:rPr>
          <w:rFonts w:ascii="PT Astra Serif" w:hAnsi="PT Astra Serif"/>
          <w:b/>
          <w:bCs/>
          <w:szCs w:val="28"/>
        </w:rPr>
        <w:t>ежемесячные выплаты</w:t>
      </w:r>
      <w:r w:rsidRPr="00463AF0">
        <w:rPr>
          <w:rFonts w:ascii="PT Astra Serif" w:hAnsi="PT Astra Serif"/>
          <w:szCs w:val="28"/>
        </w:rPr>
        <w:t>:</w:t>
      </w:r>
    </w:p>
    <w:p w14:paraId="77FD0570"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 xml:space="preserve">по обеспечению деятельности советников директора по воспитанию </w:t>
      </w:r>
      <w:r w:rsidRPr="00463AF0">
        <w:rPr>
          <w:rFonts w:ascii="PT Astra Serif" w:hAnsi="PT Astra Serif"/>
          <w:szCs w:val="28"/>
        </w:rPr>
        <w:br/>
        <w:t xml:space="preserve">и взаимодействию с детскими общественными объединениями в школах </w:t>
      </w:r>
      <w:r w:rsidRPr="00463AF0">
        <w:rPr>
          <w:rFonts w:ascii="PT Astra Serif" w:hAnsi="PT Astra Serif"/>
          <w:szCs w:val="28"/>
        </w:rPr>
        <w:br/>
        <w:t>и учреждениях профессионального образования;</w:t>
      </w:r>
    </w:p>
    <w:p w14:paraId="40C69C36"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денежного вознаграждения за классное руководство/кураторство педагогам школ и учреждений СПО;</w:t>
      </w:r>
    </w:p>
    <w:p w14:paraId="1E63ADA5" w14:textId="77777777" w:rsidR="00C548A9" w:rsidRPr="00463AF0" w:rsidRDefault="00C548A9" w:rsidP="00463AF0">
      <w:pPr>
        <w:widowControl w:val="0"/>
        <w:rPr>
          <w:rFonts w:ascii="PT Astra Serif" w:hAnsi="PT Astra Serif"/>
          <w:szCs w:val="28"/>
        </w:rPr>
      </w:pPr>
      <w:r w:rsidRPr="00463AF0">
        <w:rPr>
          <w:rFonts w:ascii="PT Astra Serif" w:hAnsi="PT Astra Serif"/>
          <w:szCs w:val="28"/>
        </w:rPr>
        <w:t>единовременные компенсационные выплаты 10 учителям в рамках реализации программы «Земский учитель».</w:t>
      </w:r>
    </w:p>
    <w:p w14:paraId="7109473D" w14:textId="77777777" w:rsidR="00C548A9" w:rsidRPr="00463AF0" w:rsidRDefault="00C548A9" w:rsidP="00463AF0">
      <w:pPr>
        <w:widowControl w:val="0"/>
        <w:rPr>
          <w:rFonts w:ascii="PT Astra Serif" w:hAnsi="PT Astra Serif"/>
          <w:szCs w:val="28"/>
        </w:rPr>
      </w:pPr>
      <w:r w:rsidRPr="00463AF0">
        <w:rPr>
          <w:rFonts w:ascii="PT Astra Serif" w:hAnsi="PT Astra Serif"/>
          <w:b/>
          <w:bCs/>
          <w:szCs w:val="28"/>
        </w:rPr>
        <w:t xml:space="preserve">Реализация национального проекта </w:t>
      </w:r>
      <w:r w:rsidRPr="00E31830">
        <w:rPr>
          <w:rFonts w:ascii="PT Astra Serif" w:hAnsi="PT Astra Serif"/>
          <w:b/>
          <w:szCs w:val="28"/>
        </w:rPr>
        <w:t>«Семья»</w:t>
      </w:r>
      <w:r w:rsidRPr="00463AF0">
        <w:rPr>
          <w:rFonts w:ascii="PT Astra Serif" w:hAnsi="PT Astra Serif"/>
          <w:szCs w:val="28"/>
        </w:rPr>
        <w:t xml:space="preserve">, цель которого – </w:t>
      </w:r>
      <w:r w:rsidRPr="00463AF0">
        <w:rPr>
          <w:rFonts w:ascii="PT Astra Serif" w:hAnsi="PT Astra Serif" w:cs="Arial"/>
          <w:szCs w:val="28"/>
          <w:shd w:val="clear" w:color="auto" w:fill="FFFFFF"/>
        </w:rPr>
        <w:t>увеличить число семей с детьми, в том числе многодетных, а также укрепить традиционные семейные ценности</w:t>
      </w:r>
      <w:r w:rsidRPr="00463AF0">
        <w:rPr>
          <w:rFonts w:ascii="PT Astra Serif" w:hAnsi="PT Astra Serif"/>
          <w:szCs w:val="28"/>
        </w:rPr>
        <w:t>:</w:t>
      </w:r>
    </w:p>
    <w:p w14:paraId="0BFEE720"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проведение капитального ремонта в 6 детских садах</w:t>
      </w:r>
    </w:p>
    <w:p w14:paraId="4CF562C2"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t>МБДОУ Николаевский детский сад «Солнышко»;</w:t>
      </w:r>
    </w:p>
    <w:p w14:paraId="7CDA85CA"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t>МДОУ Новоспасский д/с № 5;</w:t>
      </w:r>
    </w:p>
    <w:p w14:paraId="664B8400"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t>МДОУ Старокулаткинский детский сад № 1 «</w:t>
      </w:r>
      <w:proofErr w:type="spellStart"/>
      <w:r w:rsidRPr="00463AF0">
        <w:rPr>
          <w:rFonts w:ascii="PT Astra Serif" w:hAnsi="PT Astra Serif"/>
          <w:i/>
          <w:szCs w:val="28"/>
        </w:rPr>
        <w:t>Гульчачак</w:t>
      </w:r>
      <w:proofErr w:type="spellEnd"/>
      <w:r w:rsidRPr="00463AF0">
        <w:rPr>
          <w:rFonts w:ascii="PT Astra Serif" w:hAnsi="PT Astra Serif"/>
          <w:i/>
          <w:szCs w:val="28"/>
        </w:rPr>
        <w:t>»;</w:t>
      </w:r>
    </w:p>
    <w:p w14:paraId="7A13EA4F"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t xml:space="preserve">МБДОУ ДС № 3 «Алёнушка» (г. Барыш); </w:t>
      </w:r>
    </w:p>
    <w:p w14:paraId="6910D1A2"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lastRenderedPageBreak/>
        <w:t>МБДОУ детский сад № 123 «Радужка» (</w:t>
      </w:r>
      <w:proofErr w:type="spellStart"/>
      <w:r w:rsidRPr="00463AF0">
        <w:rPr>
          <w:rFonts w:ascii="PT Astra Serif" w:hAnsi="PT Astra Serif"/>
          <w:i/>
          <w:szCs w:val="28"/>
        </w:rPr>
        <w:t>г.Ульяновск</w:t>
      </w:r>
      <w:proofErr w:type="spellEnd"/>
      <w:r w:rsidRPr="00463AF0">
        <w:rPr>
          <w:rFonts w:ascii="PT Astra Serif" w:hAnsi="PT Astra Serif"/>
          <w:i/>
          <w:szCs w:val="28"/>
        </w:rPr>
        <w:t>);</w:t>
      </w:r>
    </w:p>
    <w:p w14:paraId="45471449" w14:textId="77777777" w:rsidR="00C548A9" w:rsidRPr="00463AF0" w:rsidRDefault="00C548A9" w:rsidP="00463AF0">
      <w:pPr>
        <w:widowControl w:val="0"/>
        <w:shd w:val="clear" w:color="auto" w:fill="FFFFFF"/>
        <w:contextualSpacing/>
        <w:rPr>
          <w:rFonts w:ascii="PT Astra Serif" w:hAnsi="PT Astra Serif"/>
          <w:i/>
          <w:szCs w:val="28"/>
        </w:rPr>
      </w:pPr>
      <w:r w:rsidRPr="00463AF0">
        <w:rPr>
          <w:rFonts w:ascii="PT Astra Serif" w:hAnsi="PT Astra Serif"/>
          <w:i/>
          <w:szCs w:val="28"/>
        </w:rPr>
        <w:t>МБДОУ «Детский сад № 47 «</w:t>
      </w:r>
      <w:proofErr w:type="spellStart"/>
      <w:r w:rsidRPr="00463AF0">
        <w:rPr>
          <w:rFonts w:ascii="PT Astra Serif" w:hAnsi="PT Astra Serif"/>
          <w:i/>
          <w:szCs w:val="28"/>
        </w:rPr>
        <w:t>Веселинка</w:t>
      </w:r>
      <w:proofErr w:type="spellEnd"/>
      <w:r w:rsidRPr="00463AF0">
        <w:rPr>
          <w:rFonts w:ascii="PT Astra Serif" w:hAnsi="PT Astra Serif"/>
          <w:i/>
          <w:szCs w:val="28"/>
        </w:rPr>
        <w:t>» (г. Димитровград)</w:t>
      </w:r>
      <w:r w:rsidRPr="00463AF0">
        <w:rPr>
          <w:rFonts w:ascii="PT Astra Serif" w:hAnsi="PT Astra Serif"/>
          <w:szCs w:val="28"/>
        </w:rPr>
        <w:t>;</w:t>
      </w:r>
    </w:p>
    <w:p w14:paraId="52E20597"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создание 950 групп продлённого дня для обучающихся 1-4-х классов.</w:t>
      </w:r>
    </w:p>
    <w:p w14:paraId="43FD603A" w14:textId="77777777" w:rsidR="00C548A9" w:rsidRPr="00463AF0" w:rsidRDefault="00C548A9" w:rsidP="00463AF0">
      <w:pPr>
        <w:widowControl w:val="0"/>
        <w:rPr>
          <w:rFonts w:ascii="PT Astra Serif" w:hAnsi="PT Astra Serif" w:cs="Arial"/>
          <w:szCs w:val="28"/>
          <w:shd w:val="clear" w:color="auto" w:fill="FFFFFF"/>
        </w:rPr>
      </w:pPr>
      <w:r w:rsidRPr="00463AF0">
        <w:rPr>
          <w:rFonts w:ascii="PT Astra Serif" w:hAnsi="PT Astra Serif"/>
          <w:b/>
          <w:szCs w:val="28"/>
        </w:rPr>
        <w:t xml:space="preserve">Реализация нацпроекта «Экономика данных и цифровая трансформация государства», </w:t>
      </w:r>
      <w:r w:rsidRPr="00463AF0">
        <w:rPr>
          <w:rFonts w:ascii="PT Astra Serif" w:hAnsi="PT Astra Serif"/>
          <w:szCs w:val="28"/>
        </w:rPr>
        <w:t xml:space="preserve">цель которого </w:t>
      </w:r>
      <w:r w:rsidRPr="00463AF0">
        <w:rPr>
          <w:rFonts w:ascii="PT Astra Serif" w:hAnsi="PT Astra Serif" w:cs="Arial"/>
          <w:szCs w:val="28"/>
          <w:shd w:val="clear" w:color="auto" w:fill="FFFFFF"/>
        </w:rPr>
        <w:t>внедрение принципов управления на основе данных во всех сферах общественной жизни:</w:t>
      </w:r>
    </w:p>
    <w:p w14:paraId="6A6159E6" w14:textId="77777777" w:rsidR="00C548A9" w:rsidRPr="00463AF0" w:rsidRDefault="00C548A9" w:rsidP="00463AF0">
      <w:pPr>
        <w:widowControl w:val="0"/>
        <w:rPr>
          <w:rFonts w:ascii="PT Astra Serif" w:hAnsi="PT Astra Serif"/>
          <w:bCs/>
          <w:szCs w:val="28"/>
        </w:rPr>
      </w:pPr>
      <w:r w:rsidRPr="00463AF0">
        <w:rPr>
          <w:rFonts w:ascii="PT Astra Serif" w:hAnsi="PT Astra Serif"/>
          <w:bCs/>
          <w:szCs w:val="28"/>
        </w:rPr>
        <w:t xml:space="preserve">Формирование ИТ инфраструктуры в государственных </w:t>
      </w:r>
      <w:r w:rsidRPr="00463AF0">
        <w:rPr>
          <w:rFonts w:ascii="PT Astra Serif" w:hAnsi="PT Astra Serif"/>
          <w:bCs/>
          <w:szCs w:val="28"/>
        </w:rPr>
        <w:br/>
        <w:t xml:space="preserve">и муниципальных образовательных организациях для обеспечения </w:t>
      </w:r>
      <w:r w:rsidRPr="00463AF0">
        <w:rPr>
          <w:rFonts w:ascii="PT Astra Serif" w:hAnsi="PT Astra Serif"/>
          <w:bCs/>
          <w:szCs w:val="28"/>
        </w:rPr>
        <w:br/>
        <w:t xml:space="preserve">в помещениях безопасного доступа к государственным, муниципальным </w:t>
      </w:r>
      <w:r w:rsidRPr="00463AF0">
        <w:rPr>
          <w:rFonts w:ascii="PT Astra Serif" w:hAnsi="PT Astra Serif"/>
          <w:bCs/>
          <w:szCs w:val="28"/>
        </w:rPr>
        <w:br/>
        <w:t>и иным информационным системам, а также к информационно-телекоммуникационной сети «Интернет» (35 организаций).</w:t>
      </w:r>
    </w:p>
    <w:p w14:paraId="33C2BBAD" w14:textId="77777777" w:rsidR="00C548A9" w:rsidRPr="00463AF0" w:rsidRDefault="00C548A9" w:rsidP="00463AF0">
      <w:pPr>
        <w:widowControl w:val="0"/>
        <w:shd w:val="clear" w:color="auto" w:fill="FFFFFF"/>
        <w:rPr>
          <w:rFonts w:ascii="PT Astra Serif" w:eastAsia="Times New Roman" w:hAnsi="PT Astra Serif" w:cs="Arial"/>
          <w:szCs w:val="28"/>
          <w:shd w:val="clear" w:color="auto" w:fill="FFFFFF"/>
        </w:rPr>
      </w:pPr>
      <w:r w:rsidRPr="00463AF0">
        <w:rPr>
          <w:rFonts w:ascii="PT Astra Serif" w:eastAsia="Times New Roman" w:hAnsi="PT Astra Serif"/>
          <w:b/>
          <w:bCs/>
          <w:spacing w:val="4"/>
          <w:szCs w:val="28"/>
        </w:rPr>
        <w:t xml:space="preserve">В рамках федерального проекта «Производительность труда», входящего в состав национального проекта «Эффективная </w:t>
      </w:r>
      <w:r w:rsidRPr="00463AF0">
        <w:rPr>
          <w:rFonts w:ascii="PT Astra Serif" w:eastAsia="Times New Roman" w:hAnsi="PT Astra Serif"/>
          <w:b/>
          <w:bCs/>
          <w:spacing w:val="4"/>
          <w:szCs w:val="28"/>
        </w:rPr>
        <w:br/>
        <w:t xml:space="preserve">и конкурентная экономика» </w:t>
      </w:r>
      <w:r w:rsidRPr="00463AF0">
        <w:rPr>
          <w:rFonts w:ascii="PT Astra Serif" w:eastAsia="Times New Roman" w:hAnsi="PT Astra Serif" w:cs="Arial"/>
          <w:szCs w:val="28"/>
          <w:shd w:val="clear" w:color="auto" w:fill="FFFFFF"/>
        </w:rPr>
        <w:t>в</w:t>
      </w:r>
      <w:r w:rsidRPr="00463AF0">
        <w:rPr>
          <w:rFonts w:ascii="PT Astra Serif" w:eastAsia="Times New Roman" w:hAnsi="PT Astra Serif"/>
          <w:szCs w:val="28"/>
        </w:rPr>
        <w:t xml:space="preserve"> 2026 году 345 организаций должны реализовать результат по тиражированию лучших практик с целью повышения производительности труда.</w:t>
      </w:r>
    </w:p>
    <w:p w14:paraId="50A69DA2" w14:textId="77777777" w:rsidR="00C548A9" w:rsidRPr="00463AF0" w:rsidRDefault="00C548A9" w:rsidP="00463AF0">
      <w:pPr>
        <w:widowControl w:val="0"/>
        <w:rPr>
          <w:rFonts w:ascii="PT Astra Serif" w:hAnsi="PT Astra Serif"/>
          <w:szCs w:val="28"/>
        </w:rPr>
      </w:pPr>
      <w:r w:rsidRPr="00463AF0">
        <w:rPr>
          <w:rFonts w:ascii="PT Astra Serif" w:hAnsi="PT Astra Serif"/>
          <w:b/>
          <w:bCs/>
          <w:szCs w:val="28"/>
        </w:rPr>
        <w:t>В рамках федерального проекта «Создание условий для обучения, отдыха и оздоровления детей и молодёжи» продолжится реализация мероприятий:</w:t>
      </w:r>
    </w:p>
    <w:p w14:paraId="22FA3C20"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строительство второго корпуса Губернаторского лицея № 100 на 500 мест (ввод в 2026 году);</w:t>
      </w:r>
    </w:p>
    <w:p w14:paraId="74E15D28"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строительство образовательного комплекса со спортивной инфраструктурой и пансионом на 800 обучающихся в Новоспасском районе (ввод в 2027 году);</w:t>
      </w:r>
    </w:p>
    <w:p w14:paraId="04BFB6F4" w14:textId="77777777" w:rsidR="00C548A9" w:rsidRPr="00463AF0" w:rsidRDefault="00C548A9" w:rsidP="00463AF0">
      <w:pPr>
        <w:widowControl w:val="0"/>
        <w:contextualSpacing/>
        <w:rPr>
          <w:rFonts w:ascii="PT Astra Serif" w:hAnsi="PT Astra Serif"/>
          <w:szCs w:val="28"/>
        </w:rPr>
      </w:pPr>
      <w:r w:rsidRPr="00463AF0">
        <w:rPr>
          <w:rFonts w:ascii="PT Astra Serif" w:hAnsi="PT Astra Serif"/>
          <w:szCs w:val="28"/>
        </w:rPr>
        <w:t>реализация мероприятий «Создание некапитальных объектов (быстровозводимых конструкций) отдыха детей и их оздоровление» в 2026 году в ДООЦ им. Деева.</w:t>
      </w:r>
    </w:p>
    <w:p w14:paraId="78978842" w14:textId="77777777" w:rsidR="00996B2B" w:rsidRPr="00463AF0" w:rsidRDefault="00996B2B" w:rsidP="00463AF0">
      <w:pPr>
        <w:widowControl w:val="0"/>
        <w:rPr>
          <w:rFonts w:ascii="PT Astra Serif" w:eastAsia="Calibri" w:hAnsi="PT Astra Serif"/>
          <w:highlight w:val="yellow"/>
        </w:rPr>
      </w:pPr>
    </w:p>
    <w:p w14:paraId="74348210" w14:textId="77777777" w:rsidR="001A6968" w:rsidRPr="00463AF0" w:rsidRDefault="001A6968" w:rsidP="00463AF0">
      <w:pPr>
        <w:widowControl w:val="0"/>
        <w:rPr>
          <w:rFonts w:ascii="PT Astra Serif" w:eastAsia="Calibri" w:hAnsi="PT Astra Serif"/>
          <w:highlight w:val="yellow"/>
          <w:shd w:val="clear" w:color="auto" w:fill="FFFFFF"/>
        </w:rPr>
      </w:pPr>
    </w:p>
    <w:p w14:paraId="3286D7F9" w14:textId="7C36CC84" w:rsidR="00FD7ED6" w:rsidRPr="00463AF0" w:rsidRDefault="00FD7ED6" w:rsidP="00463AF0">
      <w:pPr>
        <w:widowControl w:val="0"/>
        <w:shd w:val="clear" w:color="auto" w:fill="FFFFFF"/>
        <w:contextualSpacing/>
        <w:rPr>
          <w:rFonts w:ascii="PT Astra Serif" w:hAnsi="PT Astra Serif"/>
          <w:szCs w:val="28"/>
          <w:highlight w:val="yellow"/>
        </w:rPr>
      </w:pPr>
      <w:r w:rsidRPr="00463AF0">
        <w:rPr>
          <w:rFonts w:ascii="PT Astra Serif" w:eastAsia="Calibri" w:hAnsi="PT Astra Serif"/>
          <w:b/>
          <w:szCs w:val="28"/>
          <w:highlight w:val="yellow"/>
          <w:shd w:val="clear" w:color="auto" w:fill="FFFFFF"/>
          <w:lang w:eastAsia="x-none"/>
        </w:rPr>
        <w:br w:type="page"/>
      </w:r>
    </w:p>
    <w:p w14:paraId="1754ABAC" w14:textId="77777777" w:rsidR="00843571" w:rsidRPr="007E63C5" w:rsidRDefault="003F165B" w:rsidP="0076482B">
      <w:pPr>
        <w:pStyle w:val="1ff0"/>
        <w:widowControl w:val="0"/>
        <w:rPr>
          <w:lang w:val="ru-RU"/>
        </w:rPr>
      </w:pPr>
      <w:bookmarkStart w:id="4" w:name="_Toc226016698"/>
      <w:r w:rsidRPr="007E63C5">
        <w:lastRenderedPageBreak/>
        <w:t>ЗДРАВООХРАНЕНИЕ</w:t>
      </w:r>
      <w:bookmarkEnd w:id="4"/>
    </w:p>
    <w:p w14:paraId="264AACF8" w14:textId="77777777" w:rsidR="00417E10" w:rsidRPr="007E63C5" w:rsidRDefault="00417E10" w:rsidP="0076482B">
      <w:pPr>
        <w:widowControl w:val="0"/>
        <w:contextualSpacing/>
        <w:rPr>
          <w:rFonts w:ascii="PT Astra Serif" w:eastAsia="Calibri" w:hAnsi="PT Astra Serif" w:cs="Calibri"/>
          <w:bCs/>
          <w:color w:val="000000" w:themeColor="text1"/>
          <w:szCs w:val="28"/>
        </w:rPr>
      </w:pPr>
    </w:p>
    <w:p w14:paraId="491258E0" w14:textId="77777777" w:rsidR="006F0D78" w:rsidRPr="006F0D78" w:rsidRDefault="006F0D78" w:rsidP="006F0D78">
      <w:pPr>
        <w:widowControl w:val="0"/>
        <w:shd w:val="clear" w:color="auto" w:fill="FFFFFF"/>
        <w:ind w:firstLine="0"/>
        <w:jc w:val="center"/>
        <w:rPr>
          <w:rFonts w:ascii="PT Astra Serif" w:eastAsia="Calibri" w:hAnsi="PT Astra Serif" w:cs="Times New Roman"/>
          <w:b/>
          <w:color w:val="000000"/>
          <w:szCs w:val="28"/>
          <w:lang w:eastAsia="x-none"/>
        </w:rPr>
      </w:pPr>
      <w:bookmarkStart w:id="5" w:name="_Toc192861609"/>
      <w:r w:rsidRPr="006F0D78">
        <w:rPr>
          <w:rFonts w:ascii="PT Astra Serif" w:eastAsia="Calibri" w:hAnsi="PT Astra Serif" w:cs="Times New Roman"/>
          <w:b/>
          <w:color w:val="000000"/>
          <w:szCs w:val="28"/>
          <w:lang w:eastAsia="x-none"/>
        </w:rPr>
        <w:t>Объём финансирования</w:t>
      </w:r>
    </w:p>
    <w:p w14:paraId="5FE87678" w14:textId="77777777" w:rsidR="006F0D78" w:rsidRPr="006F0D78" w:rsidRDefault="006F0D78" w:rsidP="006F0D78">
      <w:pPr>
        <w:widowControl w:val="0"/>
        <w:shd w:val="clear" w:color="auto" w:fill="FFFFFF"/>
        <w:ind w:firstLine="0"/>
        <w:jc w:val="center"/>
        <w:rPr>
          <w:rFonts w:ascii="PT Astra Serif" w:eastAsia="Calibri" w:hAnsi="PT Astra Serif" w:cs="Times New Roman"/>
          <w:b/>
          <w:color w:val="000000"/>
          <w:szCs w:val="28"/>
          <w:lang w:eastAsia="x-none"/>
        </w:rPr>
      </w:pPr>
    </w:p>
    <w:bookmarkEnd w:id="5"/>
    <w:p w14:paraId="200A8BBE"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Министерство здравоохранения Ульяновской области является исполнительным органом Ульяновской области, осуществляющим на территории Ульяновской области государственное управление в сфере охраны здоровья.</w:t>
      </w:r>
    </w:p>
    <w:p w14:paraId="4F9FBA69"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Объём выделенных средств по отрасли составляет 14% всего бюджета Ульяновской области.</w:t>
      </w:r>
    </w:p>
    <w:p w14:paraId="3DBF2570"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 xml:space="preserve">Расходы по отрасли «Здравоохранение» в 2025 году определены исполнением </w:t>
      </w:r>
      <w:r w:rsidRPr="002A207B">
        <w:rPr>
          <w:rFonts w:ascii="PT Astra Serif" w:eastAsia="Calibri" w:hAnsi="PT Astra Serif" w:cs="Times New Roman"/>
          <w:b/>
          <w:bCs/>
          <w:szCs w:val="28"/>
        </w:rPr>
        <w:t>по трём государственным программам и составили 16,98 млрд рублей</w:t>
      </w:r>
      <w:r w:rsidRPr="002A207B">
        <w:rPr>
          <w:rFonts w:ascii="PT Astra Serif" w:eastAsia="Calibri" w:hAnsi="PT Astra Serif" w:cs="Times New Roman"/>
          <w:bCs/>
          <w:szCs w:val="28"/>
        </w:rPr>
        <w:t xml:space="preserve"> или 98,7% от утвержденных годовых лимитов бюджетных обязательств – 17,2 млрд рублей, в том числе:</w:t>
      </w:r>
    </w:p>
    <w:p w14:paraId="690C049D" w14:textId="77777777" w:rsidR="002A207B" w:rsidRPr="002A207B" w:rsidRDefault="002A207B" w:rsidP="002A207B">
      <w:pPr>
        <w:widowControl w:val="0"/>
        <w:tabs>
          <w:tab w:val="left" w:pos="993"/>
        </w:tabs>
        <w:rPr>
          <w:rFonts w:ascii="PT Astra Serif" w:eastAsia="Calibri" w:hAnsi="PT Astra Serif" w:cs="Times New Roman"/>
          <w:bCs/>
          <w:szCs w:val="28"/>
        </w:rPr>
      </w:pPr>
      <w:r w:rsidRPr="002A207B">
        <w:rPr>
          <w:rFonts w:ascii="PT Astra Serif" w:eastAsia="Calibri" w:hAnsi="PT Astra Serif" w:cs="Times New Roman"/>
          <w:bCs/>
          <w:szCs w:val="28"/>
        </w:rPr>
        <w:t>по мероприятиям государственной программы «Развитие здравоохранения в Ульяновской области» исполнение составило 99 %: план – 16,95 млрд рублей, факт – 16,82 млрд рублей; из них расходы на обеспечение деятельности государственных учреждений здравоохранения составили 5,18 млрд рублей, исполнение составило 100%;</w:t>
      </w:r>
    </w:p>
    <w:p w14:paraId="0D19ED74" w14:textId="77777777" w:rsidR="002A207B" w:rsidRPr="002A207B" w:rsidRDefault="002A207B" w:rsidP="002A207B">
      <w:pPr>
        <w:widowControl w:val="0"/>
        <w:tabs>
          <w:tab w:val="left" w:pos="993"/>
        </w:tabs>
        <w:rPr>
          <w:rFonts w:ascii="PT Astra Serif" w:eastAsia="Calibri" w:hAnsi="PT Astra Serif" w:cs="Times New Roman"/>
          <w:bCs/>
          <w:szCs w:val="28"/>
        </w:rPr>
      </w:pPr>
      <w:r w:rsidRPr="002A207B">
        <w:rPr>
          <w:rFonts w:ascii="PT Astra Serif" w:eastAsia="Calibri" w:hAnsi="PT Astra Serif" w:cs="Times New Roman"/>
          <w:bCs/>
          <w:szCs w:val="28"/>
        </w:rPr>
        <w:t>по мероприятиям государственной программы Ульяновской области «Обеспечение правопорядка и безопасности жизнедеятельности на территории Ульяновской области» расходы составили 15,9 млн рублей, исполнение – 100%;</w:t>
      </w:r>
    </w:p>
    <w:p w14:paraId="36B73CA1" w14:textId="77777777" w:rsidR="002A207B" w:rsidRPr="002A207B" w:rsidRDefault="002A207B" w:rsidP="002A207B">
      <w:pPr>
        <w:widowControl w:val="0"/>
        <w:tabs>
          <w:tab w:val="left" w:pos="993"/>
        </w:tabs>
        <w:rPr>
          <w:rFonts w:ascii="PT Astra Serif" w:eastAsia="Calibri" w:hAnsi="PT Astra Serif" w:cs="Times New Roman"/>
          <w:bCs/>
          <w:szCs w:val="28"/>
        </w:rPr>
      </w:pPr>
      <w:r w:rsidRPr="002A207B">
        <w:rPr>
          <w:rFonts w:ascii="PT Astra Serif" w:eastAsia="Calibri" w:hAnsi="PT Astra Serif" w:cs="Times New Roman"/>
          <w:bCs/>
          <w:szCs w:val="28"/>
        </w:rPr>
        <w:t>по мероприятиям государственной программы Ульяновской области «Развитие транспортной системы в Ульяновской области» расходы составили 20,0 млн рублей, исполнение – 100%;</w:t>
      </w:r>
    </w:p>
    <w:p w14:paraId="2E9DBCE3" w14:textId="77777777" w:rsidR="002A207B" w:rsidRPr="002A207B" w:rsidRDefault="002A207B" w:rsidP="002A207B">
      <w:pPr>
        <w:widowControl w:val="0"/>
        <w:tabs>
          <w:tab w:val="left" w:pos="993"/>
        </w:tabs>
        <w:rPr>
          <w:rFonts w:ascii="PT Astra Serif" w:eastAsia="Calibri" w:hAnsi="PT Astra Serif" w:cs="Times New Roman"/>
          <w:bCs/>
          <w:szCs w:val="28"/>
        </w:rPr>
      </w:pPr>
      <w:r w:rsidRPr="002A207B">
        <w:rPr>
          <w:rFonts w:ascii="PT Astra Serif" w:eastAsia="Calibri" w:hAnsi="PT Astra Serif" w:cs="Times New Roman"/>
          <w:bCs/>
          <w:szCs w:val="28"/>
        </w:rPr>
        <w:t>по непрограммным мероприятиям расходы составили 221,3 млн рублей, исполнение 220,5 млн рублей, т.е. 99,6 % от плана.</w:t>
      </w:r>
    </w:p>
    <w:p w14:paraId="7464267B" w14:textId="54ED243A" w:rsidR="002A207B" w:rsidRPr="002A207B" w:rsidRDefault="002A207B" w:rsidP="002A207B">
      <w:pPr>
        <w:widowControl w:val="0"/>
        <w:rPr>
          <w:rFonts w:ascii="PT Astra Serif" w:eastAsia="Calibri" w:hAnsi="PT Astra Serif" w:cs="Times New Roman"/>
          <w:b/>
          <w:bCs/>
          <w:szCs w:val="28"/>
        </w:rPr>
      </w:pPr>
      <w:r w:rsidRPr="002A207B">
        <w:rPr>
          <w:rFonts w:ascii="PT Astra Serif" w:eastAsia="Calibri" w:hAnsi="PT Astra Serif" w:cs="Times New Roman"/>
          <w:bCs/>
          <w:szCs w:val="28"/>
        </w:rPr>
        <w:t xml:space="preserve">Во исполнение Указа Президента Российской Федерации от 07.05.2024 № 309 «О национальных целях развития Российской Федерации на период до 2030 года и на перспективу до 2036 года» </w:t>
      </w:r>
      <w:r w:rsidRPr="002A207B">
        <w:rPr>
          <w:rFonts w:ascii="PT Astra Serif" w:eastAsia="Calibri" w:hAnsi="PT Astra Serif" w:cs="Times New Roman"/>
          <w:b/>
          <w:bCs/>
          <w:szCs w:val="28"/>
        </w:rPr>
        <w:t>в 2025 году выделены средства на исполнение мероприятий в рамках национальных проектов «Продолжительная и активная жизнь», «Семья» в сумме 1,228 млрд руб</w:t>
      </w:r>
      <w:r w:rsidR="00560161">
        <w:rPr>
          <w:rFonts w:ascii="PT Astra Serif" w:eastAsia="Calibri" w:hAnsi="PT Astra Serif" w:cs="Times New Roman"/>
          <w:b/>
          <w:bCs/>
          <w:szCs w:val="28"/>
        </w:rPr>
        <w:t>лей</w:t>
      </w:r>
      <w:r w:rsidRPr="002A207B">
        <w:rPr>
          <w:rFonts w:ascii="PT Astra Serif" w:eastAsia="Calibri" w:hAnsi="PT Astra Serif" w:cs="Times New Roman"/>
          <w:b/>
          <w:bCs/>
          <w:szCs w:val="28"/>
        </w:rPr>
        <w:t>. Исполнение составило 1,218 млрд рублей (99,2%).</w:t>
      </w:r>
    </w:p>
    <w:p w14:paraId="41252A9B"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В 2025 году расходы на лекарственное обеспечение льготных категорий граждан составили 1,77 млрд рублей, в том числе 517,0 млн рублей – за счёт средств федерального бюджета, 1 255,7 млн рублей – за счёт средств областного бюджета. Исполнение составило 1,77 млрд рублей (100%).</w:t>
      </w:r>
    </w:p>
    <w:p w14:paraId="49E041C4"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Кроме того, за счёт средств областного бюджета предусмотрены расходы на обеспечение детей, страдающих сахарным диабетом 1-го типа, медицинскими изделиями для непрерывного мониторинга глюкозы в сумме 10 млн рублей. Исполнение составило 10 млн рублей (100%).</w:t>
      </w:r>
    </w:p>
    <w:p w14:paraId="3B47E4A7"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На социальную поддержку медицинских работников государственных медицинских организаций предусмотрены средства в сумме 104,67 млн рублей, исполнение составило 104,6 млн рублей (100 %). Из них:</w:t>
      </w:r>
    </w:p>
    <w:p w14:paraId="501BBC73"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lastRenderedPageBreak/>
        <w:t>на специальные социальные выплаты отдельным категориям медицинских работников государственных медицинских организаций, оказывающих медицинскую помощь, не входящую в базовую программу обязательного медицинского страхования (на основании Постановления Правительства Ульяновской области №460-П от 31.08.2023 года) – 36,17 млн рублей, исполнение составило 36,17 млн рублей (100%);</w:t>
      </w:r>
    </w:p>
    <w:p w14:paraId="53196330"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на единовременные компенсационные выплаты медицинским работникам (врачам, фельдшерам, а также акушеркам и медицинским сёстрам фельдшерских и фельдшерско-акушерских пунктов), прибывшим (переехавшим) на работу в сельские населённые пункты, либо рабочие посёлки, либо посёлки городского типа, либо города с населением до 50 тысяч человек – 62,5 млн рублей, исполнение составило 100%;</w:t>
      </w:r>
    </w:p>
    <w:p w14:paraId="0FFF195C"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на приобретение служебных жилых помещений (квартир) для медицинских работников государственных медицинских организаций – 6,0 млн рублей, исполнение составило 100%.</w:t>
      </w:r>
    </w:p>
    <w:p w14:paraId="487C87A2"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По сравнению с 2024 годом было увеличено финансирование государственных программ:</w:t>
      </w:r>
    </w:p>
    <w:p w14:paraId="6C6C27F1"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«Развитие здравоохранения в Ульяновской области» с 15,7 млрд рублей до 16,9 млрд рублей, в том числе увеличены расходы на обеспечение деятельности государственных учреждений здравоохранения с 4,4 млрд рублей до 5,18 млрд рублей;</w:t>
      </w:r>
    </w:p>
    <w:p w14:paraId="0C453D71"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«Развитие транспортной системы в Ульяновской области» с 10,0 млн рублей до 20,0 млн рублей.</w:t>
      </w:r>
    </w:p>
    <w:p w14:paraId="5752D950" w14:textId="77777777" w:rsidR="002A207B" w:rsidRPr="002A207B" w:rsidRDefault="002A207B" w:rsidP="002A207B">
      <w:pPr>
        <w:widowControl w:val="0"/>
        <w:rPr>
          <w:rFonts w:ascii="PT Astra Serif" w:eastAsia="Calibri" w:hAnsi="PT Astra Serif" w:cs="Times New Roman"/>
          <w:bCs/>
          <w:szCs w:val="28"/>
        </w:rPr>
      </w:pPr>
    </w:p>
    <w:p w14:paraId="2067B3EC" w14:textId="2A9F97CB" w:rsidR="002A207B" w:rsidRPr="002A207B" w:rsidRDefault="002A207B" w:rsidP="002A207B">
      <w:pPr>
        <w:widowControl w:val="0"/>
        <w:ind w:firstLine="0"/>
        <w:jc w:val="center"/>
        <w:rPr>
          <w:rFonts w:ascii="PT Astra Serif" w:eastAsia="Calibri" w:hAnsi="PT Astra Serif" w:cs="Times New Roman"/>
          <w:b/>
          <w:bCs/>
          <w:szCs w:val="28"/>
        </w:rPr>
      </w:pPr>
      <w:r w:rsidRPr="002A207B">
        <w:rPr>
          <w:rFonts w:ascii="PT Astra Serif" w:eastAsia="Calibri" w:hAnsi="PT Astra Serif" w:cs="Times New Roman"/>
          <w:b/>
          <w:bCs/>
          <w:szCs w:val="28"/>
        </w:rPr>
        <w:t xml:space="preserve">Основные агрегированные показатели деятельности, </w:t>
      </w:r>
      <w:r w:rsidR="00617852">
        <w:rPr>
          <w:rFonts w:ascii="PT Astra Serif" w:eastAsia="Calibri" w:hAnsi="PT Astra Serif" w:cs="Times New Roman"/>
          <w:b/>
          <w:bCs/>
          <w:szCs w:val="28"/>
        </w:rPr>
        <w:br/>
      </w:r>
      <w:r w:rsidRPr="002A207B">
        <w:rPr>
          <w:rFonts w:ascii="PT Astra Serif" w:eastAsia="Calibri" w:hAnsi="PT Astra Serif" w:cs="Times New Roman"/>
          <w:b/>
          <w:bCs/>
          <w:szCs w:val="28"/>
        </w:rPr>
        <w:t xml:space="preserve">позиции Ульяновской области в окружных, всероссийских </w:t>
      </w:r>
      <w:r w:rsidR="00617852">
        <w:rPr>
          <w:rFonts w:ascii="PT Astra Serif" w:eastAsia="Calibri" w:hAnsi="PT Astra Serif" w:cs="Times New Roman"/>
          <w:b/>
          <w:bCs/>
          <w:szCs w:val="28"/>
        </w:rPr>
        <w:br/>
      </w:r>
      <w:r w:rsidRPr="002A207B">
        <w:rPr>
          <w:rFonts w:ascii="PT Astra Serif" w:eastAsia="Calibri" w:hAnsi="PT Astra Serif" w:cs="Times New Roman"/>
          <w:b/>
          <w:bCs/>
          <w:szCs w:val="28"/>
        </w:rPr>
        <w:t>и международных рейтингах</w:t>
      </w:r>
    </w:p>
    <w:p w14:paraId="456E20C0" w14:textId="77777777" w:rsidR="002A207B" w:rsidRPr="002A207B" w:rsidRDefault="002A207B" w:rsidP="002A207B">
      <w:pPr>
        <w:widowControl w:val="0"/>
        <w:ind w:firstLine="0"/>
        <w:jc w:val="center"/>
        <w:rPr>
          <w:rFonts w:ascii="PT Astra Serif" w:eastAsia="Times New Roman" w:hAnsi="PT Astra Serif" w:cs="Times New Roman"/>
          <w:bCs/>
          <w:color w:val="000000"/>
          <w:szCs w:val="26"/>
          <w:shd w:val="clear" w:color="auto" w:fill="FFFFFF"/>
        </w:rPr>
      </w:pPr>
    </w:p>
    <w:p w14:paraId="2CEB528C" w14:textId="07BF15D5"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
          <w:bCs/>
          <w:szCs w:val="28"/>
        </w:rPr>
        <w:t>Население Ульяновской области на 01.01.2025 составляет 1 165,3 тыс. человек</w:t>
      </w:r>
      <w:r w:rsidRPr="002A207B">
        <w:rPr>
          <w:rFonts w:ascii="PT Astra Serif" w:hAnsi="PT Astra Serif" w:cs="Times New Roman"/>
          <w:bCs/>
          <w:szCs w:val="28"/>
        </w:rPr>
        <w:t xml:space="preserve"> (в 2024 году – 1 172,8 тыс. человек), в </w:t>
      </w:r>
      <w:r w:rsidR="00617852">
        <w:rPr>
          <w:rFonts w:ascii="PT Astra Serif" w:hAnsi="PT Astra Serif" w:cs="Times New Roman"/>
          <w:bCs/>
          <w:szCs w:val="28"/>
        </w:rPr>
        <w:t>том числе</w:t>
      </w:r>
      <w:r w:rsidRPr="002A207B">
        <w:rPr>
          <w:rFonts w:ascii="PT Astra Serif" w:hAnsi="PT Astra Serif" w:cs="Times New Roman"/>
          <w:bCs/>
          <w:szCs w:val="28"/>
        </w:rPr>
        <w:t xml:space="preserve"> детей – 217,6 тыс. человек (в 2024 году – 220,0 тыс. человек).</w:t>
      </w:r>
    </w:p>
    <w:p w14:paraId="5ACA94CE"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
          <w:bCs/>
          <w:szCs w:val="28"/>
        </w:rPr>
        <w:t>Ожидаемая продолжительность жизни</w:t>
      </w:r>
      <w:r w:rsidRPr="002A207B">
        <w:rPr>
          <w:rFonts w:ascii="PT Astra Serif" w:hAnsi="PT Astra Serif" w:cs="Times New Roman"/>
          <w:bCs/>
          <w:szCs w:val="28"/>
        </w:rPr>
        <w:t xml:space="preserve"> при рождении в 2025 году выросла на 2,25 года в сравнении с 2024 годом и </w:t>
      </w:r>
      <w:r w:rsidRPr="002A207B">
        <w:rPr>
          <w:rFonts w:ascii="PT Astra Serif" w:hAnsi="PT Astra Serif" w:cs="Times New Roman"/>
          <w:b/>
          <w:bCs/>
          <w:szCs w:val="28"/>
        </w:rPr>
        <w:t>составила 73,17 года</w:t>
      </w:r>
      <w:r w:rsidRPr="002A207B">
        <w:rPr>
          <w:rFonts w:ascii="PT Astra Serif" w:hAnsi="PT Astra Serif" w:cs="Times New Roman"/>
          <w:bCs/>
          <w:szCs w:val="28"/>
        </w:rPr>
        <w:t xml:space="preserve"> (2024 год – 70,92 года).</w:t>
      </w:r>
    </w:p>
    <w:p w14:paraId="28BB9BC6" w14:textId="4B8CA3E6" w:rsidR="002A207B" w:rsidRPr="002A207B" w:rsidRDefault="002A207B" w:rsidP="002A207B">
      <w:pPr>
        <w:widowControl w:val="0"/>
        <w:rPr>
          <w:rFonts w:cs="Times New Roman"/>
          <w:color w:val="000000"/>
          <w:szCs w:val="28"/>
        </w:rPr>
      </w:pPr>
      <w:r w:rsidRPr="002A207B">
        <w:rPr>
          <w:rFonts w:ascii="PT Astra Serif" w:hAnsi="PT Astra Serif" w:cs="Times New Roman"/>
          <w:bCs/>
          <w:szCs w:val="28"/>
        </w:rPr>
        <w:t xml:space="preserve">По оперативным данным за январь-декабрь 2025 года </w:t>
      </w:r>
      <w:r w:rsidRPr="002A207B">
        <w:rPr>
          <w:rFonts w:ascii="PT Astra Serif" w:hAnsi="PT Astra Serif" w:cs="Times New Roman"/>
          <w:b/>
          <w:bCs/>
          <w:szCs w:val="28"/>
        </w:rPr>
        <w:t xml:space="preserve">родилось </w:t>
      </w:r>
      <w:r w:rsidR="00617852">
        <w:rPr>
          <w:rFonts w:ascii="PT Astra Serif" w:hAnsi="PT Astra Serif" w:cs="Times New Roman"/>
          <w:b/>
          <w:bCs/>
          <w:szCs w:val="28"/>
        </w:rPr>
        <w:br/>
      </w:r>
      <w:r w:rsidRPr="002A207B">
        <w:rPr>
          <w:rFonts w:ascii="PT Astra Serif" w:hAnsi="PT Astra Serif" w:cs="Times New Roman"/>
          <w:b/>
          <w:bCs/>
          <w:szCs w:val="28"/>
        </w:rPr>
        <w:t>7 699 человек</w:t>
      </w:r>
      <w:r w:rsidRPr="002A207B">
        <w:rPr>
          <w:rFonts w:ascii="PT Astra Serif" w:hAnsi="PT Astra Serif" w:cs="Times New Roman"/>
          <w:bCs/>
          <w:szCs w:val="28"/>
        </w:rPr>
        <w:t>, что на 517 чел</w:t>
      </w:r>
      <w:r w:rsidR="00617852">
        <w:rPr>
          <w:rFonts w:ascii="PT Astra Serif" w:hAnsi="PT Astra Serif" w:cs="Times New Roman"/>
          <w:bCs/>
          <w:szCs w:val="28"/>
        </w:rPr>
        <w:t>овек меньше, чем в 2024 году (8 </w:t>
      </w:r>
      <w:r w:rsidRPr="002A207B">
        <w:rPr>
          <w:rFonts w:ascii="PT Astra Serif" w:hAnsi="PT Astra Serif" w:cs="Times New Roman"/>
          <w:bCs/>
          <w:szCs w:val="28"/>
        </w:rPr>
        <w:t>216</w:t>
      </w:r>
      <w:r w:rsidRPr="002A207B">
        <w:rPr>
          <w:rFonts w:cs="Times New Roman"/>
          <w:color w:val="000000"/>
          <w:szCs w:val="28"/>
        </w:rPr>
        <w:t xml:space="preserve"> человек).</w:t>
      </w:r>
    </w:p>
    <w:p w14:paraId="4053B4D9"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
          <w:bCs/>
          <w:szCs w:val="28"/>
        </w:rPr>
        <w:t>Показатель рождаемости</w:t>
      </w:r>
      <w:r w:rsidRPr="002A207B">
        <w:rPr>
          <w:rFonts w:ascii="PT Astra Serif" w:hAnsi="PT Astra Serif" w:cs="Times New Roman"/>
          <w:bCs/>
          <w:szCs w:val="28"/>
        </w:rPr>
        <w:t xml:space="preserve"> за январь-декабрь 2025 года </w:t>
      </w:r>
      <w:r w:rsidRPr="002A207B">
        <w:rPr>
          <w:rFonts w:ascii="PT Astra Serif" w:hAnsi="PT Astra Serif" w:cs="Times New Roman"/>
          <w:b/>
          <w:bCs/>
          <w:szCs w:val="28"/>
        </w:rPr>
        <w:t xml:space="preserve">составил </w:t>
      </w:r>
      <w:r w:rsidRPr="002A207B">
        <w:rPr>
          <w:rFonts w:ascii="PT Astra Serif" w:hAnsi="PT Astra Serif" w:cs="Times New Roman"/>
          <w:b/>
          <w:bCs/>
          <w:szCs w:val="28"/>
        </w:rPr>
        <w:br/>
        <w:t>6,6 на 1 000 населения</w:t>
      </w:r>
      <w:r w:rsidRPr="002A207B">
        <w:rPr>
          <w:rFonts w:ascii="PT Astra Serif" w:hAnsi="PT Astra Serif" w:cs="Times New Roman"/>
          <w:bCs/>
          <w:szCs w:val="28"/>
        </w:rPr>
        <w:t>, что на 5,2% ниже АППГ (7,0 на 1 000 населения).</w:t>
      </w:r>
    </w:p>
    <w:p w14:paraId="664DD254" w14:textId="4A30FD08"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
          <w:bCs/>
          <w:szCs w:val="28"/>
        </w:rPr>
        <w:t>Число умерших</w:t>
      </w:r>
      <w:r w:rsidRPr="002A207B">
        <w:rPr>
          <w:rFonts w:ascii="PT Astra Serif" w:hAnsi="PT Astra Serif" w:cs="Times New Roman"/>
          <w:bCs/>
          <w:szCs w:val="28"/>
        </w:rPr>
        <w:t xml:space="preserve"> за январь-ноябрь 2025 года </w:t>
      </w:r>
      <w:r w:rsidR="00617852">
        <w:rPr>
          <w:rFonts w:ascii="PT Astra Serif" w:hAnsi="PT Astra Serif" w:cs="Times New Roman"/>
          <w:b/>
          <w:bCs/>
          <w:szCs w:val="28"/>
        </w:rPr>
        <w:t>составило 17 </w:t>
      </w:r>
      <w:r w:rsidRPr="002A207B">
        <w:rPr>
          <w:rFonts w:ascii="PT Astra Serif" w:hAnsi="PT Astra Serif" w:cs="Times New Roman"/>
          <w:b/>
          <w:bCs/>
          <w:szCs w:val="28"/>
        </w:rPr>
        <w:t>598 человек</w:t>
      </w:r>
      <w:r w:rsidRPr="002A207B">
        <w:rPr>
          <w:rFonts w:ascii="PT Astra Serif" w:hAnsi="PT Astra Serif" w:cs="Times New Roman"/>
          <w:bCs/>
          <w:szCs w:val="28"/>
        </w:rPr>
        <w:t>, что на 87 человек меньше по сравнению с АПГГ (2024 год – 17</w:t>
      </w:r>
      <w:r w:rsidR="00617852">
        <w:rPr>
          <w:rFonts w:ascii="PT Astra Serif" w:hAnsi="PT Astra Serif" w:cs="Times New Roman"/>
          <w:bCs/>
          <w:szCs w:val="28"/>
        </w:rPr>
        <w:t> </w:t>
      </w:r>
      <w:r w:rsidRPr="002A207B">
        <w:rPr>
          <w:rFonts w:ascii="PT Astra Serif" w:hAnsi="PT Astra Serif" w:cs="Times New Roman"/>
          <w:bCs/>
          <w:szCs w:val="28"/>
        </w:rPr>
        <w:t>685 человек).</w:t>
      </w:r>
    </w:p>
    <w:p w14:paraId="336BD512" w14:textId="5A42935B"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Показатель общей смертности за январь</w:t>
      </w:r>
      <w:r w:rsidR="00617852">
        <w:rPr>
          <w:rFonts w:ascii="PT Astra Serif" w:hAnsi="PT Astra Serif" w:cs="Times New Roman"/>
          <w:bCs/>
          <w:szCs w:val="28"/>
        </w:rPr>
        <w:t xml:space="preserve"> </w:t>
      </w:r>
      <w:r w:rsidRPr="002A207B">
        <w:rPr>
          <w:rFonts w:ascii="PT Astra Serif" w:hAnsi="PT Astra Serif" w:cs="Times New Roman"/>
          <w:bCs/>
          <w:szCs w:val="28"/>
        </w:rPr>
        <w:t>-</w:t>
      </w:r>
      <w:r w:rsidR="00617852">
        <w:rPr>
          <w:rFonts w:ascii="PT Astra Serif" w:hAnsi="PT Astra Serif" w:cs="Times New Roman"/>
          <w:bCs/>
          <w:szCs w:val="28"/>
        </w:rPr>
        <w:t xml:space="preserve"> </w:t>
      </w:r>
      <w:r w:rsidRPr="002A207B">
        <w:rPr>
          <w:rFonts w:ascii="PT Astra Serif" w:hAnsi="PT Astra Serif" w:cs="Times New Roman"/>
          <w:bCs/>
          <w:szCs w:val="28"/>
        </w:rPr>
        <w:t xml:space="preserve">декабрь 2025 года составил </w:t>
      </w:r>
      <w:r w:rsidRPr="002A207B">
        <w:rPr>
          <w:rFonts w:ascii="PT Astra Serif" w:hAnsi="PT Astra Serif" w:cs="Times New Roman"/>
          <w:bCs/>
          <w:szCs w:val="28"/>
        </w:rPr>
        <w:br/>
        <w:t>15,2 на 1 000 населения, что на 0,7% выше показателя АППГ (15,1 на 1 000 населения).</w:t>
      </w:r>
      <w:r w:rsidR="00617852">
        <w:rPr>
          <w:rFonts w:ascii="PT Astra Serif" w:hAnsi="PT Astra Serif" w:cs="Times New Roman"/>
          <w:bCs/>
          <w:szCs w:val="28"/>
        </w:rPr>
        <w:t xml:space="preserve"> </w:t>
      </w:r>
      <w:r w:rsidRPr="002A207B">
        <w:rPr>
          <w:rFonts w:ascii="PT Astra Serif" w:hAnsi="PT Astra Serif" w:cs="Times New Roman"/>
          <w:bCs/>
          <w:szCs w:val="28"/>
        </w:rPr>
        <w:t xml:space="preserve">Показатель младенческая смертность составил 4,9 на 1 000 родившихся живыми, что на 11,4% выше по сравнению с показателем АППГ (4,4 на 1 000 родившихся живыми). </w:t>
      </w:r>
    </w:p>
    <w:p w14:paraId="4AD9E356"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lastRenderedPageBreak/>
        <w:t xml:space="preserve">В возрасте до 1 года умерло 38 детей, что на 1 ребенка больше, чем </w:t>
      </w:r>
      <w:r w:rsidRPr="002A207B">
        <w:rPr>
          <w:rFonts w:ascii="PT Astra Serif" w:hAnsi="PT Astra Serif" w:cs="Times New Roman"/>
          <w:bCs/>
          <w:szCs w:val="28"/>
        </w:rPr>
        <w:br/>
        <w:t>за АППГ (37 детей).</w:t>
      </w:r>
    </w:p>
    <w:p w14:paraId="23F3453E"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 xml:space="preserve">Случаев материнской смертности в 2025 году не зарегистрировано. </w:t>
      </w:r>
      <w:r w:rsidRPr="002A207B">
        <w:rPr>
          <w:rFonts w:ascii="PT Astra Serif" w:hAnsi="PT Astra Serif" w:cs="Times New Roman"/>
          <w:bCs/>
          <w:szCs w:val="28"/>
        </w:rPr>
        <w:br/>
        <w:t xml:space="preserve">В 2024 году материнская смертность составила 48,6 на 100 тыс. родившихся живыми (4 случая). </w:t>
      </w:r>
    </w:p>
    <w:p w14:paraId="46B41DAF" w14:textId="77777777" w:rsidR="002A207B" w:rsidRPr="002A207B" w:rsidRDefault="002A207B" w:rsidP="00617852">
      <w:pPr>
        <w:widowControl w:val="0"/>
        <w:rPr>
          <w:rFonts w:ascii="PT Astra Serif" w:hAnsi="PT Astra Serif" w:cs="Times New Roman"/>
          <w:bCs/>
          <w:szCs w:val="28"/>
        </w:rPr>
      </w:pPr>
      <w:r w:rsidRPr="002A207B">
        <w:rPr>
          <w:rFonts w:ascii="PT Astra Serif" w:hAnsi="PT Astra Serif" w:cs="Times New Roman"/>
          <w:bCs/>
          <w:szCs w:val="28"/>
        </w:rPr>
        <w:t>В структуре причин всех случаев смерти занимают:</w:t>
      </w:r>
    </w:p>
    <w:p w14:paraId="06E3AB54" w14:textId="77777777" w:rsidR="002A207B" w:rsidRPr="002A207B" w:rsidRDefault="002A207B" w:rsidP="00617852">
      <w:pPr>
        <w:widowControl w:val="0"/>
        <w:autoSpaceDE w:val="0"/>
        <w:autoSpaceDN w:val="0"/>
        <w:adjustRightInd w:val="0"/>
        <w:rPr>
          <w:rFonts w:ascii="PT Astra Serif" w:hAnsi="PT Astra Serif" w:cs="Times New Roman"/>
          <w:bCs/>
          <w:szCs w:val="28"/>
          <w:lang w:eastAsia="ru-RU"/>
        </w:rPr>
      </w:pPr>
      <w:r w:rsidRPr="002A207B">
        <w:rPr>
          <w:rFonts w:ascii="PT Astra Serif" w:hAnsi="PT Astra Serif" w:cs="Times New Roman"/>
          <w:bCs/>
          <w:szCs w:val="28"/>
          <w:lang w:eastAsia="ru-RU"/>
        </w:rPr>
        <w:t>первое место – болезни системы кровообращения – 50,8% (АППГ – 50,7%),</w:t>
      </w:r>
    </w:p>
    <w:p w14:paraId="67306671" w14:textId="77777777" w:rsidR="002A207B" w:rsidRPr="002A207B" w:rsidRDefault="002A207B" w:rsidP="00617852">
      <w:pPr>
        <w:widowControl w:val="0"/>
        <w:autoSpaceDE w:val="0"/>
        <w:autoSpaceDN w:val="0"/>
        <w:adjustRightInd w:val="0"/>
        <w:rPr>
          <w:rFonts w:ascii="PT Astra Serif" w:hAnsi="PT Astra Serif" w:cs="Times New Roman"/>
          <w:bCs/>
          <w:szCs w:val="28"/>
          <w:lang w:eastAsia="ru-RU"/>
        </w:rPr>
      </w:pPr>
      <w:r w:rsidRPr="002A207B">
        <w:rPr>
          <w:rFonts w:ascii="PT Astra Serif" w:hAnsi="PT Astra Serif" w:cs="Times New Roman"/>
          <w:bCs/>
          <w:szCs w:val="28"/>
          <w:lang w:eastAsia="ru-RU"/>
        </w:rPr>
        <w:t>второе место – новообразования – 16,8% (АППГ – 15,8%),</w:t>
      </w:r>
    </w:p>
    <w:p w14:paraId="46D6EE58" w14:textId="77777777" w:rsidR="002A207B" w:rsidRPr="002A207B" w:rsidRDefault="002A207B" w:rsidP="00617852">
      <w:pPr>
        <w:widowControl w:val="0"/>
        <w:autoSpaceDE w:val="0"/>
        <w:autoSpaceDN w:val="0"/>
        <w:adjustRightInd w:val="0"/>
        <w:rPr>
          <w:rFonts w:ascii="PT Astra Serif" w:hAnsi="PT Astra Serif" w:cs="Times New Roman"/>
          <w:bCs/>
          <w:szCs w:val="28"/>
          <w:lang w:eastAsia="ru-RU"/>
        </w:rPr>
      </w:pPr>
      <w:r w:rsidRPr="002A207B">
        <w:rPr>
          <w:rFonts w:ascii="PT Astra Serif" w:hAnsi="PT Astra Serif" w:cs="Times New Roman"/>
          <w:bCs/>
          <w:szCs w:val="28"/>
          <w:lang w:eastAsia="ru-RU"/>
        </w:rPr>
        <w:t>третье место – внешние причины смерти – 13,3% (АППГ – 11,3%),</w:t>
      </w:r>
    </w:p>
    <w:p w14:paraId="3E827205" w14:textId="77777777" w:rsidR="002A207B" w:rsidRPr="002A207B" w:rsidRDefault="002A207B" w:rsidP="00617852">
      <w:pPr>
        <w:widowControl w:val="0"/>
        <w:autoSpaceDE w:val="0"/>
        <w:autoSpaceDN w:val="0"/>
        <w:adjustRightInd w:val="0"/>
        <w:rPr>
          <w:rFonts w:ascii="PT Astra Serif" w:hAnsi="PT Astra Serif" w:cs="Times New Roman"/>
          <w:bCs/>
          <w:szCs w:val="28"/>
          <w:lang w:eastAsia="ru-RU"/>
        </w:rPr>
      </w:pPr>
      <w:r w:rsidRPr="002A207B">
        <w:rPr>
          <w:rFonts w:ascii="PT Astra Serif" w:hAnsi="PT Astra Serif" w:cs="Times New Roman"/>
          <w:bCs/>
          <w:szCs w:val="28"/>
          <w:lang w:eastAsia="ru-RU"/>
        </w:rPr>
        <w:t>четвёртое место – болезни органов пищеварения – 5,3% (АППГ – 5,4%),</w:t>
      </w:r>
    </w:p>
    <w:p w14:paraId="2D5D11AB" w14:textId="77777777" w:rsidR="002A207B" w:rsidRPr="002A207B" w:rsidRDefault="002A207B" w:rsidP="00617852">
      <w:pPr>
        <w:widowControl w:val="0"/>
        <w:autoSpaceDE w:val="0"/>
        <w:autoSpaceDN w:val="0"/>
        <w:adjustRightInd w:val="0"/>
        <w:rPr>
          <w:rFonts w:ascii="PT Astra Serif" w:hAnsi="PT Astra Serif" w:cs="Times New Roman"/>
          <w:bCs/>
          <w:szCs w:val="28"/>
          <w:lang w:eastAsia="ru-RU"/>
        </w:rPr>
      </w:pPr>
      <w:r w:rsidRPr="002A207B">
        <w:rPr>
          <w:rFonts w:ascii="PT Astra Serif" w:hAnsi="PT Astra Serif" w:cs="Times New Roman"/>
          <w:bCs/>
          <w:szCs w:val="28"/>
          <w:lang w:eastAsia="ru-RU"/>
        </w:rPr>
        <w:t>пятое место – болезни органов дыхания – 3,0% (АППГ – 3,6%),</w:t>
      </w:r>
    </w:p>
    <w:p w14:paraId="667B9D84" w14:textId="5942D46D" w:rsidR="002A207B" w:rsidRPr="002A207B" w:rsidRDefault="002A207B" w:rsidP="00617852">
      <w:pPr>
        <w:widowControl w:val="0"/>
        <w:autoSpaceDE w:val="0"/>
        <w:autoSpaceDN w:val="0"/>
        <w:adjustRightInd w:val="0"/>
        <w:rPr>
          <w:rFonts w:ascii="PT Astra Serif" w:hAnsi="PT Astra Serif" w:cs="Times New Roman"/>
          <w:b/>
          <w:bCs/>
          <w:i/>
          <w:szCs w:val="28"/>
          <w:lang w:eastAsia="ru-RU"/>
        </w:rPr>
      </w:pPr>
      <w:r w:rsidRPr="002A207B">
        <w:rPr>
          <w:rFonts w:ascii="PT Astra Serif" w:hAnsi="PT Astra Serif" w:cs="Times New Roman"/>
          <w:bCs/>
          <w:szCs w:val="28"/>
          <w:lang w:eastAsia="ru-RU"/>
        </w:rPr>
        <w:t>шестое место – болезни эндокринной системы – 2,8% (АППГ – 3,5%).</w:t>
      </w:r>
    </w:p>
    <w:p w14:paraId="2F56CD56" w14:textId="77777777" w:rsidR="002A207B" w:rsidRPr="002A207B" w:rsidRDefault="002A207B" w:rsidP="002A207B">
      <w:pPr>
        <w:widowControl w:val="0"/>
        <w:autoSpaceDE w:val="0"/>
        <w:autoSpaceDN w:val="0"/>
        <w:adjustRightInd w:val="0"/>
        <w:ind w:firstLine="0"/>
        <w:jc w:val="center"/>
        <w:rPr>
          <w:rFonts w:ascii="PT Astra Serif" w:hAnsi="PT Astra Serif" w:cs="Times New Roman"/>
          <w:b/>
          <w:bCs/>
          <w:szCs w:val="28"/>
          <w:lang w:eastAsia="ru-RU"/>
        </w:rPr>
      </w:pPr>
    </w:p>
    <w:p w14:paraId="301023CD" w14:textId="77777777" w:rsidR="002A207B" w:rsidRPr="002A207B" w:rsidRDefault="002A207B" w:rsidP="002A207B">
      <w:pPr>
        <w:widowControl w:val="0"/>
        <w:autoSpaceDE w:val="0"/>
        <w:autoSpaceDN w:val="0"/>
        <w:adjustRightInd w:val="0"/>
        <w:ind w:firstLine="0"/>
        <w:jc w:val="center"/>
        <w:rPr>
          <w:rFonts w:ascii="PT Astra Serif" w:hAnsi="PT Astra Serif" w:cs="Times New Roman"/>
          <w:b/>
          <w:bCs/>
          <w:szCs w:val="28"/>
          <w:lang w:eastAsia="ru-RU"/>
        </w:rPr>
      </w:pPr>
      <w:r w:rsidRPr="002A207B">
        <w:rPr>
          <w:rFonts w:ascii="PT Astra Serif" w:hAnsi="PT Astra Serif" w:cs="Times New Roman"/>
          <w:b/>
          <w:bCs/>
          <w:szCs w:val="28"/>
          <w:lang w:eastAsia="ru-RU"/>
        </w:rPr>
        <w:t>Характеристика подведомственной сети</w:t>
      </w:r>
    </w:p>
    <w:p w14:paraId="763A34DA" w14:textId="77777777" w:rsidR="002A207B" w:rsidRPr="002A207B" w:rsidRDefault="002A207B" w:rsidP="002A207B">
      <w:pPr>
        <w:widowControl w:val="0"/>
        <w:jc w:val="center"/>
        <w:rPr>
          <w:rFonts w:ascii="PT Astra Serif" w:eastAsia="Times New Roman" w:hAnsi="PT Astra Serif" w:cs="Times New Roman"/>
          <w:b/>
          <w:bCs/>
          <w:color w:val="000000"/>
          <w:szCs w:val="26"/>
          <w:shd w:val="clear" w:color="auto" w:fill="FFFFFF"/>
        </w:rPr>
      </w:pPr>
    </w:p>
    <w:p w14:paraId="320A970B"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В структуру Министерства здравоохранения Ульяновской области входят 57 учреждений, в том числе: 5 казенных учреждений здравоохранения, 51 бюджетное учреждение здравоохранения, 1 фармацевтическая организация. В 2025 году реорганизованы 10 государственных учреждений здравоохранения путем объединения медицинских организаций.</w:t>
      </w:r>
    </w:p>
    <w:p w14:paraId="5B51409C"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 xml:space="preserve">В сельской местности расположено 20 районных больниц, </w:t>
      </w:r>
      <w:r w:rsidRPr="002A207B">
        <w:rPr>
          <w:rFonts w:ascii="PT Astra Serif" w:eastAsia="Calibri" w:hAnsi="PT Astra Serif" w:cs="Times New Roman"/>
          <w:bCs/>
          <w:szCs w:val="28"/>
        </w:rPr>
        <w:br/>
        <w:t xml:space="preserve">1 участковая больница в Мелекесском районе, </w:t>
      </w:r>
      <w:r w:rsidRPr="002A207B">
        <w:rPr>
          <w:rFonts w:eastAsia="Calibri" w:cs="Times New Roman"/>
          <w:bCs/>
          <w:szCs w:val="28"/>
        </w:rPr>
        <w:t xml:space="preserve">3 санаторно-курортных учреждения. В структуре районных больниц функционируют 32 врачебные амбулатории, 14 участковых больниц, 422 </w:t>
      </w:r>
      <w:proofErr w:type="spellStart"/>
      <w:r w:rsidRPr="002A207B">
        <w:rPr>
          <w:rFonts w:eastAsia="Calibri" w:cs="Times New Roman"/>
          <w:bCs/>
          <w:szCs w:val="28"/>
        </w:rPr>
        <w:t>ФАПа</w:t>
      </w:r>
      <w:proofErr w:type="spellEnd"/>
      <w:r w:rsidRPr="002A207B">
        <w:rPr>
          <w:rFonts w:eastAsia="Calibri" w:cs="Times New Roman"/>
          <w:bCs/>
          <w:szCs w:val="28"/>
        </w:rPr>
        <w:t xml:space="preserve"> и 76 ФП, в том числе </w:t>
      </w:r>
      <w:r w:rsidRPr="002A207B">
        <w:rPr>
          <w:rFonts w:ascii="PT Astra Serif" w:eastAsia="Calibri" w:hAnsi="PT Astra Serif" w:cs="Times New Roman"/>
          <w:bCs/>
          <w:szCs w:val="28"/>
        </w:rPr>
        <w:t>из них 27 передвижных ФАП.</w:t>
      </w:r>
    </w:p>
    <w:p w14:paraId="572882AD" w14:textId="77777777" w:rsidR="002A207B" w:rsidRPr="002A207B" w:rsidRDefault="002A207B" w:rsidP="002A207B">
      <w:pPr>
        <w:widowControl w:val="0"/>
        <w:rPr>
          <w:rFonts w:ascii="PT Astra Serif" w:eastAsia="Calibri" w:hAnsi="PT Astra Serif" w:cs="Times New Roman"/>
          <w:bCs/>
          <w:szCs w:val="28"/>
        </w:rPr>
      </w:pPr>
    </w:p>
    <w:p w14:paraId="482A172A" w14:textId="77777777" w:rsidR="002A207B" w:rsidRPr="002A207B" w:rsidRDefault="002A207B" w:rsidP="002A207B">
      <w:pPr>
        <w:widowControl w:val="0"/>
        <w:ind w:firstLine="0"/>
        <w:jc w:val="center"/>
        <w:rPr>
          <w:rFonts w:ascii="PT Astra Serif" w:eastAsia="Times New Roman" w:hAnsi="PT Astra Serif" w:cs="Times New Roman"/>
          <w:b/>
          <w:bCs/>
          <w:color w:val="000000"/>
          <w:szCs w:val="26"/>
          <w:shd w:val="clear" w:color="auto" w:fill="FFFFFF"/>
        </w:rPr>
      </w:pPr>
      <w:r w:rsidRPr="002A207B">
        <w:rPr>
          <w:rFonts w:ascii="PT Astra Serif" w:eastAsia="Times New Roman" w:hAnsi="PT Astra Serif" w:cs="Times New Roman"/>
          <w:b/>
          <w:bCs/>
          <w:color w:val="000000"/>
          <w:szCs w:val="26"/>
          <w:shd w:val="clear" w:color="auto" w:fill="FFFFFF"/>
        </w:rPr>
        <w:t>Кадровое обеспечение</w:t>
      </w:r>
    </w:p>
    <w:p w14:paraId="11C78AD1" w14:textId="77777777" w:rsidR="002A207B" w:rsidRPr="002A207B" w:rsidRDefault="002A207B" w:rsidP="002A207B">
      <w:pPr>
        <w:widowControl w:val="0"/>
        <w:jc w:val="center"/>
        <w:rPr>
          <w:rFonts w:ascii="PT Astra Serif" w:eastAsia="Times New Roman" w:hAnsi="PT Astra Serif" w:cs="Times New Roman"/>
          <w:b/>
          <w:bCs/>
          <w:color w:val="000000"/>
          <w:szCs w:val="26"/>
          <w:shd w:val="clear" w:color="auto" w:fill="FFFFFF"/>
        </w:rPr>
      </w:pPr>
    </w:p>
    <w:p w14:paraId="2F251E43"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hAnsi="PT Astra Serif" w:cs="Times New Roman"/>
          <w:b/>
          <w:bCs/>
          <w:szCs w:val="28"/>
        </w:rPr>
        <w:t>Численность работников системы здравоохранения составляет 23,8 тыс. человек,</w:t>
      </w:r>
      <w:r w:rsidRPr="002A207B">
        <w:rPr>
          <w:rFonts w:ascii="PT Astra Serif" w:hAnsi="PT Astra Serif" w:cs="Times New Roman"/>
          <w:bCs/>
          <w:szCs w:val="28"/>
        </w:rPr>
        <w:t xml:space="preserve"> в том числе по категориям: </w:t>
      </w:r>
    </w:p>
    <w:p w14:paraId="3E06BBDE"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 xml:space="preserve">врачи – 3751 чел., работающих в системе обязательного медицинского страхования (≤36 лет – 37,3%, 36-55 лет – 36,5%, ≥55 лет – 26,2%); </w:t>
      </w:r>
    </w:p>
    <w:p w14:paraId="23621116"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 xml:space="preserve">средний медицинский персонал – 10479 чел. (≤36 лет – 23,4%, 36-55 лет – 51,5%, ≥ 55 лет – 25,1%); </w:t>
      </w:r>
    </w:p>
    <w:p w14:paraId="04363FE1"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младший медицинский персонал – 2404 человека.</w:t>
      </w:r>
    </w:p>
    <w:p w14:paraId="303D47C5"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 xml:space="preserve">Укомплектованность (физическими лицами) составляет: врачами – 50,6%, средним медицинским персоналом – 67,5%, коэффициент совместительства – 1,6 и 1,3 соответственно. </w:t>
      </w:r>
    </w:p>
    <w:p w14:paraId="39F730C6"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Обеспеченность врачами-специалистами в целом составляет – 32,2 на 10 тыс. населения, обеспеченность средним медицинским персоналом – 94,8 на 10 тыс. населения.</w:t>
      </w:r>
    </w:p>
    <w:p w14:paraId="5B16FE76"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Уровень дефицита врачей в государственных поликлиниках остался на прежнем уровне;</w:t>
      </w:r>
    </w:p>
    <w:p w14:paraId="1C2CC93D"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 xml:space="preserve">За 2025 год повышение квалификации прошли 70 медицинских </w:t>
      </w:r>
      <w:r w:rsidRPr="002A207B">
        <w:rPr>
          <w:rFonts w:ascii="PT Astra Serif" w:hAnsi="PT Astra Serif" w:cs="Times New Roman"/>
          <w:bCs/>
          <w:szCs w:val="28"/>
        </w:rPr>
        <w:lastRenderedPageBreak/>
        <w:t>работников за средства областного бюджета и более 150 за счёт средств медицинской организации.</w:t>
      </w:r>
    </w:p>
    <w:p w14:paraId="7D30F0DD" w14:textId="77777777" w:rsidR="002A207B" w:rsidRPr="002A207B" w:rsidRDefault="002A207B" w:rsidP="002A207B">
      <w:pPr>
        <w:widowControl w:val="0"/>
        <w:rPr>
          <w:rFonts w:ascii="PT Astra Serif" w:hAnsi="PT Astra Serif" w:cs="Times New Roman"/>
          <w:bCs/>
          <w:szCs w:val="28"/>
        </w:rPr>
      </w:pPr>
    </w:p>
    <w:p w14:paraId="599547F8" w14:textId="77777777" w:rsidR="002A207B" w:rsidRPr="002A207B" w:rsidRDefault="002A207B" w:rsidP="002A207B">
      <w:pPr>
        <w:widowControl w:val="0"/>
        <w:ind w:firstLine="0"/>
        <w:jc w:val="center"/>
        <w:rPr>
          <w:rFonts w:ascii="PT Astra Serif" w:hAnsi="PT Astra Serif" w:cs="Times New Roman"/>
          <w:b/>
          <w:bCs/>
          <w:szCs w:val="28"/>
        </w:rPr>
      </w:pPr>
      <w:r w:rsidRPr="002A207B">
        <w:rPr>
          <w:rFonts w:ascii="PT Astra Serif" w:hAnsi="PT Astra Serif" w:cs="Times New Roman"/>
          <w:b/>
        </w:rPr>
        <w:t xml:space="preserve">Реализация национального проекта </w:t>
      </w:r>
      <w:r w:rsidRPr="002A207B">
        <w:rPr>
          <w:rFonts w:ascii="PT Astra Serif" w:hAnsi="PT Astra Serif" w:cs="Times New Roman"/>
          <w:b/>
        </w:rPr>
        <w:br/>
        <w:t>«Продолжительная и активная жизнь» в 2025 году</w:t>
      </w:r>
    </w:p>
    <w:p w14:paraId="4EF6CE55" w14:textId="77777777" w:rsidR="002A207B" w:rsidRPr="002A207B" w:rsidRDefault="002A207B" w:rsidP="002A207B">
      <w:pPr>
        <w:widowControl w:val="0"/>
        <w:ind w:firstLine="0"/>
        <w:jc w:val="center"/>
        <w:rPr>
          <w:rFonts w:ascii="PT Astra Serif" w:eastAsia="Calibri" w:hAnsi="PT Astra Serif" w:cs="Times New Roman"/>
          <w:b/>
          <w:bCs/>
          <w:i/>
          <w:szCs w:val="28"/>
          <w:highlight w:val="yellow"/>
        </w:rPr>
      </w:pPr>
    </w:p>
    <w:p w14:paraId="6D567987" w14:textId="745182A6"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В рамках реализации </w:t>
      </w:r>
      <w:r w:rsidRPr="002A207B">
        <w:rPr>
          <w:rFonts w:ascii="PT Astra Serif" w:eastAsia="Calibri" w:hAnsi="PT Astra Serif" w:cs="Times New Roman"/>
          <w:b/>
          <w:szCs w:val="28"/>
        </w:rPr>
        <w:t xml:space="preserve">основной цели Указа Президента </w:t>
      </w:r>
      <w:r w:rsidR="00617852">
        <w:rPr>
          <w:rFonts w:ascii="PT Astra Serif" w:eastAsia="Calibri" w:hAnsi="PT Astra Serif" w:cs="Times New Roman"/>
          <w:b/>
          <w:szCs w:val="28"/>
        </w:rPr>
        <w:t>РФ</w:t>
      </w:r>
      <w:r w:rsidRPr="002A207B">
        <w:rPr>
          <w:rFonts w:ascii="PT Astra Serif" w:eastAsia="Calibri" w:hAnsi="PT Astra Serif" w:cs="Times New Roman"/>
          <w:b/>
          <w:szCs w:val="28"/>
        </w:rPr>
        <w:br/>
        <w:t>и национального проекта «Продолжительная и активная жизнь»</w:t>
      </w:r>
      <w:r w:rsidRPr="002A207B">
        <w:rPr>
          <w:rFonts w:ascii="PT Astra Serif" w:eastAsia="Calibri" w:hAnsi="PT Astra Serif" w:cs="Times New Roman"/>
          <w:szCs w:val="28"/>
        </w:rPr>
        <w:t xml:space="preserve"> по созданию условий для продолжительной, активной жизни населения </w:t>
      </w:r>
      <w:r w:rsidRPr="002A207B">
        <w:rPr>
          <w:rFonts w:ascii="PT Astra Serif" w:eastAsia="Calibri" w:hAnsi="PT Astra Serif" w:cs="Times New Roman"/>
          <w:szCs w:val="28"/>
        </w:rPr>
        <w:br/>
        <w:t xml:space="preserve">и увеличения к 2030 г. ожидаемой продолжительности жизни при рождении до 78 лет реализованы следующие </w:t>
      </w:r>
      <w:r w:rsidRPr="002A207B">
        <w:rPr>
          <w:rFonts w:ascii="PT Astra Serif" w:eastAsia="Calibri" w:hAnsi="PT Astra Serif" w:cs="Times New Roman"/>
          <w:b/>
          <w:szCs w:val="28"/>
        </w:rPr>
        <w:t>общественно-значимые результаты</w:t>
      </w:r>
      <w:r w:rsidRPr="002A207B">
        <w:rPr>
          <w:rFonts w:ascii="PT Astra Serif" w:eastAsia="Calibri" w:hAnsi="PT Astra Serif" w:cs="Times New Roman"/>
          <w:szCs w:val="28"/>
        </w:rPr>
        <w:t>:</w:t>
      </w:r>
    </w:p>
    <w:p w14:paraId="29812A67" w14:textId="1CE5A97F"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Повышена</w:t>
      </w:r>
      <w:r w:rsidRPr="002A207B">
        <w:rPr>
          <w:rFonts w:ascii="PT Astra Serif" w:eastAsia="Calibri" w:hAnsi="PT Astra Serif" w:cs="Times New Roman"/>
          <w:b/>
          <w:szCs w:val="28"/>
        </w:rPr>
        <w:t xml:space="preserve"> доступность диагностики и лечения сердечно-сосудистых заболеваний. </w:t>
      </w:r>
      <w:r w:rsidRPr="002A207B">
        <w:rPr>
          <w:rFonts w:ascii="PT Astra Serif" w:eastAsia="Calibri" w:hAnsi="PT Astra Serif" w:cs="Times New Roman"/>
          <w:szCs w:val="28"/>
        </w:rPr>
        <w:t>В регионе</w:t>
      </w:r>
      <w:r w:rsidRPr="002A207B">
        <w:rPr>
          <w:rFonts w:ascii="PT Astra Serif" w:eastAsia="Calibri" w:hAnsi="PT Astra Serif" w:cs="Times New Roman"/>
          <w:b/>
          <w:szCs w:val="28"/>
        </w:rPr>
        <w:t xml:space="preserve"> </w:t>
      </w:r>
      <w:r w:rsidRPr="002A207B">
        <w:rPr>
          <w:rFonts w:ascii="PT Astra Serif" w:eastAsia="Calibri" w:hAnsi="PT Astra Serif" w:cs="Times New Roman"/>
          <w:szCs w:val="28"/>
        </w:rPr>
        <w:t xml:space="preserve">реализуется региональная программа по борьбе </w:t>
      </w:r>
      <w:r w:rsidR="00617852">
        <w:rPr>
          <w:rFonts w:ascii="PT Astra Serif" w:eastAsia="Calibri" w:hAnsi="PT Astra Serif" w:cs="Times New Roman"/>
          <w:szCs w:val="28"/>
        </w:rPr>
        <w:br/>
      </w:r>
      <w:r w:rsidRPr="002A207B">
        <w:rPr>
          <w:rFonts w:ascii="PT Astra Serif" w:eastAsia="Calibri" w:hAnsi="PT Astra Serif" w:cs="Times New Roman"/>
          <w:szCs w:val="28"/>
        </w:rPr>
        <w:t>с сердечно-сосудистыми заболеваниями, благодаря которой:</w:t>
      </w:r>
    </w:p>
    <w:p w14:paraId="5B447CB8" w14:textId="77777777" w:rsidR="002A207B" w:rsidRPr="002A207B" w:rsidRDefault="002A207B" w:rsidP="002A207B">
      <w:pPr>
        <w:widowControl w:val="0"/>
        <w:tabs>
          <w:tab w:val="left" w:pos="993"/>
        </w:tabs>
        <w:rPr>
          <w:rFonts w:ascii="PT Astra Serif" w:eastAsia="Calibri" w:hAnsi="PT Astra Serif" w:cs="Times New Roman"/>
          <w:szCs w:val="28"/>
        </w:rPr>
      </w:pPr>
      <w:r w:rsidRPr="002A207B">
        <w:rPr>
          <w:rFonts w:ascii="PT Astra Serif" w:hAnsi="PT Astra Serif" w:cs="Times New Roman"/>
          <w:szCs w:val="28"/>
        </w:rPr>
        <w:t xml:space="preserve">более </w:t>
      </w:r>
      <w:r w:rsidRPr="002A207B">
        <w:rPr>
          <w:rFonts w:ascii="PT Astra Serif" w:hAnsi="PT Astra Serif" w:cs="Times New Roman"/>
          <w:b/>
          <w:szCs w:val="28"/>
        </w:rPr>
        <w:t>12 тыс</w:t>
      </w:r>
      <w:r w:rsidRPr="002A207B">
        <w:rPr>
          <w:rFonts w:ascii="PT Astra Serif" w:hAnsi="PT Astra Serif" w:cs="Times New Roman"/>
          <w:szCs w:val="28"/>
        </w:rPr>
        <w:t>. пациентов с высоким риском осложнений сердечно-сосудистых заболеваний обеспечены бесплатными лекарствами;</w:t>
      </w:r>
    </w:p>
    <w:p w14:paraId="6D718DBC" w14:textId="77777777" w:rsidR="002A207B" w:rsidRPr="002A207B" w:rsidRDefault="002A207B" w:rsidP="002A207B">
      <w:pPr>
        <w:widowControl w:val="0"/>
        <w:tabs>
          <w:tab w:val="left" w:pos="993"/>
        </w:tabs>
        <w:rPr>
          <w:rFonts w:ascii="PT Astra Serif" w:hAnsi="PT Astra Serif" w:cs="Times New Roman"/>
          <w:szCs w:val="28"/>
        </w:rPr>
      </w:pPr>
      <w:r w:rsidRPr="002A207B">
        <w:rPr>
          <w:rFonts w:ascii="PT Astra Serif" w:hAnsi="PT Astra Serif" w:cs="Times New Roman"/>
          <w:b/>
          <w:szCs w:val="28"/>
        </w:rPr>
        <w:t>на 24%</w:t>
      </w:r>
      <w:r w:rsidRPr="002A207B">
        <w:rPr>
          <w:rFonts w:ascii="PT Astra Serif" w:hAnsi="PT Astra Serif" w:cs="Times New Roman"/>
          <w:szCs w:val="28"/>
        </w:rPr>
        <w:t xml:space="preserve"> увеличилось число лиц с болезнями системы кровообращения, проживших предыдущий год без острых сердечно-сосудистых событий;</w:t>
      </w:r>
    </w:p>
    <w:p w14:paraId="38575EE8" w14:textId="77777777" w:rsidR="002A207B" w:rsidRPr="002A207B" w:rsidRDefault="002A207B" w:rsidP="002A207B">
      <w:pPr>
        <w:widowControl w:val="0"/>
        <w:tabs>
          <w:tab w:val="left" w:pos="993"/>
        </w:tabs>
        <w:rPr>
          <w:rFonts w:ascii="PT Astra Serif" w:hAnsi="PT Astra Serif" w:cs="Times New Roman"/>
          <w:i/>
          <w:szCs w:val="28"/>
        </w:rPr>
      </w:pPr>
      <w:r w:rsidRPr="002A207B">
        <w:rPr>
          <w:rFonts w:ascii="PT Astra Serif" w:hAnsi="PT Astra Serif" w:cs="Times New Roman"/>
          <w:szCs w:val="28"/>
        </w:rPr>
        <w:t xml:space="preserve">снизилась больничная летальность от инфаркта миокарда </w:t>
      </w:r>
      <w:r w:rsidRPr="002A207B">
        <w:rPr>
          <w:rFonts w:ascii="PT Astra Serif" w:hAnsi="PT Astra Serif" w:cs="Times New Roman"/>
          <w:i/>
          <w:szCs w:val="28"/>
        </w:rPr>
        <w:t>(с 16,4% до 10,7%)</w:t>
      </w:r>
      <w:r w:rsidRPr="002A207B">
        <w:rPr>
          <w:rFonts w:ascii="PT Astra Serif" w:hAnsi="PT Astra Serif" w:cs="Times New Roman"/>
          <w:szCs w:val="28"/>
        </w:rPr>
        <w:t xml:space="preserve"> и летальность от острого нарушения мозгового кровообращения </w:t>
      </w:r>
      <w:r w:rsidRPr="002A207B">
        <w:rPr>
          <w:rFonts w:ascii="PT Astra Serif" w:hAnsi="PT Astra Serif" w:cs="Times New Roman"/>
          <w:szCs w:val="28"/>
        </w:rPr>
        <w:br/>
      </w:r>
      <w:r w:rsidRPr="002A207B">
        <w:rPr>
          <w:rFonts w:ascii="PT Astra Serif" w:hAnsi="PT Astra Serif" w:cs="Times New Roman"/>
          <w:i/>
          <w:szCs w:val="28"/>
        </w:rPr>
        <w:t>(с 18% до 15,5%).</w:t>
      </w:r>
    </w:p>
    <w:p w14:paraId="0AE0BCA2" w14:textId="77777777" w:rsidR="002A207B" w:rsidRPr="002A207B" w:rsidRDefault="002A207B" w:rsidP="002A207B">
      <w:pPr>
        <w:widowControl w:val="0"/>
        <w:rPr>
          <w:rFonts w:ascii="PT Astra Serif" w:eastAsia="Calibri" w:hAnsi="PT Astra Serif" w:cs="Times New Roman"/>
          <w:b/>
          <w:szCs w:val="28"/>
        </w:rPr>
      </w:pPr>
      <w:r w:rsidRPr="002A207B">
        <w:rPr>
          <w:rFonts w:ascii="PT Astra Serif" w:eastAsia="Calibri" w:hAnsi="PT Astra Serif" w:cs="Times New Roman"/>
          <w:szCs w:val="28"/>
        </w:rPr>
        <w:t xml:space="preserve">Реализация мероприятий по повышению </w:t>
      </w:r>
      <w:r w:rsidRPr="002A207B">
        <w:rPr>
          <w:rFonts w:ascii="PT Astra Serif" w:eastAsia="Calibri" w:hAnsi="PT Astra Serif" w:cs="Times New Roman"/>
          <w:b/>
          <w:szCs w:val="28"/>
        </w:rPr>
        <w:t xml:space="preserve">доступности диагностики </w:t>
      </w:r>
      <w:r w:rsidRPr="002A207B">
        <w:rPr>
          <w:rFonts w:ascii="PT Astra Serif" w:eastAsia="Calibri" w:hAnsi="PT Astra Serif" w:cs="Times New Roman"/>
          <w:b/>
          <w:szCs w:val="28"/>
        </w:rPr>
        <w:br/>
        <w:t xml:space="preserve">и лечения онкологических заболеваний </w:t>
      </w:r>
      <w:r w:rsidRPr="002A207B">
        <w:rPr>
          <w:rFonts w:ascii="PT Astra Serif" w:eastAsia="Calibri" w:hAnsi="PT Astra Serif" w:cs="Times New Roman"/>
          <w:szCs w:val="28"/>
        </w:rPr>
        <w:t>позволило:</w:t>
      </w:r>
      <w:r w:rsidRPr="002A207B">
        <w:rPr>
          <w:rFonts w:ascii="PT Astra Serif" w:eastAsia="Calibri" w:hAnsi="PT Astra Serif" w:cs="Times New Roman"/>
          <w:b/>
          <w:szCs w:val="28"/>
        </w:rPr>
        <w:t xml:space="preserve"> </w:t>
      </w:r>
    </w:p>
    <w:p w14:paraId="6AB137DD" w14:textId="77777777" w:rsidR="002A207B" w:rsidRPr="002A207B" w:rsidRDefault="002A207B" w:rsidP="002A207B">
      <w:pPr>
        <w:widowControl w:val="0"/>
        <w:tabs>
          <w:tab w:val="left" w:pos="993"/>
        </w:tabs>
        <w:rPr>
          <w:rFonts w:ascii="PT Astra Serif" w:eastAsia="Calibri" w:hAnsi="PT Astra Serif" w:cs="Times New Roman"/>
          <w:i/>
          <w:iCs/>
          <w:szCs w:val="28"/>
        </w:rPr>
      </w:pPr>
      <w:r w:rsidRPr="002A207B">
        <w:rPr>
          <w:rFonts w:ascii="PT Astra Serif" w:hAnsi="PT Astra Serif" w:cs="Times New Roman"/>
          <w:b/>
          <w:szCs w:val="28"/>
        </w:rPr>
        <w:t xml:space="preserve">увеличить </w:t>
      </w:r>
      <w:r w:rsidRPr="002A207B">
        <w:rPr>
          <w:rFonts w:ascii="PT Astra Serif" w:hAnsi="PT Astra Serif" w:cs="Times New Roman"/>
          <w:szCs w:val="28"/>
        </w:rPr>
        <w:t>до 51%</w:t>
      </w:r>
      <w:r w:rsidRPr="002A207B">
        <w:rPr>
          <w:rFonts w:ascii="PT Astra Serif" w:hAnsi="PT Astra Serif" w:cs="Times New Roman"/>
          <w:b/>
          <w:szCs w:val="28"/>
        </w:rPr>
        <w:t xml:space="preserve"> </w:t>
      </w:r>
      <w:r w:rsidRPr="002A207B">
        <w:rPr>
          <w:rFonts w:ascii="PT Astra Serif" w:hAnsi="PT Astra Serif" w:cs="Times New Roman"/>
          <w:iCs/>
          <w:szCs w:val="28"/>
        </w:rPr>
        <w:t xml:space="preserve">выявление злокачественных новообразований на </w:t>
      </w:r>
      <w:r w:rsidRPr="002A207B">
        <w:rPr>
          <w:rFonts w:ascii="PT Astra Serif" w:hAnsi="PT Astra Serif" w:cs="Times New Roman"/>
          <w:iCs/>
          <w:szCs w:val="28"/>
        </w:rPr>
        <w:br/>
        <w:t xml:space="preserve">1 стадии </w:t>
      </w:r>
      <w:r w:rsidRPr="002A207B">
        <w:rPr>
          <w:rFonts w:ascii="PT Astra Serif" w:hAnsi="PT Astra Serif" w:cs="Times New Roman"/>
          <w:i/>
          <w:iCs/>
          <w:szCs w:val="28"/>
        </w:rPr>
        <w:t xml:space="preserve">(с 47,8% до 51,1%), </w:t>
      </w:r>
    </w:p>
    <w:p w14:paraId="2BB90F26" w14:textId="77777777" w:rsidR="002A207B" w:rsidRPr="002A207B" w:rsidRDefault="002A207B" w:rsidP="002A207B">
      <w:pPr>
        <w:widowControl w:val="0"/>
        <w:tabs>
          <w:tab w:val="left" w:pos="993"/>
        </w:tabs>
        <w:rPr>
          <w:rFonts w:ascii="PT Astra Serif" w:hAnsi="PT Astra Serif" w:cs="Times New Roman"/>
          <w:iCs/>
          <w:szCs w:val="28"/>
        </w:rPr>
      </w:pPr>
      <w:r w:rsidRPr="002A207B">
        <w:rPr>
          <w:rFonts w:ascii="PT Astra Serif" w:hAnsi="PT Astra Serif" w:cs="Times New Roman"/>
          <w:b/>
          <w:szCs w:val="28"/>
        </w:rPr>
        <w:t xml:space="preserve">увеличить </w:t>
      </w:r>
      <w:r w:rsidRPr="002A207B">
        <w:rPr>
          <w:rFonts w:ascii="PT Astra Serif" w:hAnsi="PT Astra Serif" w:cs="Times New Roman"/>
          <w:iCs/>
          <w:szCs w:val="28"/>
        </w:rPr>
        <w:t xml:space="preserve">до 65,2% количество пациентов со злокачественными новообразованиями, живущих 5 и более лет </w:t>
      </w:r>
      <w:r w:rsidRPr="002A207B">
        <w:rPr>
          <w:rFonts w:ascii="PT Astra Serif" w:hAnsi="PT Astra Serif" w:cs="Times New Roman"/>
          <w:i/>
          <w:iCs/>
          <w:szCs w:val="28"/>
        </w:rPr>
        <w:t>(с 63,9% до 65,2%)</w:t>
      </w:r>
      <w:r w:rsidRPr="002A207B">
        <w:rPr>
          <w:rFonts w:ascii="PT Astra Serif" w:hAnsi="PT Astra Serif" w:cs="Times New Roman"/>
          <w:iCs/>
          <w:szCs w:val="28"/>
        </w:rPr>
        <w:t xml:space="preserve">, </w:t>
      </w:r>
    </w:p>
    <w:p w14:paraId="7586F3ED" w14:textId="77777777" w:rsidR="002A207B" w:rsidRPr="002A207B" w:rsidRDefault="002A207B" w:rsidP="002A207B">
      <w:pPr>
        <w:widowControl w:val="0"/>
        <w:tabs>
          <w:tab w:val="left" w:pos="993"/>
        </w:tabs>
        <w:rPr>
          <w:rFonts w:ascii="PT Astra Serif" w:hAnsi="PT Astra Serif" w:cs="Times New Roman"/>
          <w:iCs/>
          <w:szCs w:val="28"/>
        </w:rPr>
      </w:pPr>
      <w:r w:rsidRPr="002A207B">
        <w:rPr>
          <w:rFonts w:ascii="PT Astra Serif" w:hAnsi="PT Astra Serif" w:cs="Times New Roman"/>
          <w:b/>
          <w:iCs/>
          <w:szCs w:val="28"/>
        </w:rPr>
        <w:t>снизить</w:t>
      </w:r>
      <w:r w:rsidRPr="002A207B">
        <w:rPr>
          <w:rFonts w:ascii="PT Astra Serif" w:hAnsi="PT Astra Serif" w:cs="Times New Roman"/>
          <w:iCs/>
          <w:szCs w:val="28"/>
        </w:rPr>
        <w:t xml:space="preserve"> одногодичную летальность больных со злокачественными новообразованиями (с 21,2% до 20,6%).</w:t>
      </w:r>
    </w:p>
    <w:p w14:paraId="5548C41B" w14:textId="77777777" w:rsidR="002A207B" w:rsidRPr="002A207B" w:rsidRDefault="002A207B" w:rsidP="002A207B">
      <w:pPr>
        <w:widowControl w:val="0"/>
        <w:rPr>
          <w:rFonts w:ascii="PT Astra Serif" w:eastAsia="Calibri" w:hAnsi="PT Astra Serif" w:cs="Times New Roman"/>
          <w:iCs/>
          <w:szCs w:val="28"/>
        </w:rPr>
      </w:pPr>
      <w:r w:rsidRPr="002A207B">
        <w:rPr>
          <w:rFonts w:ascii="PT Astra Serif" w:eastAsia="Calibri" w:hAnsi="PT Astra Serif" w:cs="Times New Roman"/>
          <w:iCs/>
          <w:szCs w:val="28"/>
        </w:rPr>
        <w:t>В 2026 году мероприятия проекта по борьбе с онкологией будут расширены: якорное учреждение региона - областной онкологический диспансер, будет оснащен современным оборудованием для оказания медицинской помощи с применением радиологических методов.</w:t>
      </w:r>
    </w:p>
    <w:p w14:paraId="63982722" w14:textId="77777777" w:rsidR="002A207B" w:rsidRPr="002A207B" w:rsidRDefault="002A207B" w:rsidP="002A207B">
      <w:pPr>
        <w:widowControl w:val="0"/>
        <w:ind w:firstLine="708"/>
        <w:rPr>
          <w:rFonts w:ascii="PT Astra Serif" w:eastAsia="Calibri" w:hAnsi="PT Astra Serif" w:cs="Times New Roman"/>
          <w:iCs/>
          <w:szCs w:val="28"/>
        </w:rPr>
      </w:pPr>
      <w:r w:rsidRPr="002A207B">
        <w:rPr>
          <w:rFonts w:ascii="PT Astra Serif" w:eastAsia="Calibri" w:hAnsi="PT Astra Serif" w:cs="Times New Roman"/>
          <w:iCs/>
          <w:szCs w:val="28"/>
        </w:rPr>
        <w:t xml:space="preserve">В рамках проекта по борьбе с сахарным диабетом, направленного на </w:t>
      </w:r>
      <w:r w:rsidRPr="002A207B">
        <w:rPr>
          <w:rFonts w:ascii="PT Astra Serif" w:eastAsia="Calibri" w:hAnsi="PT Astra Serif" w:cs="Times New Roman"/>
          <w:b/>
          <w:iCs/>
          <w:szCs w:val="28"/>
        </w:rPr>
        <w:t xml:space="preserve">увеличение продолжительности жизни больных с сахарным диабетом, </w:t>
      </w:r>
      <w:r w:rsidRPr="002A207B">
        <w:rPr>
          <w:rFonts w:ascii="PT Astra Serif" w:eastAsia="Calibri" w:hAnsi="PT Astra Serif" w:cs="Times New Roman"/>
          <w:iCs/>
          <w:szCs w:val="28"/>
        </w:rPr>
        <w:t xml:space="preserve">обеспечиваются системами непрерывного мониторинга глюкозы дети </w:t>
      </w:r>
      <w:r w:rsidRPr="002A207B">
        <w:rPr>
          <w:rFonts w:ascii="PT Astra Serif" w:eastAsia="Calibri" w:hAnsi="PT Astra Serif" w:cs="Times New Roman"/>
          <w:iCs/>
          <w:szCs w:val="28"/>
        </w:rPr>
        <w:br/>
        <w:t xml:space="preserve">и беременные женщины, ведется оснащение центров для больных </w:t>
      </w:r>
      <w:r w:rsidRPr="002A207B">
        <w:rPr>
          <w:rFonts w:ascii="PT Astra Serif" w:eastAsia="Calibri" w:hAnsi="PT Astra Serif" w:cs="Times New Roman"/>
          <w:iCs/>
          <w:szCs w:val="28"/>
        </w:rPr>
        <w:br/>
        <w:t xml:space="preserve">с нарушениями углеводного обмена и сахарным диабетом. Так, например, </w:t>
      </w:r>
      <w:r w:rsidRPr="002A207B">
        <w:rPr>
          <w:rFonts w:ascii="PT Astra Serif" w:eastAsia="Calibri" w:hAnsi="PT Astra Serif" w:cs="Times New Roman"/>
          <w:iCs/>
          <w:szCs w:val="28"/>
        </w:rPr>
        <w:br/>
        <w:t xml:space="preserve">в межрайонный центр на базе Новоспасской РБ закуплено оборудование для профилактики и лечения таких осложнений как диабетическая </w:t>
      </w:r>
      <w:proofErr w:type="spellStart"/>
      <w:r w:rsidRPr="002A207B">
        <w:rPr>
          <w:rFonts w:ascii="PT Astra Serif" w:eastAsia="Calibri" w:hAnsi="PT Astra Serif" w:cs="Times New Roman"/>
          <w:iCs/>
          <w:szCs w:val="28"/>
        </w:rPr>
        <w:t>ретинопатия</w:t>
      </w:r>
      <w:proofErr w:type="spellEnd"/>
      <w:r w:rsidRPr="002A207B">
        <w:rPr>
          <w:rFonts w:ascii="PT Astra Serif" w:eastAsia="Calibri" w:hAnsi="PT Astra Serif" w:cs="Times New Roman"/>
          <w:iCs/>
          <w:szCs w:val="28"/>
        </w:rPr>
        <w:t xml:space="preserve"> </w:t>
      </w:r>
      <w:r w:rsidRPr="002A207B">
        <w:rPr>
          <w:rFonts w:ascii="PT Astra Serif" w:eastAsia="Calibri" w:hAnsi="PT Astra Serif" w:cs="Times New Roman"/>
          <w:iCs/>
          <w:szCs w:val="28"/>
        </w:rPr>
        <w:br/>
        <w:t xml:space="preserve">и диабетическая стопа, в том числе и современный оптический когерентный (глазной) томограф. </w:t>
      </w:r>
    </w:p>
    <w:p w14:paraId="5F222FB2" w14:textId="77777777" w:rsidR="002A207B" w:rsidRPr="002A207B" w:rsidRDefault="002A207B" w:rsidP="002A207B">
      <w:pPr>
        <w:widowControl w:val="0"/>
        <w:ind w:firstLine="708"/>
        <w:rPr>
          <w:rFonts w:ascii="PT Astra Serif" w:eastAsia="Calibri" w:hAnsi="PT Astra Serif" w:cs="Times New Roman"/>
          <w:b/>
          <w:szCs w:val="28"/>
        </w:rPr>
      </w:pPr>
      <w:r w:rsidRPr="002A207B">
        <w:rPr>
          <w:rFonts w:ascii="PT Astra Serif" w:eastAsia="Calibri" w:hAnsi="PT Astra Serif" w:cs="Times New Roman"/>
          <w:iCs/>
          <w:szCs w:val="28"/>
        </w:rPr>
        <w:t xml:space="preserve">Так как </w:t>
      </w:r>
      <w:r w:rsidRPr="002A207B">
        <w:rPr>
          <w:rFonts w:ascii="PT Astra Serif" w:eastAsia="Calibri" w:hAnsi="PT Astra Serif" w:cs="Times New Roman"/>
          <w:b/>
          <w:iCs/>
          <w:szCs w:val="28"/>
        </w:rPr>
        <w:t>основой эффективности</w:t>
      </w:r>
      <w:r w:rsidRPr="002A207B">
        <w:rPr>
          <w:rFonts w:ascii="PT Astra Serif" w:eastAsia="Calibri" w:hAnsi="PT Astra Serif" w:cs="Times New Roman"/>
          <w:iCs/>
          <w:szCs w:val="28"/>
        </w:rPr>
        <w:t xml:space="preserve"> терапии сахарного диабета является не только правильное лечение, но и </w:t>
      </w:r>
      <w:r w:rsidRPr="002A207B">
        <w:rPr>
          <w:rFonts w:ascii="PT Astra Serif" w:eastAsia="Calibri" w:hAnsi="PT Astra Serif" w:cs="Times New Roman"/>
          <w:b/>
          <w:iCs/>
          <w:szCs w:val="28"/>
        </w:rPr>
        <w:t>развитие у пациента навыков управления заболеванием и предотвращения негативных последствий</w:t>
      </w:r>
      <w:r w:rsidRPr="002A207B">
        <w:rPr>
          <w:rFonts w:ascii="PT Astra Serif" w:eastAsia="Calibri" w:hAnsi="PT Astra Serif" w:cs="Times New Roman"/>
          <w:iCs/>
          <w:szCs w:val="28"/>
        </w:rPr>
        <w:t xml:space="preserve">, большое </w:t>
      </w:r>
      <w:r w:rsidRPr="002A207B">
        <w:rPr>
          <w:rFonts w:ascii="PT Astra Serif" w:eastAsia="Calibri" w:hAnsi="PT Astra Serif" w:cs="Times New Roman"/>
          <w:iCs/>
          <w:szCs w:val="28"/>
        </w:rPr>
        <w:lastRenderedPageBreak/>
        <w:t xml:space="preserve">развитие в текущем году, благодаря нацпроекту, получили школы больных сахарным диабетом: обучение в них по специализированной программе прошли </w:t>
      </w:r>
      <w:r w:rsidRPr="002A207B">
        <w:rPr>
          <w:rFonts w:ascii="PT Astra Serif" w:eastAsia="Calibri" w:hAnsi="PT Astra Serif" w:cs="Times New Roman"/>
          <w:b/>
          <w:szCs w:val="28"/>
        </w:rPr>
        <w:t>свыше 8 тысяч пациентов.</w:t>
      </w:r>
    </w:p>
    <w:p w14:paraId="3D8CB288"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Итогом нового регионального проекта, направленного на </w:t>
      </w:r>
      <w:r w:rsidRPr="002A207B">
        <w:rPr>
          <w:rFonts w:ascii="PT Astra Serif" w:eastAsia="Calibri" w:hAnsi="PT Astra Serif" w:cs="Times New Roman"/>
          <w:b/>
          <w:szCs w:val="28"/>
        </w:rPr>
        <w:t>достижение увеличения охвата пациентов с гепатитом С лечением и минимизации рисков</w:t>
      </w:r>
      <w:r w:rsidRPr="002A207B">
        <w:rPr>
          <w:rFonts w:ascii="PT Astra Serif" w:eastAsia="Calibri" w:hAnsi="PT Astra Serif" w:cs="Times New Roman"/>
          <w:szCs w:val="28"/>
        </w:rPr>
        <w:t xml:space="preserve"> распространения данного заболевания, стало значительное увеличение пациентов с хроническим вирусным гепатитом С, прошедших полный курс противовирусной терапии за счет ОМС: из 450 человек, прошедших лечение, </w:t>
      </w:r>
      <w:r w:rsidRPr="002A207B">
        <w:rPr>
          <w:rFonts w:ascii="PT Astra Serif" w:eastAsia="Calibri" w:hAnsi="PT Astra Serif" w:cs="Times New Roman"/>
          <w:b/>
          <w:szCs w:val="28"/>
        </w:rPr>
        <w:t xml:space="preserve">600 человек </w:t>
      </w:r>
      <w:r w:rsidRPr="002A207B">
        <w:rPr>
          <w:rFonts w:ascii="PT Astra Serif" w:eastAsia="Calibri" w:hAnsi="PT Astra Serif" w:cs="Times New Roman"/>
          <w:szCs w:val="28"/>
        </w:rPr>
        <w:t>в настоящее время уже излечились и сняты с учета по данному заболеванию.</w:t>
      </w:r>
    </w:p>
    <w:p w14:paraId="59A9D057"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bCs/>
          <w:szCs w:val="28"/>
        </w:rPr>
        <w:t xml:space="preserve">Для оказания </w:t>
      </w:r>
      <w:r w:rsidRPr="002A207B">
        <w:rPr>
          <w:rFonts w:ascii="PT Astra Serif" w:eastAsia="Calibri" w:hAnsi="PT Astra Serif" w:cs="Times New Roman"/>
          <w:b/>
          <w:bCs/>
          <w:szCs w:val="28"/>
        </w:rPr>
        <w:t>экстренной медицинской помощи</w:t>
      </w:r>
      <w:r w:rsidRPr="002A207B">
        <w:rPr>
          <w:rFonts w:ascii="PT Astra Serif" w:eastAsia="Calibri" w:hAnsi="PT Astra Serif" w:cs="Times New Roman"/>
          <w:bCs/>
          <w:szCs w:val="28"/>
        </w:rPr>
        <w:t xml:space="preserve"> в условиях плохой транспортной доступности или большой удалённости от медицинских учреждений в</w:t>
      </w:r>
      <w:r w:rsidRPr="002A207B">
        <w:rPr>
          <w:rFonts w:ascii="PT Astra Serif" w:eastAsia="Calibri" w:hAnsi="PT Astra Serif" w:cs="Times New Roman"/>
          <w:szCs w:val="28"/>
        </w:rPr>
        <w:t xml:space="preserve"> регионе применяется санитарная авиация. За 2025 год эвакуировано </w:t>
      </w:r>
      <w:r w:rsidRPr="002A207B">
        <w:rPr>
          <w:rFonts w:ascii="PT Astra Serif" w:eastAsia="Calibri" w:hAnsi="PT Astra Serif" w:cs="Times New Roman"/>
          <w:b/>
          <w:szCs w:val="28"/>
        </w:rPr>
        <w:t>53 человека</w:t>
      </w:r>
      <w:r w:rsidRPr="002A207B">
        <w:rPr>
          <w:rFonts w:ascii="PT Astra Serif" w:eastAsia="Calibri" w:hAnsi="PT Astra Serif" w:cs="Times New Roman"/>
          <w:szCs w:val="28"/>
        </w:rPr>
        <w:t>. В 2026 году использование санитарной авиации будет продолжено.</w:t>
      </w:r>
    </w:p>
    <w:p w14:paraId="62AA77A4"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В 2026 году планируется строительство современного приемного отделения в ГУЗ «Ульяновский областной клинический центр специализированных видов медицинской помощи им. Е.М. </w:t>
      </w:r>
      <w:proofErr w:type="spellStart"/>
      <w:r w:rsidRPr="002A207B">
        <w:rPr>
          <w:rFonts w:ascii="PT Astra Serif" w:eastAsia="Calibri" w:hAnsi="PT Astra Serif" w:cs="Times New Roman"/>
          <w:szCs w:val="28"/>
        </w:rPr>
        <w:t>Чучкалова</w:t>
      </w:r>
      <w:proofErr w:type="spellEnd"/>
      <w:r w:rsidRPr="002A207B">
        <w:rPr>
          <w:rFonts w:ascii="PT Astra Serif" w:eastAsia="Calibri" w:hAnsi="PT Astra Serif" w:cs="Times New Roman"/>
          <w:szCs w:val="28"/>
        </w:rPr>
        <w:t xml:space="preserve">» для оказания экстренной медицинской помощи больным с </w:t>
      </w:r>
      <w:proofErr w:type="spellStart"/>
      <w:r w:rsidRPr="002A207B">
        <w:rPr>
          <w:rFonts w:ascii="PT Astra Serif" w:eastAsia="Calibri" w:hAnsi="PT Astra Serif" w:cs="Times New Roman"/>
          <w:szCs w:val="28"/>
        </w:rPr>
        <w:t>жизнеугрожающими</w:t>
      </w:r>
      <w:proofErr w:type="spellEnd"/>
      <w:r w:rsidRPr="002A207B">
        <w:rPr>
          <w:rFonts w:ascii="PT Astra Serif" w:eastAsia="Calibri" w:hAnsi="PT Astra Serif" w:cs="Times New Roman"/>
          <w:szCs w:val="28"/>
        </w:rPr>
        <w:t xml:space="preserve"> состояниями. На данные цели выделены средства в размере 525 млн рублей.</w:t>
      </w:r>
    </w:p>
    <w:p w14:paraId="40BCA6D8"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В целях</w:t>
      </w:r>
      <w:r w:rsidRPr="002A207B">
        <w:rPr>
          <w:rFonts w:ascii="PT Astra Serif" w:eastAsia="Calibri" w:hAnsi="PT Astra Serif" w:cs="Times New Roman"/>
          <w:b/>
          <w:szCs w:val="28"/>
        </w:rPr>
        <w:t xml:space="preserve"> обеспечения жителям региона возможности восстановления здоровья после перенесенных заболеваний и травм путем проведения мероприятий по медицинской реабилитации </w:t>
      </w:r>
      <w:r w:rsidRPr="002A207B">
        <w:rPr>
          <w:rFonts w:ascii="PT Astra Serif" w:eastAsia="Calibri" w:hAnsi="PT Astra Serif" w:cs="Times New Roman"/>
          <w:szCs w:val="28"/>
        </w:rPr>
        <w:t xml:space="preserve">за 2025 год закуплено 237 единиц современного оборудования для 5 лечебных учреждений. Современные реабилитационные технологии помогают людям быстрее восстанавливать речь, движение и возвращаться к активной жизни после тяжелых болезней и травм. Так, благодаря проекту в Ульяновском областном клиническом центре специализированных видов медицинской помощи имени заслуженного врача России Е. М. </w:t>
      </w:r>
      <w:proofErr w:type="spellStart"/>
      <w:r w:rsidRPr="002A207B">
        <w:rPr>
          <w:rFonts w:ascii="PT Astra Serif" w:eastAsia="Calibri" w:hAnsi="PT Astra Serif" w:cs="Times New Roman"/>
          <w:szCs w:val="28"/>
        </w:rPr>
        <w:t>Чучкалова</w:t>
      </w:r>
      <w:proofErr w:type="spellEnd"/>
      <w:r w:rsidRPr="002A207B">
        <w:rPr>
          <w:rFonts w:ascii="PT Astra Serif" w:eastAsia="Calibri" w:hAnsi="PT Astra Serif" w:cs="Times New Roman"/>
          <w:szCs w:val="28"/>
        </w:rPr>
        <w:t xml:space="preserve"> появились новые услуги лазерной терапии, механотерапии, используется антигравитационная дорожка. Использование данного оборудования позволили сократить на 13% время восстановления пациентов. В текущем году медицинскую реабилитацию прошли </w:t>
      </w:r>
      <w:r w:rsidRPr="002A207B">
        <w:rPr>
          <w:rFonts w:ascii="PT Astra Serif" w:eastAsia="Calibri" w:hAnsi="PT Astra Serif" w:cs="Times New Roman"/>
          <w:b/>
          <w:szCs w:val="28"/>
        </w:rPr>
        <w:t>более 12 тысяч человек</w:t>
      </w:r>
      <w:r w:rsidRPr="002A207B">
        <w:rPr>
          <w:rFonts w:ascii="PT Astra Serif" w:eastAsia="Calibri" w:hAnsi="PT Astra Serif" w:cs="Times New Roman"/>
          <w:szCs w:val="28"/>
        </w:rPr>
        <w:t>. Повышение доступности медицинской реабилитации будет продолжено и в 2026 году: новое высокотехнологичное реабилитационное оборудование получат еще 2 медицинских учреждения, это Ульяновская областная клиническая больница и Городская поликлиника №4, отделение амбулаторной реабилитации планируется разместить в новой современной поликлинике, которая строится в Засвияжском районе по улице Шигаева.</w:t>
      </w:r>
    </w:p>
    <w:p w14:paraId="20598543"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Укрепление здоровья граждан и сохранение населения невозможно без профилактики заболеваний и их осложнений и формировании приверженности к здоровому образу жизни. </w:t>
      </w:r>
    </w:p>
    <w:p w14:paraId="255A182F" w14:textId="4663ADA1"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Президент РФ </w:t>
      </w:r>
      <w:r w:rsidRPr="002A207B">
        <w:rPr>
          <w:rFonts w:ascii="PT Astra Serif" w:eastAsia="Calibri" w:hAnsi="PT Astra Serif" w:cs="Times New Roman"/>
          <w:b/>
          <w:szCs w:val="28"/>
        </w:rPr>
        <w:t xml:space="preserve">В.В. Путин </w:t>
      </w:r>
      <w:r w:rsidRPr="002A207B">
        <w:rPr>
          <w:rFonts w:ascii="PT Astra Serif" w:eastAsia="Calibri" w:hAnsi="PT Astra Serif" w:cs="Times New Roman"/>
          <w:szCs w:val="28"/>
        </w:rPr>
        <w:t xml:space="preserve">подчеркивает: «Важно, чтобы росла продолжительность </w:t>
      </w:r>
      <w:r w:rsidRPr="002A207B">
        <w:rPr>
          <w:rFonts w:ascii="PT Astra Serif" w:eastAsia="Calibri" w:hAnsi="PT Astra Serif" w:cs="Times New Roman"/>
          <w:b/>
          <w:szCs w:val="28"/>
        </w:rPr>
        <w:t>именно здоровой, активной жизни</w:t>
      </w:r>
      <w:r w:rsidRPr="002A207B">
        <w:rPr>
          <w:rFonts w:ascii="PT Astra Serif" w:eastAsia="Calibri" w:hAnsi="PT Astra Serif" w:cs="Times New Roman"/>
          <w:szCs w:val="28"/>
        </w:rPr>
        <w:t xml:space="preserve">» </w:t>
      </w:r>
      <w:r w:rsidRPr="002A207B">
        <w:rPr>
          <w:rFonts w:ascii="PT Astra Serif" w:eastAsia="Calibri" w:hAnsi="PT Astra Serif" w:cs="Times New Roman"/>
          <w:i/>
          <w:szCs w:val="28"/>
        </w:rPr>
        <w:t>(послание Президента РФ от 29.02.2024).</w:t>
      </w:r>
    </w:p>
    <w:p w14:paraId="0C5E896F"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lastRenderedPageBreak/>
        <w:t xml:space="preserve">В целях </w:t>
      </w:r>
      <w:r w:rsidRPr="002A207B">
        <w:rPr>
          <w:rFonts w:ascii="PT Astra Serif" w:eastAsia="Calibri" w:hAnsi="PT Astra Serif" w:cs="Times New Roman"/>
          <w:b/>
          <w:szCs w:val="28"/>
        </w:rPr>
        <w:t>увеличения доли граждан, ведущих здоровый образ жизни,</w:t>
      </w:r>
      <w:r w:rsidRPr="002A207B">
        <w:rPr>
          <w:rFonts w:ascii="PT Astra Serif" w:eastAsia="Calibri" w:hAnsi="PT Astra Serif" w:cs="Times New Roman"/>
          <w:szCs w:val="28"/>
        </w:rPr>
        <w:t xml:space="preserve"> переформатирована работа центров здоровья для создания современной, цифровой и эффективной индивидуальной профилактики, направленной на формирование маршрута пациента с факторами риска, в том числе диспансерного наблюдения и приближения профилактических мероприятий </w:t>
      </w:r>
      <w:r w:rsidRPr="002A207B">
        <w:rPr>
          <w:rFonts w:ascii="PT Astra Serif" w:eastAsia="Calibri" w:hAnsi="PT Astra Serif" w:cs="Times New Roman"/>
          <w:szCs w:val="28"/>
        </w:rPr>
        <w:br/>
        <w:t>к рабочему месту.</w:t>
      </w:r>
    </w:p>
    <w:p w14:paraId="21CB304E" w14:textId="523816A3"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В регионе в этом году открыт новый </w:t>
      </w:r>
      <w:r w:rsidRPr="002A207B">
        <w:rPr>
          <w:rFonts w:ascii="PT Astra Serif" w:eastAsia="Calibri" w:hAnsi="PT Astra Serif" w:cs="Times New Roman"/>
          <w:b/>
          <w:szCs w:val="28"/>
        </w:rPr>
        <w:t>Центр здоровья</w:t>
      </w:r>
      <w:r w:rsidRPr="002A207B">
        <w:rPr>
          <w:rFonts w:ascii="PT Astra Serif" w:eastAsia="Calibri" w:hAnsi="PT Astra Serif" w:cs="Times New Roman"/>
          <w:szCs w:val="28"/>
        </w:rPr>
        <w:t xml:space="preserve"> на базе одного из крупных медицинских учреждений Ульяновской области ГУЗ ЦК МСЧ имени заслуженного врача России В.А. Егорова. В настоящее время в регионе их пять, три из них в рамках проекта «Здоровье для каждого» в текущем году были оснащены новым оборудованием для выявления и коррекции факторов риска развития хронических неинфекционных заболеваний в соответствии </w:t>
      </w:r>
      <w:r w:rsidR="00617852">
        <w:rPr>
          <w:rFonts w:ascii="PT Astra Serif" w:eastAsia="Calibri" w:hAnsi="PT Astra Serif" w:cs="Times New Roman"/>
          <w:szCs w:val="28"/>
        </w:rPr>
        <w:br/>
      </w:r>
      <w:r w:rsidRPr="002A207B">
        <w:rPr>
          <w:rFonts w:ascii="PT Astra Serif" w:eastAsia="Calibri" w:hAnsi="PT Astra Serif" w:cs="Times New Roman"/>
          <w:szCs w:val="28"/>
        </w:rPr>
        <w:t xml:space="preserve">с порядками оказания медицинской помощи. </w:t>
      </w:r>
    </w:p>
    <w:p w14:paraId="0B08F708" w14:textId="6A5DD82D"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Центрами здоровья в 2025 году было организовано обследование </w:t>
      </w:r>
      <w:r w:rsidR="00617852">
        <w:rPr>
          <w:rFonts w:ascii="PT Astra Serif" w:eastAsia="Calibri" w:hAnsi="PT Astra Serif" w:cs="Times New Roman"/>
          <w:szCs w:val="28"/>
        </w:rPr>
        <w:br/>
      </w:r>
      <w:r w:rsidRPr="002A207B">
        <w:rPr>
          <w:rFonts w:ascii="PT Astra Serif" w:eastAsia="Calibri" w:hAnsi="PT Astra Serif" w:cs="Times New Roman"/>
          <w:szCs w:val="28"/>
        </w:rPr>
        <w:t xml:space="preserve">и диспансерное наблюдение </w:t>
      </w:r>
      <w:r w:rsidRPr="002A207B">
        <w:rPr>
          <w:rFonts w:ascii="PT Astra Serif" w:eastAsia="Calibri" w:hAnsi="PT Astra Serif" w:cs="Times New Roman"/>
          <w:b/>
          <w:szCs w:val="28"/>
        </w:rPr>
        <w:t>более 13,5 тыс. человек на рабочем месте</w:t>
      </w:r>
      <w:r w:rsidRPr="002A207B">
        <w:rPr>
          <w:rFonts w:ascii="PT Astra Serif" w:eastAsia="Calibri" w:hAnsi="PT Astra Serif" w:cs="Times New Roman"/>
          <w:szCs w:val="28"/>
        </w:rPr>
        <w:t xml:space="preserve">; более </w:t>
      </w:r>
      <w:r w:rsidRPr="002A207B">
        <w:rPr>
          <w:rFonts w:ascii="PT Astra Serif" w:eastAsia="Calibri" w:hAnsi="PT Astra Serif" w:cs="Times New Roman"/>
          <w:b/>
          <w:szCs w:val="28"/>
        </w:rPr>
        <w:t>20 тыс. человек</w:t>
      </w:r>
      <w:r w:rsidRPr="002A207B">
        <w:rPr>
          <w:rFonts w:ascii="PT Astra Serif" w:eastAsia="Calibri" w:hAnsi="PT Astra Serif" w:cs="Times New Roman"/>
          <w:szCs w:val="28"/>
        </w:rPr>
        <w:t xml:space="preserve"> с хроническими неинфекционными заболеваниями охвачены диспансерным наблюдением, в том числе с использованием выездных методов работы.</w:t>
      </w:r>
    </w:p>
    <w:p w14:paraId="71F9A773"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Также в рамках проекта внедрено </w:t>
      </w:r>
      <w:r w:rsidRPr="002A207B">
        <w:rPr>
          <w:rFonts w:ascii="PT Astra Serif" w:eastAsia="Calibri" w:hAnsi="PT Astra Serif" w:cs="Times New Roman"/>
          <w:b/>
          <w:szCs w:val="28"/>
        </w:rPr>
        <w:t>111 корпоративных программ</w:t>
      </w:r>
      <w:r w:rsidRPr="002A207B">
        <w:rPr>
          <w:rFonts w:ascii="PT Astra Serif" w:eastAsia="Calibri" w:hAnsi="PT Astra Serif" w:cs="Times New Roman"/>
          <w:szCs w:val="28"/>
        </w:rPr>
        <w:t xml:space="preserve"> укрепления здоровья и </w:t>
      </w:r>
      <w:r w:rsidRPr="002A207B">
        <w:rPr>
          <w:rFonts w:ascii="PT Astra Serif" w:eastAsia="Calibri" w:hAnsi="PT Astra Serif" w:cs="Times New Roman"/>
          <w:b/>
          <w:szCs w:val="28"/>
        </w:rPr>
        <w:t>обновлены 3 муниципальные программы</w:t>
      </w:r>
      <w:r w:rsidRPr="002A207B">
        <w:rPr>
          <w:rFonts w:ascii="PT Astra Serif" w:eastAsia="Calibri" w:hAnsi="PT Astra Serif" w:cs="Times New Roman"/>
          <w:szCs w:val="28"/>
        </w:rPr>
        <w:t xml:space="preserve">, цель которых формирования </w:t>
      </w:r>
      <w:proofErr w:type="spellStart"/>
      <w:r w:rsidRPr="002A207B">
        <w:rPr>
          <w:rFonts w:ascii="PT Astra Serif" w:eastAsia="Calibri" w:hAnsi="PT Astra Serif" w:cs="Times New Roman"/>
          <w:szCs w:val="28"/>
        </w:rPr>
        <w:t>здоровьесберегающей</w:t>
      </w:r>
      <w:proofErr w:type="spellEnd"/>
      <w:r w:rsidRPr="002A207B">
        <w:rPr>
          <w:rFonts w:ascii="PT Astra Serif" w:eastAsia="Calibri" w:hAnsi="PT Astra Serif" w:cs="Times New Roman"/>
          <w:szCs w:val="28"/>
        </w:rPr>
        <w:t xml:space="preserve"> среды для жителей муниципалитетов. В рамках муниципальных программ осуществлены мероприятия по снижению влияния основных факторов риска развития заболеваний, первичной профилактики заболеваний, в том числе направленных на профилактику заболеваний репродуктивной сферы.</w:t>
      </w:r>
    </w:p>
    <w:p w14:paraId="1199D3CD"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К 2030 году обновление корпоративных программ по укреплению здоровья будут реализованы во всех 24 муниципальных образованиях региона. </w:t>
      </w:r>
    </w:p>
    <w:p w14:paraId="555F1E09"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Мероприятия по </w:t>
      </w:r>
      <w:r w:rsidRPr="002A207B">
        <w:rPr>
          <w:rFonts w:ascii="PT Astra Serif" w:eastAsia="Calibri" w:hAnsi="PT Astra Serif" w:cs="Times New Roman"/>
          <w:b/>
          <w:szCs w:val="28"/>
        </w:rPr>
        <w:t xml:space="preserve">организации оказания медицинской помощи </w:t>
      </w:r>
      <w:r w:rsidRPr="002A207B">
        <w:rPr>
          <w:rFonts w:ascii="PT Astra Serif" w:eastAsia="Calibri" w:hAnsi="PT Astra Serif" w:cs="Times New Roman"/>
          <w:b/>
          <w:szCs w:val="28"/>
        </w:rPr>
        <w:br/>
        <w:t xml:space="preserve">с максимальным приближением к месту жительства, месту обучения или работы, исходя из потребностей всех групп населения с учетом трехуровневой системы оказания медицинской помощи </w:t>
      </w:r>
      <w:r w:rsidRPr="002A207B">
        <w:rPr>
          <w:rFonts w:ascii="PT Astra Serif" w:eastAsia="Calibri" w:hAnsi="PT Astra Serif" w:cs="Times New Roman"/>
          <w:szCs w:val="28"/>
        </w:rPr>
        <w:t xml:space="preserve">реализовывались в рамках </w:t>
      </w:r>
      <w:r w:rsidRPr="002A207B">
        <w:rPr>
          <w:rFonts w:ascii="PT Astra Serif" w:eastAsia="Calibri" w:hAnsi="PT Astra Serif" w:cs="Times New Roman"/>
          <w:b/>
          <w:szCs w:val="28"/>
        </w:rPr>
        <w:t xml:space="preserve">модернизации первичного звена. </w:t>
      </w:r>
      <w:r w:rsidRPr="002A207B">
        <w:rPr>
          <w:rFonts w:ascii="PT Astra Serif" w:eastAsia="Calibri" w:hAnsi="PT Astra Serif" w:cs="Times New Roman"/>
          <w:szCs w:val="28"/>
        </w:rPr>
        <w:t>За 2025 год:</w:t>
      </w:r>
    </w:p>
    <w:p w14:paraId="3D1032CF" w14:textId="77777777" w:rsidR="002A207B" w:rsidRPr="002A207B" w:rsidRDefault="002A207B" w:rsidP="002A207B">
      <w:pPr>
        <w:widowControl w:val="0"/>
        <w:tabs>
          <w:tab w:val="left" w:pos="993"/>
        </w:tabs>
        <w:ind w:firstLine="992"/>
        <w:rPr>
          <w:rFonts w:ascii="PT Astra Serif" w:eastAsia="Calibri" w:hAnsi="PT Astra Serif" w:cs="Times New Roman"/>
          <w:szCs w:val="28"/>
        </w:rPr>
      </w:pPr>
      <w:r w:rsidRPr="002A207B">
        <w:rPr>
          <w:rFonts w:ascii="PT Astra Serif" w:hAnsi="PT Astra Serif" w:cs="Times New Roman"/>
          <w:szCs w:val="28"/>
        </w:rPr>
        <w:t>отремонтировано 18 зданий медицинских организаций, в том числе расположенных в сельской местности;</w:t>
      </w:r>
    </w:p>
    <w:p w14:paraId="317A0C7C" w14:textId="77777777" w:rsidR="002A207B" w:rsidRPr="002A207B" w:rsidRDefault="002A207B" w:rsidP="002A207B">
      <w:pPr>
        <w:widowControl w:val="0"/>
        <w:tabs>
          <w:tab w:val="left" w:pos="993"/>
        </w:tabs>
        <w:ind w:firstLine="992"/>
        <w:rPr>
          <w:rFonts w:ascii="PT Astra Serif" w:hAnsi="PT Astra Serif" w:cs="Times New Roman"/>
          <w:szCs w:val="28"/>
        </w:rPr>
      </w:pPr>
      <w:r w:rsidRPr="002A207B">
        <w:rPr>
          <w:rFonts w:ascii="PT Astra Serif" w:hAnsi="PT Astra Serif" w:cs="Times New Roman"/>
          <w:szCs w:val="28"/>
        </w:rPr>
        <w:t xml:space="preserve">построено </w:t>
      </w:r>
      <w:r w:rsidRPr="002A207B">
        <w:rPr>
          <w:rFonts w:ascii="PT Astra Serif" w:hAnsi="PT Astra Serif" w:cs="Times New Roman"/>
          <w:b/>
          <w:szCs w:val="28"/>
        </w:rPr>
        <w:t>17 новых ФАП</w:t>
      </w:r>
      <w:r w:rsidRPr="002A207B">
        <w:rPr>
          <w:rFonts w:ascii="PT Astra Serif" w:hAnsi="PT Astra Serif" w:cs="Times New Roman"/>
          <w:szCs w:val="28"/>
        </w:rPr>
        <w:t xml:space="preserve">; </w:t>
      </w:r>
    </w:p>
    <w:p w14:paraId="323DD05B" w14:textId="77777777" w:rsidR="002A207B" w:rsidRPr="002A207B" w:rsidRDefault="002A207B" w:rsidP="002A207B">
      <w:pPr>
        <w:widowControl w:val="0"/>
        <w:tabs>
          <w:tab w:val="left" w:pos="993"/>
        </w:tabs>
        <w:ind w:firstLine="992"/>
        <w:rPr>
          <w:rFonts w:ascii="PT Astra Serif" w:hAnsi="PT Astra Serif" w:cs="Times New Roman"/>
          <w:szCs w:val="28"/>
        </w:rPr>
      </w:pPr>
      <w:r w:rsidRPr="002A207B">
        <w:rPr>
          <w:rFonts w:ascii="PT Astra Serif" w:hAnsi="PT Astra Serif" w:cs="Times New Roman"/>
          <w:szCs w:val="28"/>
        </w:rPr>
        <w:t xml:space="preserve">приобретено </w:t>
      </w:r>
      <w:r w:rsidRPr="002A207B">
        <w:rPr>
          <w:rFonts w:ascii="PT Astra Serif" w:hAnsi="PT Astra Serif" w:cs="Times New Roman"/>
          <w:b/>
          <w:szCs w:val="28"/>
        </w:rPr>
        <w:t>150 единиц</w:t>
      </w:r>
      <w:r w:rsidRPr="002A207B">
        <w:rPr>
          <w:rFonts w:ascii="PT Astra Serif" w:hAnsi="PT Astra Serif" w:cs="Times New Roman"/>
          <w:szCs w:val="28"/>
        </w:rPr>
        <w:t xml:space="preserve"> современного оборудования;</w:t>
      </w:r>
    </w:p>
    <w:p w14:paraId="086F0EB3" w14:textId="77777777" w:rsidR="002A207B" w:rsidRPr="002A207B" w:rsidRDefault="002A207B" w:rsidP="002A207B">
      <w:pPr>
        <w:widowControl w:val="0"/>
        <w:tabs>
          <w:tab w:val="left" w:pos="993"/>
        </w:tabs>
        <w:ind w:firstLine="992"/>
        <w:rPr>
          <w:rFonts w:ascii="PT Astra Serif" w:hAnsi="PT Astra Serif" w:cs="Times New Roman"/>
          <w:szCs w:val="28"/>
        </w:rPr>
      </w:pPr>
      <w:r w:rsidRPr="002A207B">
        <w:rPr>
          <w:rFonts w:ascii="PT Astra Serif" w:hAnsi="PT Astra Serif" w:cs="Times New Roman"/>
          <w:b/>
          <w:szCs w:val="28"/>
        </w:rPr>
        <w:t>20 транспортных средств для доставки пациентов</w:t>
      </w:r>
      <w:r w:rsidRPr="002A207B">
        <w:rPr>
          <w:rFonts w:ascii="PT Astra Serif" w:hAnsi="PT Astra Serif" w:cs="Times New Roman"/>
          <w:szCs w:val="28"/>
        </w:rPr>
        <w:t xml:space="preserve"> в медицинские организации и обратно, в том числе и для профилактических мероприятий, медицинских работников до места жительства пациентов, лекарственных препаратов до жителей отдаленных районов.</w:t>
      </w:r>
    </w:p>
    <w:p w14:paraId="2793A220"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Благодаря реализованным мероприятиям произошло снижение на 2,7% суммарной продолжительности временной нетрудоспособности по заболеванию работающих граждан в текущем году (с 99% до 96,3%).</w:t>
      </w:r>
    </w:p>
    <w:p w14:paraId="65BF68D5"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В 2026 году мероприятия по модернизации учреждений продолжатся, планируется закупить 4 единицы тяжелого, дорогостоящего оборудования </w:t>
      </w:r>
      <w:r w:rsidRPr="002A207B">
        <w:rPr>
          <w:rFonts w:ascii="PT Astra Serif" w:eastAsia="Calibri" w:hAnsi="PT Astra Serif" w:cs="Times New Roman"/>
          <w:szCs w:val="28"/>
        </w:rPr>
        <w:lastRenderedPageBreak/>
        <w:t xml:space="preserve">отремонтировать поликлинику в </w:t>
      </w:r>
      <w:proofErr w:type="spellStart"/>
      <w:r w:rsidRPr="002A207B">
        <w:rPr>
          <w:rFonts w:ascii="PT Astra Serif" w:eastAsia="Calibri" w:hAnsi="PT Astra Serif" w:cs="Times New Roman"/>
          <w:szCs w:val="28"/>
        </w:rPr>
        <w:t>Тереньгульской</w:t>
      </w:r>
      <w:proofErr w:type="spellEnd"/>
      <w:r w:rsidRPr="002A207B">
        <w:rPr>
          <w:rFonts w:ascii="PT Astra Serif" w:eastAsia="Calibri" w:hAnsi="PT Astra Serif" w:cs="Times New Roman"/>
          <w:szCs w:val="28"/>
        </w:rPr>
        <w:t xml:space="preserve"> районной больнице, построить 18 новых фельдшерско-акушерских пункта.</w:t>
      </w:r>
    </w:p>
    <w:p w14:paraId="7B25B0F5"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 xml:space="preserve">В целях </w:t>
      </w:r>
      <w:r w:rsidRPr="002A207B">
        <w:rPr>
          <w:rFonts w:ascii="PT Astra Serif" w:eastAsia="Calibri" w:hAnsi="PT Astra Serif" w:cs="Times New Roman"/>
          <w:b/>
          <w:szCs w:val="28"/>
        </w:rPr>
        <w:t xml:space="preserve">обеспечения медицинскими кадрами отрасли здравоохранения </w:t>
      </w:r>
      <w:r w:rsidRPr="002A207B">
        <w:rPr>
          <w:rFonts w:ascii="PT Astra Serif" w:eastAsia="Calibri" w:hAnsi="PT Astra Serif" w:cs="Times New Roman"/>
          <w:szCs w:val="28"/>
        </w:rPr>
        <w:t>разработаны и реализуются меры:</w:t>
      </w:r>
    </w:p>
    <w:p w14:paraId="70029153" w14:textId="77777777" w:rsidR="002A207B" w:rsidRPr="002A207B" w:rsidRDefault="002A207B" w:rsidP="002A207B">
      <w:pPr>
        <w:widowControl w:val="0"/>
        <w:tabs>
          <w:tab w:val="left" w:pos="993"/>
        </w:tabs>
        <w:rPr>
          <w:rFonts w:ascii="PT Astra Serif" w:eastAsia="Calibri" w:hAnsi="PT Astra Serif" w:cs="Times New Roman"/>
          <w:szCs w:val="28"/>
        </w:rPr>
      </w:pPr>
      <w:r w:rsidRPr="002A207B">
        <w:rPr>
          <w:rFonts w:ascii="PT Astra Serif" w:hAnsi="PT Astra Serif" w:cs="Times New Roman"/>
          <w:szCs w:val="28"/>
        </w:rPr>
        <w:t>по предоставлению мер социальной поддержки, оплате найма жилого помещения и иные меры, благодаря действию Закона Ульяновской области от 02.10.2020 № 103-ЗО «О правовом регулировании отдельных вопросов статуса молодых специалистов в Ульяновской области»;</w:t>
      </w:r>
    </w:p>
    <w:p w14:paraId="2D8E13C4" w14:textId="77777777" w:rsidR="002A207B" w:rsidRPr="002A207B" w:rsidRDefault="002A207B" w:rsidP="002A207B">
      <w:pPr>
        <w:widowControl w:val="0"/>
        <w:tabs>
          <w:tab w:val="left" w:pos="993"/>
        </w:tabs>
        <w:rPr>
          <w:rFonts w:ascii="PT Astra Serif" w:hAnsi="PT Astra Serif" w:cs="Times New Roman"/>
          <w:szCs w:val="28"/>
        </w:rPr>
      </w:pPr>
      <w:r w:rsidRPr="002A207B">
        <w:rPr>
          <w:rFonts w:ascii="PT Astra Serif" w:hAnsi="PT Astra Serif" w:cs="Times New Roman"/>
          <w:szCs w:val="28"/>
        </w:rPr>
        <w:t>обеспечивается адресная поддержка медицинских сотрудников, в том числе и приоритетное право приёма детей в дошкольные образовательные учреждения</w:t>
      </w:r>
    </w:p>
    <w:p w14:paraId="3E990E5C" w14:textId="77777777" w:rsidR="002A207B" w:rsidRPr="002A207B" w:rsidRDefault="002A207B" w:rsidP="002A207B">
      <w:pPr>
        <w:widowControl w:val="0"/>
        <w:tabs>
          <w:tab w:val="left" w:pos="993"/>
        </w:tabs>
        <w:rPr>
          <w:rFonts w:ascii="PT Astra Serif" w:hAnsi="PT Astra Serif" w:cs="Times New Roman"/>
          <w:bCs/>
          <w:szCs w:val="28"/>
        </w:rPr>
      </w:pPr>
      <w:r w:rsidRPr="002A207B">
        <w:rPr>
          <w:rFonts w:ascii="PT Astra Serif" w:hAnsi="PT Astra Serif" w:cs="Times New Roman"/>
          <w:bCs/>
          <w:szCs w:val="28"/>
        </w:rPr>
        <w:t xml:space="preserve">расширяются меры социальной поддержки за счёт бюджетных ассигнований областного бюджета Ульяновской области: в </w:t>
      </w:r>
      <w:proofErr w:type="spellStart"/>
      <w:r w:rsidRPr="002A207B">
        <w:rPr>
          <w:rFonts w:ascii="PT Astra Serif" w:hAnsi="PT Astra Serif" w:cs="Times New Roman"/>
          <w:bCs/>
          <w:szCs w:val="28"/>
        </w:rPr>
        <w:t>т.ч</w:t>
      </w:r>
      <w:proofErr w:type="spellEnd"/>
      <w:r w:rsidRPr="002A207B">
        <w:rPr>
          <w:rFonts w:ascii="PT Astra Serif" w:hAnsi="PT Astra Serif" w:cs="Times New Roman"/>
          <w:bCs/>
          <w:szCs w:val="28"/>
        </w:rPr>
        <w:t>. обеспечение жильем, безвозмездное предоставление земельных участков для строительства жилья, компенсации расходов на оплату жилья.</w:t>
      </w:r>
    </w:p>
    <w:p w14:paraId="10C8B631" w14:textId="77777777" w:rsidR="002A207B" w:rsidRPr="002A207B" w:rsidRDefault="002A207B" w:rsidP="002A207B">
      <w:pPr>
        <w:widowControl w:val="0"/>
        <w:tabs>
          <w:tab w:val="left" w:pos="993"/>
        </w:tabs>
        <w:rPr>
          <w:rFonts w:ascii="PT Astra Serif" w:hAnsi="PT Astra Serif" w:cs="Times New Roman"/>
          <w:bCs/>
          <w:szCs w:val="28"/>
        </w:rPr>
      </w:pPr>
      <w:r w:rsidRPr="002A207B">
        <w:rPr>
          <w:rFonts w:ascii="PT Astra Serif" w:hAnsi="PT Astra Serif" w:cs="Times New Roman"/>
          <w:bCs/>
          <w:szCs w:val="28"/>
        </w:rPr>
        <w:t>реализовывается программа «Земский доктор» и «Земский фельдшер».</w:t>
      </w:r>
    </w:p>
    <w:p w14:paraId="7F02364F"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 xml:space="preserve">В рамках </w:t>
      </w:r>
      <w:r w:rsidRPr="002A207B">
        <w:rPr>
          <w:rFonts w:ascii="PT Astra Serif" w:eastAsia="Calibri" w:hAnsi="PT Astra Serif" w:cs="Times New Roman"/>
          <w:b/>
          <w:szCs w:val="28"/>
        </w:rPr>
        <w:t>федерального проекта «Национальная цифровая платформа «Здоровье»</w:t>
      </w:r>
    </w:p>
    <w:p w14:paraId="12EA83F7" w14:textId="0E58AF94" w:rsidR="002A207B" w:rsidRPr="002A207B" w:rsidRDefault="002A207B" w:rsidP="002A207B">
      <w:pPr>
        <w:widowControl w:val="0"/>
        <w:tabs>
          <w:tab w:val="left" w:pos="993"/>
        </w:tabs>
        <w:rPr>
          <w:rFonts w:ascii="PT Astra Serif" w:eastAsia="Calibri" w:hAnsi="PT Astra Serif" w:cs="Times New Roman"/>
          <w:szCs w:val="28"/>
        </w:rPr>
      </w:pPr>
      <w:r w:rsidRPr="002A207B">
        <w:rPr>
          <w:rFonts w:ascii="PT Astra Serif" w:hAnsi="PT Astra Serif" w:cs="Times New Roman"/>
          <w:szCs w:val="28"/>
        </w:rPr>
        <w:t xml:space="preserve">обеспечена доступность гражданам на Портале государственных услуг </w:t>
      </w:r>
      <w:r w:rsidRPr="002A207B">
        <w:rPr>
          <w:rFonts w:ascii="PT Astra Serif" w:hAnsi="PT Astra Serif" w:cs="Times New Roman"/>
          <w:b/>
          <w:szCs w:val="28"/>
        </w:rPr>
        <w:t>30 видов</w:t>
      </w:r>
      <w:r w:rsidRPr="002A207B">
        <w:rPr>
          <w:rFonts w:ascii="PT Astra Serif" w:hAnsi="PT Astra Serif" w:cs="Times New Roman"/>
          <w:szCs w:val="28"/>
        </w:rPr>
        <w:t xml:space="preserve"> электронных юридически значимых медицинских документов </w:t>
      </w:r>
      <w:r w:rsidRPr="002A207B">
        <w:rPr>
          <w:rFonts w:ascii="PT Astra Serif" w:hAnsi="PT Astra Serif" w:cs="Times New Roman"/>
          <w:szCs w:val="28"/>
        </w:rPr>
        <w:br/>
        <w:t xml:space="preserve">(в 2022 году было доступно 9 видов документов, </w:t>
      </w:r>
      <w:r w:rsidR="00617852">
        <w:rPr>
          <w:rFonts w:ascii="PT Astra Serif" w:hAnsi="PT Astra Serif" w:cs="Times New Roman"/>
          <w:szCs w:val="28"/>
        </w:rPr>
        <w:t xml:space="preserve">в </w:t>
      </w:r>
      <w:r w:rsidRPr="002A207B">
        <w:rPr>
          <w:rFonts w:ascii="PT Astra Serif" w:hAnsi="PT Astra Serif" w:cs="Times New Roman"/>
          <w:szCs w:val="28"/>
        </w:rPr>
        <w:t>2023 год</w:t>
      </w:r>
      <w:r w:rsidR="00617852">
        <w:rPr>
          <w:rFonts w:ascii="PT Astra Serif" w:hAnsi="PT Astra Serif" w:cs="Times New Roman"/>
          <w:szCs w:val="28"/>
        </w:rPr>
        <w:t>у</w:t>
      </w:r>
      <w:r w:rsidRPr="002A207B">
        <w:rPr>
          <w:rFonts w:ascii="PT Astra Serif" w:hAnsi="PT Astra Serif" w:cs="Times New Roman"/>
          <w:szCs w:val="28"/>
        </w:rPr>
        <w:t xml:space="preserve"> – 11 видов, </w:t>
      </w:r>
      <w:r w:rsidR="00617852">
        <w:rPr>
          <w:rFonts w:ascii="PT Astra Serif" w:hAnsi="PT Astra Serif" w:cs="Times New Roman"/>
          <w:szCs w:val="28"/>
        </w:rPr>
        <w:t xml:space="preserve">в </w:t>
      </w:r>
      <w:r w:rsidRPr="002A207B">
        <w:rPr>
          <w:rFonts w:ascii="PT Astra Serif" w:hAnsi="PT Astra Serif" w:cs="Times New Roman"/>
          <w:szCs w:val="28"/>
        </w:rPr>
        <w:t>2024 год</w:t>
      </w:r>
      <w:r w:rsidR="00617852">
        <w:rPr>
          <w:rFonts w:ascii="PT Astra Serif" w:hAnsi="PT Astra Serif" w:cs="Times New Roman"/>
          <w:szCs w:val="28"/>
        </w:rPr>
        <w:t>у</w:t>
      </w:r>
      <w:r w:rsidRPr="002A207B">
        <w:rPr>
          <w:rFonts w:ascii="PT Astra Serif" w:hAnsi="PT Astra Serif" w:cs="Times New Roman"/>
          <w:szCs w:val="28"/>
        </w:rPr>
        <w:t xml:space="preserve"> – 20 видов);</w:t>
      </w:r>
    </w:p>
    <w:p w14:paraId="49D55998" w14:textId="77777777" w:rsidR="002A207B" w:rsidRPr="002A207B" w:rsidRDefault="002A207B" w:rsidP="002A207B">
      <w:pPr>
        <w:widowControl w:val="0"/>
        <w:tabs>
          <w:tab w:val="left" w:pos="993"/>
        </w:tabs>
        <w:rPr>
          <w:rFonts w:ascii="PT Astra Serif" w:hAnsi="PT Astra Serif" w:cs="Times New Roman"/>
          <w:szCs w:val="28"/>
        </w:rPr>
      </w:pPr>
      <w:r w:rsidRPr="002A207B">
        <w:rPr>
          <w:rFonts w:ascii="PT Astra Serif" w:hAnsi="PT Astra Serif" w:cs="Times New Roman"/>
          <w:szCs w:val="28"/>
        </w:rPr>
        <w:t>жители Ульяновской области получили более 19 млн электронных медицинских документов (2024 год – 15 млн документов, 2023 год – 7,5 млн документов, 2022 год – 1,4 млн документов);</w:t>
      </w:r>
    </w:p>
    <w:p w14:paraId="18DB0545" w14:textId="77777777" w:rsidR="002A207B" w:rsidRPr="002A207B" w:rsidRDefault="002A207B" w:rsidP="002A207B">
      <w:pPr>
        <w:widowControl w:val="0"/>
        <w:tabs>
          <w:tab w:val="left" w:pos="993"/>
        </w:tabs>
        <w:rPr>
          <w:rFonts w:ascii="PT Astra Serif" w:hAnsi="PT Astra Serif" w:cs="Times New Roman"/>
          <w:szCs w:val="28"/>
        </w:rPr>
      </w:pPr>
      <w:r w:rsidRPr="002A207B">
        <w:rPr>
          <w:rFonts w:ascii="PT Astra Serif" w:hAnsi="PT Astra Serif" w:cs="Times New Roman"/>
          <w:szCs w:val="28"/>
        </w:rPr>
        <w:t>при оказании медицинской помощи применяется 6 медицинских изделий на основе искусственного интеллекта (план – 4): 1 по анализу электронных медицинских карт в целях выявления рисков и 5 на основе компьютерного зрения по анализу медицинских изображений;</w:t>
      </w:r>
    </w:p>
    <w:p w14:paraId="2565F4DF" w14:textId="77777777" w:rsidR="002A207B" w:rsidRPr="002A207B" w:rsidRDefault="002A207B" w:rsidP="002A207B">
      <w:pPr>
        <w:widowControl w:val="0"/>
        <w:tabs>
          <w:tab w:val="left" w:pos="993"/>
        </w:tabs>
        <w:rPr>
          <w:rFonts w:ascii="PT Astra Serif" w:hAnsi="PT Astra Serif" w:cs="Times New Roman"/>
          <w:i/>
          <w:szCs w:val="28"/>
        </w:rPr>
      </w:pPr>
      <w:r w:rsidRPr="002A207B">
        <w:rPr>
          <w:rFonts w:ascii="PT Astra Serif" w:hAnsi="PT Astra Serif" w:cs="Times New Roman"/>
          <w:szCs w:val="28"/>
        </w:rPr>
        <w:t>41,23% граждан Ульяновской области воспользовались услугами (сервисами) в Личном кабинете пациента «Мое здоровье» на ЕПГУ, показатель превысил плановое значение по Российской Федерации на 2025 год</w:t>
      </w:r>
      <w:r w:rsidRPr="002A207B">
        <w:rPr>
          <w:rFonts w:ascii="PT Astra Serif" w:hAnsi="PT Astra Serif" w:cs="Times New Roman"/>
          <w:b/>
          <w:szCs w:val="28"/>
        </w:rPr>
        <w:t xml:space="preserve"> на 11,23% </w:t>
      </w:r>
      <w:r w:rsidRPr="002A207B">
        <w:rPr>
          <w:rFonts w:ascii="PT Astra Serif" w:hAnsi="PT Astra Serif" w:cs="Times New Roman"/>
          <w:i/>
          <w:szCs w:val="28"/>
        </w:rPr>
        <w:t>(факт – 41,23%, план – 31%).</w:t>
      </w:r>
    </w:p>
    <w:p w14:paraId="536FC974" w14:textId="77777777" w:rsidR="002A207B" w:rsidRPr="002A207B" w:rsidRDefault="002A207B" w:rsidP="002A207B">
      <w:pPr>
        <w:widowControl w:val="0"/>
        <w:ind w:firstLine="708"/>
        <w:rPr>
          <w:rFonts w:ascii="PT Astra Serif" w:eastAsia="Calibri" w:hAnsi="PT Astra Serif" w:cs="Times New Roman"/>
          <w:szCs w:val="28"/>
        </w:rPr>
      </w:pPr>
      <w:r w:rsidRPr="002A207B">
        <w:rPr>
          <w:rFonts w:ascii="PT Astra Serif" w:eastAsia="Calibri" w:hAnsi="PT Astra Serif" w:cs="Times New Roman"/>
          <w:szCs w:val="28"/>
        </w:rPr>
        <w:t>В результате комплексной реализации мероприятий региональных проектов, направленных на достижение национальных целей развития, ожидаемая</w:t>
      </w:r>
      <w:r w:rsidRPr="002A207B">
        <w:rPr>
          <w:rFonts w:ascii="PT Astra Serif" w:eastAsia="Calibri" w:hAnsi="PT Astra Serif" w:cs="Times New Roman"/>
          <w:b/>
          <w:szCs w:val="28"/>
        </w:rPr>
        <w:t xml:space="preserve"> продолжительность жизни при рождении в 2025 году выросла на 2,25 года</w:t>
      </w:r>
      <w:r w:rsidRPr="002A207B">
        <w:rPr>
          <w:rFonts w:ascii="PT Astra Serif" w:eastAsia="Calibri" w:hAnsi="PT Astra Serif" w:cs="Times New Roman"/>
          <w:szCs w:val="28"/>
        </w:rPr>
        <w:t xml:space="preserve"> в сравнении с 2024 годом.</w:t>
      </w:r>
    </w:p>
    <w:p w14:paraId="02905B0F" w14:textId="77777777" w:rsidR="002A207B" w:rsidRPr="002A207B" w:rsidRDefault="002A207B" w:rsidP="002A207B">
      <w:pPr>
        <w:widowControl w:val="0"/>
        <w:autoSpaceDE w:val="0"/>
        <w:autoSpaceDN w:val="0"/>
        <w:adjustRightInd w:val="0"/>
        <w:ind w:firstLine="0"/>
        <w:rPr>
          <w:rFonts w:ascii="PT Astra Serif" w:hAnsi="PT Astra Serif" w:cs="PT Astra Serif"/>
          <w:szCs w:val="28"/>
          <w:lang w:eastAsia="ru-RU"/>
        </w:rPr>
      </w:pPr>
    </w:p>
    <w:p w14:paraId="770201D9" w14:textId="77777777" w:rsidR="002A207B" w:rsidRPr="002A207B" w:rsidRDefault="002A207B" w:rsidP="002A207B">
      <w:pPr>
        <w:widowControl w:val="0"/>
        <w:shd w:val="clear" w:color="auto" w:fill="FFFFFF"/>
        <w:ind w:firstLine="0"/>
        <w:jc w:val="center"/>
        <w:rPr>
          <w:rFonts w:ascii="PT Astra Serif" w:eastAsia="Times New Roman" w:hAnsi="PT Astra Serif" w:cs="Times New Roman"/>
          <w:b/>
          <w:bCs/>
          <w:szCs w:val="26"/>
        </w:rPr>
      </w:pPr>
      <w:r w:rsidRPr="002A207B">
        <w:rPr>
          <w:rFonts w:ascii="PT Astra Serif" w:eastAsia="Times New Roman" w:hAnsi="PT Astra Serif" w:cs="Times New Roman"/>
          <w:b/>
          <w:bCs/>
          <w:szCs w:val="26"/>
        </w:rPr>
        <w:t>Лекарственное обеспечение</w:t>
      </w:r>
    </w:p>
    <w:p w14:paraId="230DD2E7" w14:textId="77777777" w:rsidR="002A207B" w:rsidRPr="002A207B" w:rsidRDefault="002A207B" w:rsidP="002A207B">
      <w:pPr>
        <w:widowControl w:val="0"/>
        <w:shd w:val="clear" w:color="auto" w:fill="FFFFFF"/>
        <w:ind w:firstLine="0"/>
        <w:jc w:val="center"/>
        <w:rPr>
          <w:rFonts w:ascii="PT Astra Serif" w:eastAsia="Times New Roman" w:hAnsi="PT Astra Serif" w:cs="Times New Roman"/>
          <w:b/>
          <w:bCs/>
          <w:szCs w:val="26"/>
        </w:rPr>
      </w:pPr>
    </w:p>
    <w:p w14:paraId="6460B61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правом на льготное лекарственное обеспечение воспользовались 18 427 человек (федеральных льготников), которым выданы препараты по 515,85 тыс. рецептам на сумму 606,47 млн рублей, объём отпуска препаратов увеличен по сравнению с 2024 годом на 16% по количеству рецептов, но ниже на 4% по сумме отпуска (2024 год – 443,52 тыс. </w:t>
      </w:r>
      <w:r w:rsidRPr="002A207B">
        <w:rPr>
          <w:rFonts w:ascii="PT Astra Serif" w:hAnsi="PT Astra Serif" w:cs="Times New Roman"/>
          <w:szCs w:val="28"/>
        </w:rPr>
        <w:lastRenderedPageBreak/>
        <w:t>рецептов на 634,08 млн рублей).</w:t>
      </w:r>
    </w:p>
    <w:p w14:paraId="6D359552" w14:textId="5B51550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рамках федеральной целевой программы «14 </w:t>
      </w:r>
      <w:proofErr w:type="spellStart"/>
      <w:r w:rsidRPr="002A207B">
        <w:rPr>
          <w:rFonts w:ascii="PT Astra Serif" w:hAnsi="PT Astra Serif" w:cs="Times New Roman"/>
          <w:szCs w:val="28"/>
        </w:rPr>
        <w:t>высокозатратных</w:t>
      </w:r>
      <w:proofErr w:type="spellEnd"/>
      <w:r w:rsidRPr="002A207B">
        <w:rPr>
          <w:rFonts w:ascii="PT Astra Serif" w:hAnsi="PT Astra Serif" w:cs="Times New Roman"/>
          <w:szCs w:val="28"/>
        </w:rPr>
        <w:t xml:space="preserve"> нозологий» (постановление Правительства РФ №</w:t>
      </w:r>
      <w:r w:rsidR="00617852">
        <w:rPr>
          <w:rFonts w:ascii="PT Astra Serif" w:hAnsi="PT Astra Serif" w:cs="Times New Roman"/>
          <w:szCs w:val="28"/>
        </w:rPr>
        <w:t> </w:t>
      </w:r>
      <w:r w:rsidRPr="002A207B">
        <w:rPr>
          <w:rFonts w:ascii="PT Astra Serif" w:hAnsi="PT Astra Serif" w:cs="Times New Roman"/>
          <w:szCs w:val="28"/>
        </w:rPr>
        <w:t>1416 от 26.11.2018) обеспеченность больных в 2025 году сохраняется на уровне 2024 года. В 2025 году лекарственная помощь предоставлена 1 317 пациентам, отпущены препараты по 14,63 тыс. рецептам на сумму 767,1 млн рублей (в 2024 году–1 310 пациентам выданы препараты по 14,55 тыс. рецептам на 794,01 млн рублей).</w:t>
      </w:r>
    </w:p>
    <w:p w14:paraId="3BAE6140"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правом на льготное лекарственное обеспечение за счёт средств субъекта Российской Федерации (региональные льготники) воспользовались 60,06 тыс. человек из 94,46 тыс. человек, имеющих данный вид льготы, которым выданы препараты по 758,46 тыс. рецептам на 1 374,21 млн рублей, объём отпуска препаратов увеличен по сравнению </w:t>
      </w:r>
      <w:r w:rsidRPr="002A207B">
        <w:rPr>
          <w:rFonts w:ascii="PT Astra Serif" w:hAnsi="PT Astra Serif" w:cs="Times New Roman"/>
          <w:szCs w:val="28"/>
        </w:rPr>
        <w:br/>
        <w:t>с 2024 годом на 162,5 млн рублей (2024 год – 697,89 тыс. рецептов на сумму 1 211,71 млн рублей).</w:t>
      </w:r>
    </w:p>
    <w:p w14:paraId="2BD5B4D6" w14:textId="1B5EEC15"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Ульяновской области проживают 226</w:t>
      </w:r>
      <w:r w:rsidR="00617852">
        <w:rPr>
          <w:rFonts w:ascii="PT Astra Serif" w:hAnsi="PT Astra Serif" w:cs="Times New Roman"/>
          <w:szCs w:val="28"/>
        </w:rPr>
        <w:t xml:space="preserve"> </w:t>
      </w:r>
      <w:r w:rsidRPr="002A207B">
        <w:rPr>
          <w:rFonts w:ascii="PT Astra Serif" w:hAnsi="PT Astra Serif" w:cs="Times New Roman"/>
          <w:szCs w:val="28"/>
        </w:rPr>
        <w:t>человек, больных редкими (</w:t>
      </w:r>
      <w:proofErr w:type="spellStart"/>
      <w:r w:rsidRPr="002A207B">
        <w:rPr>
          <w:rFonts w:ascii="PT Astra Serif" w:hAnsi="PT Astra Serif" w:cs="Times New Roman"/>
          <w:szCs w:val="28"/>
        </w:rPr>
        <w:t>орфанными</w:t>
      </w:r>
      <w:proofErr w:type="spellEnd"/>
      <w:r w:rsidRPr="002A207B">
        <w:rPr>
          <w:rFonts w:ascii="PT Astra Serif" w:hAnsi="PT Astra Serif" w:cs="Times New Roman"/>
          <w:szCs w:val="28"/>
        </w:rPr>
        <w:t xml:space="preserve">) заболеваниями, лекарственное обеспечение которых отнесено </w:t>
      </w:r>
      <w:r w:rsidR="00617852">
        <w:rPr>
          <w:rFonts w:ascii="PT Astra Serif" w:hAnsi="PT Astra Serif" w:cs="Times New Roman"/>
          <w:szCs w:val="28"/>
        </w:rPr>
        <w:br/>
      </w:r>
      <w:r w:rsidRPr="002A207B">
        <w:rPr>
          <w:rFonts w:ascii="PT Astra Serif" w:hAnsi="PT Astra Serif" w:cs="Times New Roman"/>
          <w:szCs w:val="28"/>
        </w:rPr>
        <w:t>к полномочиям субъекта Российской Федерации. Всего в 2025 году больным редкими (</w:t>
      </w:r>
      <w:proofErr w:type="spellStart"/>
      <w:r w:rsidRPr="002A207B">
        <w:rPr>
          <w:rFonts w:ascii="PT Astra Serif" w:hAnsi="PT Astra Serif" w:cs="Times New Roman"/>
          <w:szCs w:val="28"/>
        </w:rPr>
        <w:t>орфанными</w:t>
      </w:r>
      <w:proofErr w:type="spellEnd"/>
      <w:r w:rsidRPr="002A207B">
        <w:rPr>
          <w:rFonts w:ascii="PT Astra Serif" w:hAnsi="PT Astra Serif" w:cs="Times New Roman"/>
          <w:szCs w:val="28"/>
        </w:rPr>
        <w:t>) заболеваниями по назначениям врача отпущены лекарственные препараты и специализированные продукты лечебного питания на сумму 293,14 млн рублей.</w:t>
      </w:r>
    </w:p>
    <w:p w14:paraId="40872E6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Фонд «Круг добра» для поддержки детей с тяжелыми </w:t>
      </w:r>
      <w:proofErr w:type="spellStart"/>
      <w:r w:rsidRPr="002A207B">
        <w:rPr>
          <w:rFonts w:ascii="PT Astra Serif" w:hAnsi="PT Astra Serif" w:cs="Times New Roman"/>
          <w:szCs w:val="28"/>
        </w:rPr>
        <w:t>жизнеугрожающими</w:t>
      </w:r>
      <w:proofErr w:type="spellEnd"/>
      <w:r w:rsidRPr="002A207B">
        <w:rPr>
          <w:rFonts w:ascii="PT Astra Serif" w:hAnsi="PT Astra Serif" w:cs="Times New Roman"/>
          <w:szCs w:val="28"/>
        </w:rPr>
        <w:t xml:space="preserve"> и хроническими заболеваниями, в том числе редкими (</w:t>
      </w:r>
      <w:proofErr w:type="spellStart"/>
      <w:r w:rsidRPr="002A207B">
        <w:rPr>
          <w:rFonts w:ascii="PT Astra Serif" w:hAnsi="PT Astra Serif" w:cs="Times New Roman"/>
          <w:szCs w:val="28"/>
        </w:rPr>
        <w:t>орфанными</w:t>
      </w:r>
      <w:proofErr w:type="spellEnd"/>
      <w:r w:rsidRPr="002A207B">
        <w:rPr>
          <w:rFonts w:ascii="PT Astra Serif" w:hAnsi="PT Astra Serif" w:cs="Times New Roman"/>
          <w:szCs w:val="28"/>
        </w:rPr>
        <w:t>), обеспечил 68 детей. Для них закуплены и поставлены препараты на сумму 852,77 млн рублей (в 2021 году препараты были поставлены на сумму 261,1 млн рублей для обеспечения 13 детей, в 2022 году - на сумму 557,02 млн рублей для обеспечения 38 детей, в 2023 году - на сумму 971,13 млн рублей для обеспечения 54 детей, в 2024 году – на сумму 1,009 млрд рублей для обеспечения 72 детей).</w:t>
      </w:r>
    </w:p>
    <w:p w14:paraId="1D0B7218"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2025 году объём отпуска лекарственных препаратов больным редкими (</w:t>
      </w:r>
      <w:proofErr w:type="spellStart"/>
      <w:r w:rsidRPr="002A207B">
        <w:rPr>
          <w:rFonts w:ascii="PT Astra Serif" w:hAnsi="PT Astra Serif" w:cs="Times New Roman"/>
          <w:szCs w:val="28"/>
        </w:rPr>
        <w:t>орфанными</w:t>
      </w:r>
      <w:proofErr w:type="spellEnd"/>
      <w:r w:rsidRPr="002A207B">
        <w:rPr>
          <w:rFonts w:ascii="PT Astra Serif" w:hAnsi="PT Astra Serif" w:cs="Times New Roman"/>
          <w:szCs w:val="28"/>
        </w:rPr>
        <w:t xml:space="preserve">) заболеваниями выше уровня 2024 года. Обеспечение таких граждан лекарственными препаратами осуществляется в соответствии </w:t>
      </w:r>
      <w:r w:rsidRPr="002A207B">
        <w:rPr>
          <w:rFonts w:ascii="PT Astra Serif" w:hAnsi="PT Astra Serif" w:cs="Times New Roman"/>
          <w:szCs w:val="28"/>
        </w:rPr>
        <w:br/>
        <w:t>с потребностью в полном объёме, задача о недопустимости снижения их обеспеченности выполняется.</w:t>
      </w:r>
    </w:p>
    <w:p w14:paraId="5B24CC4C" w14:textId="77777777" w:rsidR="002A207B" w:rsidRPr="002A207B" w:rsidRDefault="002A207B" w:rsidP="002A207B">
      <w:pPr>
        <w:widowControl w:val="0"/>
        <w:ind w:firstLine="0"/>
        <w:jc w:val="center"/>
        <w:rPr>
          <w:rFonts w:ascii="PT Astra Serif" w:hAnsi="PT Astra Serif" w:cs="Times New Roman"/>
          <w:szCs w:val="28"/>
        </w:rPr>
      </w:pPr>
    </w:p>
    <w:p w14:paraId="2DBE67B0" w14:textId="77777777" w:rsidR="002A207B" w:rsidRPr="002A207B" w:rsidRDefault="002A207B" w:rsidP="002A207B">
      <w:pPr>
        <w:widowControl w:val="0"/>
        <w:shd w:val="clear" w:color="auto" w:fill="FFFFFF"/>
        <w:ind w:firstLine="0"/>
        <w:jc w:val="center"/>
        <w:rPr>
          <w:rFonts w:ascii="PT Astra Serif" w:eastAsia="Times New Roman" w:hAnsi="PT Astra Serif" w:cs="Times New Roman"/>
          <w:b/>
          <w:bCs/>
          <w:color w:val="000000"/>
          <w:szCs w:val="26"/>
        </w:rPr>
      </w:pPr>
      <w:r w:rsidRPr="002A207B">
        <w:rPr>
          <w:rFonts w:ascii="PT Astra Serif" w:eastAsia="Times New Roman" w:hAnsi="PT Astra Serif" w:cs="Times New Roman"/>
          <w:b/>
          <w:bCs/>
          <w:color w:val="000000"/>
          <w:szCs w:val="26"/>
        </w:rPr>
        <w:t xml:space="preserve">Реализация территориальной программы </w:t>
      </w:r>
      <w:r w:rsidRPr="002A207B">
        <w:rPr>
          <w:rFonts w:ascii="PT Astra Serif" w:eastAsia="Times New Roman" w:hAnsi="PT Astra Serif" w:cs="Times New Roman"/>
          <w:b/>
          <w:bCs/>
          <w:color w:val="000000"/>
          <w:szCs w:val="26"/>
        </w:rPr>
        <w:br/>
        <w:t>обязательного медицинского страхования в 2025 году</w:t>
      </w:r>
    </w:p>
    <w:p w14:paraId="7C9C89E0" w14:textId="77777777" w:rsidR="002A207B" w:rsidRPr="002A207B" w:rsidRDefault="002A207B" w:rsidP="002A207B">
      <w:pPr>
        <w:widowControl w:val="0"/>
        <w:autoSpaceDE w:val="0"/>
        <w:autoSpaceDN w:val="0"/>
        <w:adjustRightInd w:val="0"/>
        <w:ind w:firstLine="0"/>
        <w:rPr>
          <w:rFonts w:ascii="PT Astra Serif" w:hAnsi="PT Astra Serif" w:cs="Times New Roman"/>
          <w:szCs w:val="28"/>
        </w:rPr>
      </w:pPr>
    </w:p>
    <w:p w14:paraId="1C624665" w14:textId="77777777" w:rsidR="002A207B" w:rsidRPr="002A207B" w:rsidRDefault="002A207B" w:rsidP="002A207B">
      <w:pPr>
        <w:widowControl w:val="0"/>
        <w:rPr>
          <w:rFonts w:ascii="PT Astra Serif" w:hAnsi="PT Astra Serif" w:cs="Helvetica"/>
          <w:szCs w:val="28"/>
          <w:shd w:val="clear" w:color="auto" w:fill="FFFFFF"/>
        </w:rPr>
      </w:pPr>
      <w:r w:rsidRPr="002A207B">
        <w:rPr>
          <w:rFonts w:ascii="PT Astra Serif" w:hAnsi="PT Astra Serif" w:cs="Times New Roman"/>
          <w:szCs w:val="28"/>
        </w:rPr>
        <w:t>Одним из параметров, направленных на доступность медицинской помощи застрахованным, является выполнение объёмов медицинской помощи в рамках территориальной программы обязательного медицинского страхования.</w:t>
      </w:r>
      <w:r w:rsidRPr="002A207B">
        <w:rPr>
          <w:rFonts w:ascii="PT Astra Serif" w:hAnsi="PT Astra Serif" w:cs="Helvetica"/>
          <w:szCs w:val="28"/>
          <w:shd w:val="clear" w:color="auto" w:fill="FFFFFF"/>
        </w:rPr>
        <w:t xml:space="preserve"> </w:t>
      </w:r>
    </w:p>
    <w:p w14:paraId="04E6127F" w14:textId="60A0A7F0" w:rsidR="00A1044B" w:rsidRDefault="00A1044B" w:rsidP="002A207B">
      <w:pPr>
        <w:widowControl w:val="0"/>
        <w:ind w:firstLine="0"/>
        <w:jc w:val="center"/>
        <w:rPr>
          <w:rFonts w:ascii="PT Astra Serif" w:hAnsi="PT Astra Serif" w:cs="Times New Roman"/>
          <w:b/>
          <w:color w:val="000000"/>
          <w:szCs w:val="28"/>
        </w:rPr>
      </w:pPr>
    </w:p>
    <w:p w14:paraId="0E579AD3" w14:textId="74DE5EFE" w:rsidR="00A1044B" w:rsidRDefault="00A1044B" w:rsidP="002A207B">
      <w:pPr>
        <w:widowControl w:val="0"/>
        <w:ind w:firstLine="0"/>
        <w:jc w:val="center"/>
        <w:rPr>
          <w:rFonts w:ascii="PT Astra Serif" w:hAnsi="PT Astra Serif" w:cs="Times New Roman"/>
          <w:b/>
          <w:color w:val="000000"/>
          <w:szCs w:val="28"/>
        </w:rPr>
      </w:pPr>
    </w:p>
    <w:p w14:paraId="11EF39C7" w14:textId="77777777" w:rsidR="00A1044B" w:rsidRDefault="00A1044B" w:rsidP="002A207B">
      <w:pPr>
        <w:widowControl w:val="0"/>
        <w:ind w:firstLine="0"/>
        <w:jc w:val="center"/>
        <w:rPr>
          <w:rFonts w:ascii="PT Astra Serif" w:hAnsi="PT Astra Serif" w:cs="Times New Roman"/>
          <w:b/>
          <w:color w:val="000000"/>
          <w:szCs w:val="28"/>
        </w:rPr>
      </w:pPr>
    </w:p>
    <w:p w14:paraId="01335973" w14:textId="1F6871E5" w:rsidR="002A207B" w:rsidRPr="002A207B" w:rsidRDefault="002A207B" w:rsidP="002A207B">
      <w:pPr>
        <w:widowControl w:val="0"/>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lastRenderedPageBreak/>
        <w:t>Выполнение объёмов профилактических мероприятий</w:t>
      </w:r>
    </w:p>
    <w:p w14:paraId="29FB5291" w14:textId="77777777" w:rsidR="002A207B" w:rsidRPr="002A207B" w:rsidRDefault="002A207B" w:rsidP="002A207B">
      <w:pPr>
        <w:widowControl w:val="0"/>
        <w:rPr>
          <w:rFonts w:ascii="PT Astra Serif" w:hAnsi="PT Astra Serif" w:cs="Times New Roman"/>
          <w:b/>
          <w:color w:val="000000"/>
          <w:szCs w:val="28"/>
        </w:rPr>
      </w:pPr>
    </w:p>
    <w:p w14:paraId="299B4A96" w14:textId="77777777" w:rsidR="002A207B" w:rsidRPr="002A207B" w:rsidRDefault="002A207B" w:rsidP="002A207B">
      <w:pPr>
        <w:widowControl w:val="0"/>
        <w:rPr>
          <w:rFonts w:ascii="PT Astra Serif" w:hAnsi="PT Astra Serif" w:cs="Helvetica"/>
          <w:color w:val="000000"/>
          <w:szCs w:val="28"/>
        </w:rPr>
      </w:pPr>
      <w:r w:rsidRPr="002A207B">
        <w:rPr>
          <w:rFonts w:ascii="PT Astra Serif" w:hAnsi="PT Astra Serif" w:cs="Helvetica"/>
          <w:color w:val="000000"/>
          <w:szCs w:val="28"/>
        </w:rPr>
        <w:t>По-прежнему одной из приоритетных задач является охват населения профилактическими мероприятиями</w:t>
      </w:r>
      <w:r w:rsidRPr="002A207B">
        <w:rPr>
          <w:rFonts w:ascii="PT Astra Serif" w:eastAsia="Calibri" w:hAnsi="PT Astra Serif" w:cs="Times New Roman"/>
          <w:color w:val="000000"/>
          <w:szCs w:val="28"/>
        </w:rPr>
        <w:t xml:space="preserve"> - не менее 70% населения</w:t>
      </w:r>
      <w:r w:rsidRPr="002A207B">
        <w:rPr>
          <w:rFonts w:ascii="PT Astra Serif" w:hAnsi="PT Astra Serif" w:cs="Helvetica"/>
          <w:color w:val="000000"/>
          <w:szCs w:val="28"/>
        </w:rPr>
        <w:t xml:space="preserve">. Прохождение диспансеризации помогает выявлять заболевания на ранних стадиях, когда их лечение проходит более эффективно. </w:t>
      </w:r>
    </w:p>
    <w:p w14:paraId="45892D87" w14:textId="77777777" w:rsidR="002A207B" w:rsidRPr="002A207B" w:rsidRDefault="002A207B" w:rsidP="002A207B">
      <w:pPr>
        <w:widowControl w:val="0"/>
        <w:shd w:val="clear" w:color="auto" w:fill="FFFFFF"/>
        <w:ind w:firstLine="708"/>
        <w:rPr>
          <w:rFonts w:ascii="PT Astra Serif" w:hAnsi="PT Astra Serif" w:cs="Helvetica"/>
          <w:color w:val="000000"/>
          <w:szCs w:val="28"/>
        </w:rPr>
      </w:pPr>
      <w:r w:rsidRPr="002A207B">
        <w:rPr>
          <w:rFonts w:ascii="PT Astra Serif" w:eastAsia="Calibri" w:hAnsi="PT Astra Serif" w:cs="Times New Roman"/>
          <w:color w:val="000000"/>
          <w:szCs w:val="28"/>
        </w:rPr>
        <w:t xml:space="preserve">Для Ульяновской области Программой государственных гарантий предусмотрено 969 400 комплексных посещений для проведения профилактических мероприятий, а это диспансеризация взрослого и детского населения, а также профилактические медицинские осмотры взрослого населения и несовершеннолетних. </w:t>
      </w:r>
    </w:p>
    <w:p w14:paraId="3AA46BBF" w14:textId="77777777" w:rsidR="002A207B" w:rsidRPr="002A207B" w:rsidRDefault="002A207B" w:rsidP="002A207B">
      <w:pPr>
        <w:widowControl w:val="0"/>
        <w:shd w:val="clear" w:color="auto" w:fill="FFFFFF"/>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На проведение профилактических мероприятий предусмотрено 2 792,9 млн рублей средств обязательного медицинского страхования (далее – ОМС). Рост составил 35,4% (план на 2024 год – 2 063,4 млн рублей).</w:t>
      </w:r>
    </w:p>
    <w:p w14:paraId="50C65C7F" w14:textId="77777777" w:rsidR="002A207B" w:rsidRPr="002A207B" w:rsidRDefault="002A207B" w:rsidP="002A207B">
      <w:pPr>
        <w:widowControl w:val="0"/>
        <w:shd w:val="clear" w:color="auto" w:fill="FFFFFF"/>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За 2025 год за счёт средств ОМС оплачено 829 455 комплексных посещений — это диспансеризация взрослого и детского населения, профилактические осмотры взрослого населения и несовершеннолетних, что составило 85,6% от годового норматива, в медицинские организации направлены финансовые средства на сумму 2 313,6 млн рублей.</w:t>
      </w:r>
    </w:p>
    <w:p w14:paraId="64D7535E" w14:textId="77777777" w:rsidR="002A207B" w:rsidRPr="002A207B" w:rsidRDefault="002A207B" w:rsidP="002A207B">
      <w:pPr>
        <w:widowControl w:val="0"/>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По видам диспансеризации и профилактических медицинских осмотров:</w:t>
      </w:r>
    </w:p>
    <w:p w14:paraId="33A6382F" w14:textId="6E0D8655" w:rsidR="002A207B" w:rsidRPr="002A207B" w:rsidRDefault="002A207B" w:rsidP="002A207B">
      <w:pPr>
        <w:widowControl w:val="0"/>
        <w:ind w:firstLine="708"/>
        <w:rPr>
          <w:rFonts w:ascii="PT Astra Serif" w:eastAsia="Calibri" w:hAnsi="PT Astra Serif" w:cs="Times New Roman"/>
          <w:color w:val="000000"/>
          <w:szCs w:val="28"/>
        </w:rPr>
      </w:pPr>
      <w:r w:rsidRPr="002A207B">
        <w:rPr>
          <w:rFonts w:ascii="PT Astra Serif" w:eastAsia="Calibri" w:hAnsi="PT Astra Serif" w:cs="Times New Roman"/>
          <w:b/>
          <w:color w:val="000000"/>
          <w:szCs w:val="28"/>
        </w:rPr>
        <w:t>Диспансеризация определенных групп взрослого населения</w:t>
      </w:r>
      <w:r w:rsidRPr="002A207B">
        <w:rPr>
          <w:rFonts w:ascii="PT Astra Serif" w:eastAsia="Calibri" w:hAnsi="PT Astra Serif" w:cs="Times New Roman"/>
          <w:color w:val="000000"/>
          <w:szCs w:val="28"/>
        </w:rPr>
        <w:t xml:space="preserve"> выполнена на 84,6% от годового норматива, оплачено 371 855 комплексных посещений (годовой норматив – 439 743 посещения).  </w:t>
      </w:r>
    </w:p>
    <w:p w14:paraId="0AC6204B" w14:textId="77777777" w:rsidR="002A207B" w:rsidRPr="002A207B" w:rsidRDefault="002A207B" w:rsidP="002A207B">
      <w:pPr>
        <w:widowControl w:val="0"/>
        <w:shd w:val="clear" w:color="auto" w:fill="FFFFFF"/>
        <w:ind w:firstLine="708"/>
        <w:rPr>
          <w:rFonts w:ascii="PT Astra Serif" w:eastAsia="Calibri" w:hAnsi="PT Astra Serif" w:cs="Times New Roman"/>
          <w:szCs w:val="28"/>
        </w:rPr>
      </w:pPr>
      <w:r w:rsidRPr="002A207B">
        <w:rPr>
          <w:rFonts w:ascii="PT Astra Serif" w:eastAsia="Calibri" w:hAnsi="PT Astra Serif" w:cs="Times New Roman"/>
          <w:b/>
          <w:szCs w:val="28"/>
        </w:rPr>
        <w:t>Углубленная диспансеризация взрослого населения</w:t>
      </w:r>
      <w:r w:rsidRPr="002A207B">
        <w:rPr>
          <w:rFonts w:ascii="PT Astra Serif" w:eastAsia="Calibri" w:hAnsi="PT Astra Serif" w:cs="Times New Roman"/>
          <w:szCs w:val="28"/>
        </w:rPr>
        <w:t xml:space="preserve"> - выполнена на </w:t>
      </w:r>
      <w:r w:rsidRPr="002A207B">
        <w:rPr>
          <w:rFonts w:ascii="PT Astra Serif" w:eastAsia="Calibri" w:hAnsi="PT Astra Serif" w:cs="Times New Roman"/>
          <w:szCs w:val="28"/>
          <w:lang w:val="tt-RU"/>
        </w:rPr>
        <w:t>100,9</w:t>
      </w:r>
      <w:r w:rsidRPr="002A207B">
        <w:rPr>
          <w:rFonts w:ascii="PT Astra Serif" w:eastAsia="Calibri" w:hAnsi="PT Astra Serif" w:cs="Times New Roman"/>
          <w:szCs w:val="28"/>
        </w:rPr>
        <w:t xml:space="preserve">% от годового норматива, оплачено </w:t>
      </w:r>
      <w:r w:rsidRPr="002A207B">
        <w:rPr>
          <w:rFonts w:ascii="PT Astra Serif" w:eastAsia="Calibri" w:hAnsi="PT Astra Serif" w:cs="Times New Roman"/>
          <w:szCs w:val="28"/>
          <w:lang w:val="tt-RU"/>
        </w:rPr>
        <w:t>59 537</w:t>
      </w:r>
      <w:r w:rsidRPr="002A207B">
        <w:rPr>
          <w:rFonts w:ascii="PT Astra Serif" w:eastAsia="Calibri" w:hAnsi="PT Astra Serif" w:cs="Times New Roman"/>
          <w:szCs w:val="28"/>
        </w:rPr>
        <w:t xml:space="preserve"> комплексных посещений (годовой норматив – 59 008).</w:t>
      </w:r>
    </w:p>
    <w:p w14:paraId="5A74803B" w14:textId="77777777" w:rsidR="00A1044B" w:rsidRDefault="002A207B" w:rsidP="002A207B">
      <w:pPr>
        <w:widowControl w:val="0"/>
        <w:shd w:val="clear" w:color="auto" w:fill="FFFFFF"/>
        <w:rPr>
          <w:rFonts w:ascii="PT Astra Serif" w:hAnsi="PT Astra Serif" w:cs="PT Astra Serif"/>
          <w:color w:val="000000"/>
          <w:szCs w:val="28"/>
        </w:rPr>
      </w:pPr>
      <w:r w:rsidRPr="002A207B">
        <w:rPr>
          <w:rFonts w:ascii="PT Astra Serif" w:hAnsi="PT Astra Serif" w:cs="PT Astra Serif"/>
          <w:b/>
          <w:color w:val="000000"/>
          <w:szCs w:val="28"/>
        </w:rPr>
        <w:t>Диспансеризация граждан репродуктивного возраста,</w:t>
      </w:r>
      <w:r w:rsidRPr="002A207B">
        <w:rPr>
          <w:rFonts w:ascii="PT Astra Serif" w:hAnsi="PT Astra Serif" w:cs="PT Astra Serif"/>
          <w:color w:val="000000"/>
          <w:szCs w:val="28"/>
        </w:rPr>
        <w:t xml:space="preserve"> по оценке репродуктивного здоровья. </w:t>
      </w:r>
    </w:p>
    <w:p w14:paraId="1DF7205F" w14:textId="21CEF7D2" w:rsidR="002A207B" w:rsidRPr="002A207B" w:rsidRDefault="002A207B" w:rsidP="002A207B">
      <w:pPr>
        <w:widowControl w:val="0"/>
        <w:shd w:val="clear" w:color="auto" w:fill="FFFFFF"/>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За 2025 год 1 этап диспансеризации </w:t>
      </w:r>
      <w:r w:rsidRPr="002A207B">
        <w:rPr>
          <w:rFonts w:ascii="PT Astra Serif" w:hAnsi="PT Astra Serif" w:cs="PT Astra Serif"/>
          <w:color w:val="000000"/>
          <w:szCs w:val="28"/>
        </w:rPr>
        <w:t xml:space="preserve">по оценке репродуктивного здоровья прошло </w:t>
      </w:r>
      <w:r w:rsidR="00A1044B">
        <w:rPr>
          <w:rFonts w:ascii="PT Astra Serif" w:hAnsi="PT Astra Serif" w:cs="PT Astra Serif"/>
          <w:color w:val="000000"/>
          <w:szCs w:val="28"/>
          <w:lang w:val="tt-RU"/>
        </w:rPr>
        <w:t>104 </w:t>
      </w:r>
      <w:r w:rsidRPr="002A207B">
        <w:rPr>
          <w:rFonts w:ascii="PT Astra Serif" w:hAnsi="PT Astra Serif" w:cs="PT Astra Serif"/>
          <w:color w:val="000000"/>
          <w:szCs w:val="28"/>
          <w:lang w:val="tt-RU"/>
        </w:rPr>
        <w:t>441</w:t>
      </w:r>
      <w:r w:rsidRPr="002A207B">
        <w:rPr>
          <w:rFonts w:ascii="PT Astra Serif" w:hAnsi="PT Astra Serif" w:cs="PT Astra Serif"/>
          <w:color w:val="000000"/>
          <w:szCs w:val="28"/>
        </w:rPr>
        <w:t xml:space="preserve"> застрахованное лицо (73,3%</w:t>
      </w:r>
      <w:r w:rsidRPr="002A207B">
        <w:rPr>
          <w:rFonts w:ascii="PT Astra Serif" w:eastAsia="Calibri" w:hAnsi="PT Astra Serif" w:cs="Times New Roman"/>
          <w:color w:val="000000"/>
          <w:szCs w:val="28"/>
        </w:rPr>
        <w:t xml:space="preserve"> от годового плана – 156 572</w:t>
      </w:r>
      <w:r w:rsidRPr="002A207B">
        <w:rPr>
          <w:rFonts w:ascii="PT Astra Serif" w:hAnsi="PT Astra Serif" w:cs="PT Astra Serif"/>
          <w:color w:val="000000"/>
          <w:szCs w:val="28"/>
        </w:rPr>
        <w:t>), в том числе</w:t>
      </w:r>
      <w:r w:rsidRPr="002A207B">
        <w:rPr>
          <w:rFonts w:ascii="PT Astra Serif" w:hAnsi="PT Astra Serif" w:cs="PT Astra Serif"/>
          <w:color w:val="000000"/>
          <w:szCs w:val="28"/>
          <w:lang w:val="tt-RU"/>
        </w:rPr>
        <w:t xml:space="preserve"> 58 759</w:t>
      </w:r>
      <w:r w:rsidRPr="002A207B">
        <w:rPr>
          <w:rFonts w:ascii="PT Astra Serif" w:eastAsia="Calibri" w:hAnsi="PT Astra Serif" w:cs="Times New Roman"/>
          <w:color w:val="000000"/>
          <w:szCs w:val="28"/>
        </w:rPr>
        <w:t xml:space="preserve"> женщин (</w:t>
      </w:r>
      <w:r w:rsidRPr="002A207B">
        <w:rPr>
          <w:rFonts w:ascii="PT Astra Serif" w:eastAsia="Calibri" w:hAnsi="PT Astra Serif" w:cs="Times New Roman"/>
          <w:color w:val="000000"/>
          <w:szCs w:val="28"/>
          <w:lang w:val="tt-RU"/>
        </w:rPr>
        <w:t>73,3</w:t>
      </w:r>
      <w:r w:rsidRPr="002A207B">
        <w:rPr>
          <w:rFonts w:ascii="PT Astra Serif" w:eastAsia="Calibri" w:hAnsi="PT Astra Serif" w:cs="Times New Roman"/>
          <w:color w:val="000000"/>
          <w:szCs w:val="28"/>
        </w:rPr>
        <w:t xml:space="preserve">% от годового плана – 80 208) </w:t>
      </w:r>
      <w:r w:rsidR="00560161">
        <w:rPr>
          <w:rFonts w:ascii="PT Astra Serif" w:eastAsia="Calibri" w:hAnsi="PT Astra Serif" w:cs="Times New Roman"/>
          <w:color w:val="000000"/>
          <w:szCs w:val="28"/>
        </w:rPr>
        <w:br/>
      </w:r>
      <w:r w:rsidRPr="002A207B">
        <w:rPr>
          <w:rFonts w:ascii="PT Astra Serif" w:eastAsia="Calibri" w:hAnsi="PT Astra Serif" w:cs="Times New Roman"/>
          <w:color w:val="000000"/>
          <w:szCs w:val="28"/>
        </w:rPr>
        <w:t xml:space="preserve">и </w:t>
      </w:r>
      <w:r w:rsidRPr="002A207B">
        <w:rPr>
          <w:rFonts w:ascii="PT Astra Serif" w:eastAsia="Calibri" w:hAnsi="PT Astra Serif" w:cs="Times New Roman"/>
          <w:color w:val="000000"/>
          <w:szCs w:val="28"/>
          <w:lang w:val="tt-RU"/>
        </w:rPr>
        <w:t>45 682</w:t>
      </w:r>
      <w:r w:rsidRPr="002A207B">
        <w:rPr>
          <w:rFonts w:ascii="PT Astra Serif" w:eastAsia="Calibri" w:hAnsi="PT Astra Serif" w:cs="Times New Roman"/>
          <w:color w:val="000000"/>
          <w:szCs w:val="28"/>
        </w:rPr>
        <w:t xml:space="preserve"> мужчины (59,8% от годового плана – 76 364). Второй этап данного вида диспансеризации прошли 2 389 женщин и 203 мужчины. </w:t>
      </w:r>
    </w:p>
    <w:p w14:paraId="2CA18ECA" w14:textId="77777777" w:rsidR="002A207B" w:rsidRPr="002A207B" w:rsidRDefault="002A207B" w:rsidP="002A207B">
      <w:pPr>
        <w:widowControl w:val="0"/>
        <w:shd w:val="clear" w:color="auto" w:fill="FFFFFF"/>
        <w:rPr>
          <w:rFonts w:ascii="PT Astra Serif" w:eastAsia="Calibri" w:hAnsi="PT Astra Serif" w:cs="Times New Roman"/>
          <w:szCs w:val="28"/>
        </w:rPr>
      </w:pPr>
      <w:r w:rsidRPr="002A207B">
        <w:rPr>
          <w:rFonts w:ascii="PT Astra Serif" w:hAnsi="PT Astra Serif" w:cs="Helvetica"/>
          <w:b/>
          <w:szCs w:val="28"/>
        </w:rPr>
        <w:t>О</w:t>
      </w:r>
      <w:r w:rsidRPr="002A207B">
        <w:rPr>
          <w:rFonts w:ascii="PT Astra Serif" w:eastAsia="Calibri" w:hAnsi="PT Astra Serif" w:cs="Times New Roman"/>
          <w:b/>
          <w:szCs w:val="28"/>
        </w:rPr>
        <w:t>бъёмы профилактических медицинских осмотров взрослого населения</w:t>
      </w:r>
      <w:r w:rsidRPr="002A207B">
        <w:rPr>
          <w:rFonts w:ascii="PT Astra Serif" w:eastAsia="Calibri" w:hAnsi="PT Astra Serif" w:cs="Times New Roman"/>
          <w:szCs w:val="28"/>
        </w:rPr>
        <w:t xml:space="preserve"> выполнены на 83,5% от годового норматива, оплачено 94 116 комплексных посещений (годовой норматив – 112 731). </w:t>
      </w:r>
    </w:p>
    <w:p w14:paraId="4CEFB0A7" w14:textId="77777777" w:rsidR="002A207B" w:rsidRPr="002A207B" w:rsidRDefault="002A207B" w:rsidP="002A207B">
      <w:pPr>
        <w:widowControl w:val="0"/>
        <w:shd w:val="clear" w:color="auto" w:fill="FFFFFF"/>
        <w:ind w:firstLine="708"/>
        <w:rPr>
          <w:rFonts w:ascii="PT Astra Serif" w:eastAsia="Calibri" w:hAnsi="PT Astra Serif" w:cs="Times New Roman"/>
          <w:szCs w:val="28"/>
        </w:rPr>
      </w:pPr>
      <w:r w:rsidRPr="002A207B">
        <w:rPr>
          <w:rFonts w:ascii="PT Astra Serif" w:eastAsia="Calibri" w:hAnsi="PT Astra Serif" w:cs="Times New Roman"/>
          <w:b/>
          <w:szCs w:val="28"/>
        </w:rPr>
        <w:t>Профилактические медицинские осмотры несовершеннолетних</w:t>
      </w:r>
      <w:r w:rsidRPr="002A207B">
        <w:rPr>
          <w:rFonts w:ascii="PT Astra Serif" w:eastAsia="Calibri" w:hAnsi="PT Astra Serif" w:cs="Times New Roman"/>
          <w:szCs w:val="28"/>
        </w:rPr>
        <w:t xml:space="preserve"> выполнены на 99,1% от годового норматива, оплачено 195 611 комплексных посещений (годовой норматив – 197 424). </w:t>
      </w:r>
    </w:p>
    <w:p w14:paraId="2258C545" w14:textId="14247F13" w:rsidR="002A207B" w:rsidRPr="002A207B" w:rsidRDefault="002A207B" w:rsidP="002A207B">
      <w:pPr>
        <w:widowControl w:val="0"/>
        <w:ind w:firstLine="708"/>
        <w:rPr>
          <w:rFonts w:ascii="PT Astra Serif" w:eastAsia="Calibri" w:hAnsi="PT Astra Serif" w:cs="Times New Roman"/>
          <w:color w:val="000000"/>
          <w:szCs w:val="28"/>
        </w:rPr>
      </w:pPr>
      <w:r w:rsidRPr="002A207B">
        <w:rPr>
          <w:rFonts w:ascii="PT Astra Serif" w:eastAsia="Calibri" w:hAnsi="PT Astra Serif" w:cs="Times New Roman"/>
          <w:b/>
          <w:color w:val="000000"/>
          <w:szCs w:val="28"/>
        </w:rPr>
        <w:t>Диспансеризация детей, пребывающих в стационарных учреждениях детей-сирот и детей, находящихся в трудной жизненной ситуации, дети-сироты и дети, оставшихся без попечения родителей, в том числе усыновленных (удочеренных), принятых под опеку (попечительство), в приемную или патронатную семью</w:t>
      </w:r>
      <w:r w:rsidRPr="002A207B">
        <w:rPr>
          <w:rFonts w:ascii="PT Astra Serif" w:eastAsia="Calibri" w:hAnsi="PT Astra Serif" w:cs="Times New Roman"/>
          <w:color w:val="000000"/>
          <w:szCs w:val="28"/>
        </w:rPr>
        <w:t xml:space="preserve"> выполнена </w:t>
      </w:r>
      <w:r w:rsidR="00A1044B">
        <w:rPr>
          <w:rFonts w:ascii="PT Astra Serif" w:eastAsia="Calibri" w:hAnsi="PT Astra Serif" w:cs="Times New Roman"/>
          <w:color w:val="000000"/>
          <w:szCs w:val="28"/>
        </w:rPr>
        <w:br/>
      </w:r>
      <w:r w:rsidRPr="002A207B">
        <w:rPr>
          <w:rFonts w:ascii="PT Astra Serif" w:eastAsia="Calibri" w:hAnsi="PT Astra Serif" w:cs="Times New Roman"/>
          <w:color w:val="000000"/>
          <w:szCs w:val="28"/>
        </w:rPr>
        <w:t>в полном объёме, оплачено 3 895 комплексных посещений.</w:t>
      </w:r>
    </w:p>
    <w:p w14:paraId="4294B04C" w14:textId="4354CC92" w:rsidR="002A207B" w:rsidRPr="002A207B" w:rsidRDefault="002A207B" w:rsidP="002A207B">
      <w:pPr>
        <w:widowControl w:val="0"/>
        <w:ind w:firstLine="0"/>
        <w:jc w:val="center"/>
        <w:rPr>
          <w:rFonts w:ascii="PT Astra Serif" w:eastAsia="Calibri" w:hAnsi="PT Astra Serif" w:cs="Times New Roman"/>
          <w:b/>
          <w:color w:val="000000"/>
          <w:szCs w:val="28"/>
        </w:rPr>
      </w:pPr>
      <w:r w:rsidRPr="002A207B">
        <w:rPr>
          <w:rFonts w:ascii="PT Astra Serif" w:eastAsia="Calibri" w:hAnsi="PT Astra Serif" w:cs="Times New Roman"/>
          <w:b/>
          <w:color w:val="000000"/>
          <w:szCs w:val="28"/>
        </w:rPr>
        <w:lastRenderedPageBreak/>
        <w:t>Диспансерное наблюдение</w:t>
      </w:r>
    </w:p>
    <w:p w14:paraId="5D3C3158" w14:textId="77777777" w:rsidR="002A207B" w:rsidRPr="002A207B" w:rsidRDefault="002A207B" w:rsidP="002A207B">
      <w:pPr>
        <w:widowControl w:val="0"/>
        <w:jc w:val="center"/>
        <w:rPr>
          <w:rFonts w:ascii="PT Astra Serif" w:eastAsia="Calibri" w:hAnsi="PT Astra Serif" w:cs="Times New Roman"/>
          <w:b/>
          <w:color w:val="000000"/>
          <w:szCs w:val="28"/>
        </w:rPr>
      </w:pPr>
    </w:p>
    <w:p w14:paraId="693DDFB9" w14:textId="77777777" w:rsidR="002A207B" w:rsidRPr="002A207B" w:rsidRDefault="002A207B" w:rsidP="002A207B">
      <w:pPr>
        <w:widowControl w:val="0"/>
        <w:shd w:val="clear" w:color="auto" w:fill="FFFFFF"/>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За 2025 год в рамках диспансерного наблюдения было оплачено 295 742 комплексных посещения, что составило 97,2% от годового плана (годовой план - 304 278) на сумму 786,8 млн рублей.</w:t>
      </w:r>
    </w:p>
    <w:p w14:paraId="05BCA57C" w14:textId="77777777" w:rsidR="002A207B" w:rsidRPr="00605C2A" w:rsidRDefault="002A207B" w:rsidP="00A1044B">
      <w:pPr>
        <w:widowControl w:val="0"/>
        <w:shd w:val="clear" w:color="auto" w:fill="FFFFFF"/>
        <w:ind w:firstLine="0"/>
        <w:jc w:val="center"/>
        <w:rPr>
          <w:rFonts w:ascii="PT Astra Serif" w:eastAsia="Calibri" w:hAnsi="PT Astra Serif" w:cs="Times New Roman"/>
          <w:b/>
          <w:color w:val="000000"/>
          <w:sz w:val="20"/>
          <w:szCs w:val="20"/>
        </w:rPr>
      </w:pPr>
    </w:p>
    <w:p w14:paraId="7D4A6DC5" w14:textId="58EA0582" w:rsidR="002A207B" w:rsidRDefault="002A207B" w:rsidP="00A1044B">
      <w:pPr>
        <w:widowControl w:val="0"/>
        <w:shd w:val="clear" w:color="auto" w:fill="FFFFFF"/>
        <w:ind w:firstLine="0"/>
        <w:jc w:val="center"/>
        <w:rPr>
          <w:rFonts w:ascii="PT Astra Serif" w:eastAsia="Calibri" w:hAnsi="PT Astra Serif" w:cs="Times New Roman"/>
          <w:b/>
          <w:color w:val="000000"/>
          <w:sz w:val="20"/>
          <w:szCs w:val="20"/>
        </w:rPr>
      </w:pPr>
      <w:r w:rsidRPr="002A207B">
        <w:rPr>
          <w:rFonts w:ascii="PT Astra Serif" w:eastAsia="Calibri" w:hAnsi="PT Astra Serif" w:cs="Times New Roman"/>
          <w:b/>
          <w:color w:val="000000"/>
          <w:sz w:val="20"/>
          <w:szCs w:val="20"/>
        </w:rPr>
        <w:t>Выполнение плана по диспансерному наблюдению за 2025 года по группам заболеваний</w:t>
      </w:r>
    </w:p>
    <w:p w14:paraId="24E22DA3" w14:textId="77777777" w:rsidR="00560161" w:rsidRPr="002A207B" w:rsidRDefault="00560161" w:rsidP="00A1044B">
      <w:pPr>
        <w:widowControl w:val="0"/>
        <w:shd w:val="clear" w:color="auto" w:fill="FFFFFF"/>
        <w:ind w:firstLine="0"/>
        <w:jc w:val="center"/>
        <w:rPr>
          <w:rFonts w:ascii="PT Astra Serif" w:eastAsia="Calibri" w:hAnsi="PT Astra Serif" w:cs="Times New Roman"/>
          <w:b/>
          <w:color w:val="000000"/>
          <w:sz w:val="20"/>
          <w:szCs w:val="20"/>
        </w:rPr>
      </w:pPr>
    </w:p>
    <w:tbl>
      <w:tblPr>
        <w:tblStyle w:val="aff4"/>
        <w:tblW w:w="9351" w:type="dxa"/>
        <w:tblLook w:val="04A0" w:firstRow="1" w:lastRow="0" w:firstColumn="1" w:lastColumn="0" w:noHBand="0" w:noVBand="1"/>
      </w:tblPr>
      <w:tblGrid>
        <w:gridCol w:w="829"/>
        <w:gridCol w:w="2994"/>
        <w:gridCol w:w="1417"/>
        <w:gridCol w:w="1134"/>
        <w:gridCol w:w="2977"/>
      </w:tblGrid>
      <w:tr w:rsidR="00266CAE" w:rsidRPr="00266CAE" w14:paraId="3723E66E" w14:textId="77777777" w:rsidTr="0085531C">
        <w:tc>
          <w:tcPr>
            <w:tcW w:w="829" w:type="dxa"/>
            <w:vAlign w:val="center"/>
          </w:tcPr>
          <w:p w14:paraId="467242F2"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 xml:space="preserve">№ </w:t>
            </w:r>
          </w:p>
          <w:p w14:paraId="287F0A58"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п/п</w:t>
            </w:r>
          </w:p>
        </w:tc>
        <w:tc>
          <w:tcPr>
            <w:tcW w:w="2994" w:type="dxa"/>
            <w:vAlign w:val="center"/>
          </w:tcPr>
          <w:p w14:paraId="2CBC8FF0"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Группа диспансерного наблюдения</w:t>
            </w:r>
          </w:p>
        </w:tc>
        <w:tc>
          <w:tcPr>
            <w:tcW w:w="1417" w:type="dxa"/>
            <w:vAlign w:val="center"/>
          </w:tcPr>
          <w:p w14:paraId="58EAA5FB"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 xml:space="preserve">План </w:t>
            </w:r>
          </w:p>
        </w:tc>
        <w:tc>
          <w:tcPr>
            <w:tcW w:w="1134" w:type="dxa"/>
            <w:vAlign w:val="center"/>
          </w:tcPr>
          <w:p w14:paraId="3CEE6613"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Факт</w:t>
            </w:r>
          </w:p>
        </w:tc>
        <w:tc>
          <w:tcPr>
            <w:tcW w:w="2977" w:type="dxa"/>
            <w:vAlign w:val="center"/>
          </w:tcPr>
          <w:p w14:paraId="20CEC337"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bCs/>
                <w:color w:val="000000"/>
                <w:sz w:val="20"/>
                <w:lang w:eastAsia="en-US"/>
              </w:rPr>
              <w:t>Выполнение от годового плана</w:t>
            </w:r>
            <w:r w:rsidRPr="00A26900">
              <w:rPr>
                <w:rFonts w:ascii="PT Astra Serif" w:hAnsi="PT Astra Serif"/>
                <w:b/>
                <w:color w:val="000000"/>
                <w:sz w:val="20"/>
                <w:lang w:eastAsia="en-US"/>
              </w:rPr>
              <w:t xml:space="preserve"> </w:t>
            </w:r>
          </w:p>
        </w:tc>
      </w:tr>
      <w:tr w:rsidR="00266CAE" w:rsidRPr="00266CAE" w14:paraId="55B239A8" w14:textId="77777777" w:rsidTr="0085531C">
        <w:tc>
          <w:tcPr>
            <w:tcW w:w="829" w:type="dxa"/>
            <w:vAlign w:val="center"/>
          </w:tcPr>
          <w:p w14:paraId="774BCE71"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1</w:t>
            </w:r>
          </w:p>
        </w:tc>
        <w:tc>
          <w:tcPr>
            <w:tcW w:w="2994" w:type="dxa"/>
            <w:vAlign w:val="center"/>
          </w:tcPr>
          <w:p w14:paraId="323BC601" w14:textId="77777777" w:rsidR="00266CAE" w:rsidRPr="00266CAE" w:rsidRDefault="00266CAE" w:rsidP="00A26900">
            <w:pPr>
              <w:widowControl w:val="0"/>
              <w:shd w:val="clear" w:color="auto" w:fill="FFFFFF"/>
              <w:ind w:firstLine="0"/>
              <w:jc w:val="left"/>
              <w:rPr>
                <w:rFonts w:ascii="PT Astra Serif" w:hAnsi="PT Astra Serif"/>
                <w:color w:val="000000"/>
                <w:sz w:val="20"/>
                <w:lang w:eastAsia="en-US"/>
              </w:rPr>
            </w:pPr>
            <w:r w:rsidRPr="00266CAE">
              <w:rPr>
                <w:rFonts w:ascii="PT Astra Serif" w:hAnsi="PT Astra Serif"/>
                <w:color w:val="000000"/>
                <w:sz w:val="20"/>
                <w:lang w:eastAsia="en-US"/>
              </w:rPr>
              <w:t>Онкологические заболевания</w:t>
            </w:r>
          </w:p>
        </w:tc>
        <w:tc>
          <w:tcPr>
            <w:tcW w:w="1417" w:type="dxa"/>
            <w:vAlign w:val="center"/>
          </w:tcPr>
          <w:p w14:paraId="3A27DF11"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52 372</w:t>
            </w:r>
          </w:p>
        </w:tc>
        <w:tc>
          <w:tcPr>
            <w:tcW w:w="1134" w:type="dxa"/>
            <w:vAlign w:val="center"/>
          </w:tcPr>
          <w:p w14:paraId="26A56CB0"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44 814</w:t>
            </w:r>
          </w:p>
        </w:tc>
        <w:tc>
          <w:tcPr>
            <w:tcW w:w="2977" w:type="dxa"/>
            <w:vAlign w:val="center"/>
          </w:tcPr>
          <w:p w14:paraId="334769CA"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85,6%</w:t>
            </w:r>
          </w:p>
        </w:tc>
      </w:tr>
      <w:tr w:rsidR="00266CAE" w:rsidRPr="00266CAE" w14:paraId="784BA454" w14:textId="77777777" w:rsidTr="0085531C">
        <w:tc>
          <w:tcPr>
            <w:tcW w:w="829" w:type="dxa"/>
            <w:vAlign w:val="center"/>
          </w:tcPr>
          <w:p w14:paraId="315AC29D"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2</w:t>
            </w:r>
          </w:p>
        </w:tc>
        <w:tc>
          <w:tcPr>
            <w:tcW w:w="2994" w:type="dxa"/>
            <w:vAlign w:val="center"/>
          </w:tcPr>
          <w:p w14:paraId="01E8E00C" w14:textId="77777777" w:rsidR="00266CAE" w:rsidRPr="00266CAE" w:rsidRDefault="00266CAE" w:rsidP="00A26900">
            <w:pPr>
              <w:widowControl w:val="0"/>
              <w:shd w:val="clear" w:color="auto" w:fill="FFFFFF"/>
              <w:ind w:firstLine="0"/>
              <w:jc w:val="left"/>
              <w:rPr>
                <w:rFonts w:ascii="PT Astra Serif" w:hAnsi="PT Astra Serif"/>
                <w:color w:val="000000"/>
                <w:sz w:val="20"/>
                <w:lang w:eastAsia="en-US"/>
              </w:rPr>
            </w:pPr>
            <w:r w:rsidRPr="00266CAE">
              <w:rPr>
                <w:rFonts w:ascii="PT Astra Serif" w:hAnsi="PT Astra Serif"/>
                <w:color w:val="000000"/>
                <w:sz w:val="20"/>
                <w:lang w:eastAsia="en-US"/>
              </w:rPr>
              <w:t>Сахарный диабет</w:t>
            </w:r>
          </w:p>
        </w:tc>
        <w:tc>
          <w:tcPr>
            <w:tcW w:w="1417" w:type="dxa"/>
            <w:vAlign w:val="center"/>
          </w:tcPr>
          <w:p w14:paraId="5DE7EC1F"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69 520</w:t>
            </w:r>
          </w:p>
        </w:tc>
        <w:tc>
          <w:tcPr>
            <w:tcW w:w="1134" w:type="dxa"/>
            <w:vAlign w:val="center"/>
          </w:tcPr>
          <w:p w14:paraId="255A5135"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67 328</w:t>
            </w:r>
          </w:p>
        </w:tc>
        <w:tc>
          <w:tcPr>
            <w:tcW w:w="2977" w:type="dxa"/>
            <w:vAlign w:val="center"/>
          </w:tcPr>
          <w:p w14:paraId="14EA36F9"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96,8%</w:t>
            </w:r>
          </w:p>
        </w:tc>
      </w:tr>
      <w:tr w:rsidR="00266CAE" w:rsidRPr="00266CAE" w14:paraId="63CCBC44" w14:textId="77777777" w:rsidTr="0085531C">
        <w:tc>
          <w:tcPr>
            <w:tcW w:w="829" w:type="dxa"/>
            <w:vAlign w:val="center"/>
          </w:tcPr>
          <w:p w14:paraId="08EC1B5D"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3</w:t>
            </w:r>
          </w:p>
        </w:tc>
        <w:tc>
          <w:tcPr>
            <w:tcW w:w="2994" w:type="dxa"/>
            <w:vAlign w:val="center"/>
          </w:tcPr>
          <w:p w14:paraId="64E2612D" w14:textId="77777777" w:rsidR="00266CAE" w:rsidRPr="00266CAE" w:rsidRDefault="00266CAE" w:rsidP="00A26900">
            <w:pPr>
              <w:widowControl w:val="0"/>
              <w:shd w:val="clear" w:color="auto" w:fill="FFFFFF"/>
              <w:ind w:firstLine="0"/>
              <w:jc w:val="left"/>
              <w:rPr>
                <w:rFonts w:ascii="PT Astra Serif" w:hAnsi="PT Astra Serif"/>
                <w:color w:val="000000"/>
                <w:sz w:val="20"/>
                <w:lang w:eastAsia="en-US"/>
              </w:rPr>
            </w:pPr>
            <w:r w:rsidRPr="00266CAE">
              <w:rPr>
                <w:rFonts w:ascii="PT Astra Serif" w:hAnsi="PT Astra Serif"/>
                <w:color w:val="000000"/>
                <w:sz w:val="20"/>
                <w:lang w:eastAsia="en-US"/>
              </w:rPr>
              <w:t>Болезни системы кровообращения</w:t>
            </w:r>
          </w:p>
        </w:tc>
        <w:tc>
          <w:tcPr>
            <w:tcW w:w="1417" w:type="dxa"/>
            <w:vAlign w:val="center"/>
          </w:tcPr>
          <w:p w14:paraId="5BB6E37F"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145 561</w:t>
            </w:r>
          </w:p>
        </w:tc>
        <w:tc>
          <w:tcPr>
            <w:tcW w:w="1134" w:type="dxa"/>
            <w:vAlign w:val="center"/>
          </w:tcPr>
          <w:p w14:paraId="12426B69"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149 705</w:t>
            </w:r>
          </w:p>
        </w:tc>
        <w:tc>
          <w:tcPr>
            <w:tcW w:w="2977" w:type="dxa"/>
            <w:vAlign w:val="center"/>
          </w:tcPr>
          <w:p w14:paraId="191F60AE"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102,8%</w:t>
            </w:r>
          </w:p>
        </w:tc>
      </w:tr>
      <w:tr w:rsidR="00266CAE" w:rsidRPr="00266CAE" w14:paraId="03067BEC" w14:textId="77777777" w:rsidTr="0085531C">
        <w:tc>
          <w:tcPr>
            <w:tcW w:w="829" w:type="dxa"/>
            <w:vAlign w:val="center"/>
          </w:tcPr>
          <w:p w14:paraId="405F5A5D"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4</w:t>
            </w:r>
          </w:p>
        </w:tc>
        <w:tc>
          <w:tcPr>
            <w:tcW w:w="2994" w:type="dxa"/>
            <w:vAlign w:val="center"/>
          </w:tcPr>
          <w:p w14:paraId="251A7D93" w14:textId="77777777" w:rsidR="00266CAE" w:rsidRPr="00266CAE" w:rsidRDefault="00266CAE" w:rsidP="00A26900">
            <w:pPr>
              <w:widowControl w:val="0"/>
              <w:shd w:val="clear" w:color="auto" w:fill="FFFFFF"/>
              <w:ind w:firstLine="0"/>
              <w:jc w:val="left"/>
              <w:rPr>
                <w:rFonts w:ascii="PT Astra Serif" w:hAnsi="PT Astra Serif"/>
                <w:color w:val="000000"/>
                <w:sz w:val="20"/>
                <w:lang w:eastAsia="en-US"/>
              </w:rPr>
            </w:pPr>
            <w:r w:rsidRPr="00266CAE">
              <w:rPr>
                <w:rFonts w:ascii="PT Astra Serif" w:hAnsi="PT Astra Serif"/>
                <w:color w:val="000000"/>
                <w:sz w:val="20"/>
                <w:lang w:eastAsia="en-US"/>
              </w:rPr>
              <w:t>Прочие заболевания</w:t>
            </w:r>
          </w:p>
        </w:tc>
        <w:tc>
          <w:tcPr>
            <w:tcW w:w="1417" w:type="dxa"/>
            <w:vAlign w:val="center"/>
          </w:tcPr>
          <w:p w14:paraId="04503770"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36 825</w:t>
            </w:r>
          </w:p>
        </w:tc>
        <w:tc>
          <w:tcPr>
            <w:tcW w:w="1134" w:type="dxa"/>
            <w:vAlign w:val="center"/>
          </w:tcPr>
          <w:p w14:paraId="146B7EA9"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33 895</w:t>
            </w:r>
          </w:p>
        </w:tc>
        <w:tc>
          <w:tcPr>
            <w:tcW w:w="2977" w:type="dxa"/>
            <w:vAlign w:val="center"/>
          </w:tcPr>
          <w:p w14:paraId="7AE6CAFE"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r w:rsidRPr="00266CAE">
              <w:rPr>
                <w:rFonts w:ascii="PT Astra Serif" w:hAnsi="PT Astra Serif"/>
                <w:color w:val="000000"/>
                <w:sz w:val="20"/>
                <w:lang w:eastAsia="en-US"/>
              </w:rPr>
              <w:t>92,0%</w:t>
            </w:r>
          </w:p>
        </w:tc>
      </w:tr>
      <w:tr w:rsidR="00266CAE" w:rsidRPr="00266CAE" w14:paraId="36FA5AC7" w14:textId="77777777" w:rsidTr="0085531C">
        <w:tc>
          <w:tcPr>
            <w:tcW w:w="829" w:type="dxa"/>
            <w:vAlign w:val="center"/>
          </w:tcPr>
          <w:p w14:paraId="2ACCB3C6" w14:textId="77777777" w:rsidR="00266CAE" w:rsidRPr="00266CAE" w:rsidRDefault="00266CAE" w:rsidP="00266CAE">
            <w:pPr>
              <w:widowControl w:val="0"/>
              <w:shd w:val="clear" w:color="auto" w:fill="FFFFFF"/>
              <w:ind w:firstLine="0"/>
              <w:jc w:val="center"/>
              <w:rPr>
                <w:rFonts w:ascii="PT Astra Serif" w:hAnsi="PT Astra Serif"/>
                <w:color w:val="000000"/>
                <w:sz w:val="20"/>
                <w:lang w:eastAsia="en-US"/>
              </w:rPr>
            </w:pPr>
          </w:p>
        </w:tc>
        <w:tc>
          <w:tcPr>
            <w:tcW w:w="2994" w:type="dxa"/>
            <w:vAlign w:val="center"/>
          </w:tcPr>
          <w:p w14:paraId="0A197EC3"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Итого</w:t>
            </w:r>
          </w:p>
        </w:tc>
        <w:tc>
          <w:tcPr>
            <w:tcW w:w="1417" w:type="dxa"/>
            <w:vAlign w:val="center"/>
          </w:tcPr>
          <w:p w14:paraId="0F20C26E"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304 278</w:t>
            </w:r>
          </w:p>
        </w:tc>
        <w:tc>
          <w:tcPr>
            <w:tcW w:w="1134" w:type="dxa"/>
            <w:vAlign w:val="center"/>
          </w:tcPr>
          <w:p w14:paraId="76CFA34A"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295 742</w:t>
            </w:r>
          </w:p>
        </w:tc>
        <w:tc>
          <w:tcPr>
            <w:tcW w:w="2977" w:type="dxa"/>
            <w:vAlign w:val="center"/>
          </w:tcPr>
          <w:p w14:paraId="16B849F8" w14:textId="77777777" w:rsidR="00266CAE" w:rsidRPr="00A26900" w:rsidRDefault="00266CAE" w:rsidP="00266CAE">
            <w:pPr>
              <w:widowControl w:val="0"/>
              <w:shd w:val="clear" w:color="auto" w:fill="FFFFFF"/>
              <w:ind w:firstLine="0"/>
              <w:jc w:val="center"/>
              <w:rPr>
                <w:rFonts w:ascii="PT Astra Serif" w:hAnsi="PT Astra Serif"/>
                <w:b/>
                <w:color w:val="000000"/>
                <w:sz w:val="20"/>
                <w:lang w:eastAsia="en-US"/>
              </w:rPr>
            </w:pPr>
            <w:r w:rsidRPr="00A26900">
              <w:rPr>
                <w:rFonts w:ascii="PT Astra Serif" w:hAnsi="PT Astra Serif"/>
                <w:b/>
                <w:color w:val="000000"/>
                <w:sz w:val="20"/>
                <w:lang w:eastAsia="en-US"/>
              </w:rPr>
              <w:t>97,2%</w:t>
            </w:r>
          </w:p>
        </w:tc>
      </w:tr>
    </w:tbl>
    <w:p w14:paraId="2B62139B" w14:textId="58CE222A" w:rsidR="002A207B" w:rsidRPr="00266CAE" w:rsidRDefault="002A207B" w:rsidP="00A1044B">
      <w:pPr>
        <w:widowControl w:val="0"/>
        <w:shd w:val="clear" w:color="auto" w:fill="FFFFFF"/>
        <w:ind w:firstLine="0"/>
        <w:jc w:val="center"/>
        <w:rPr>
          <w:rFonts w:ascii="PT Astra Serif" w:eastAsia="Calibri" w:hAnsi="PT Astra Serif" w:cs="Times New Roman"/>
          <w:color w:val="000000"/>
          <w:sz w:val="20"/>
          <w:szCs w:val="20"/>
        </w:rPr>
      </w:pPr>
    </w:p>
    <w:p w14:paraId="1C0BACC6" w14:textId="77777777" w:rsidR="002A207B" w:rsidRPr="002A207B" w:rsidRDefault="002A207B" w:rsidP="002A207B">
      <w:pPr>
        <w:widowControl w:val="0"/>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t>Школа для больных с хроническими неинфекционными заболеваниями, включая школу для больных с сахарным диабетом</w:t>
      </w:r>
    </w:p>
    <w:p w14:paraId="06EFED8B" w14:textId="77777777" w:rsidR="002A207B" w:rsidRPr="002A207B" w:rsidRDefault="002A207B" w:rsidP="002A207B">
      <w:pPr>
        <w:widowControl w:val="0"/>
        <w:jc w:val="center"/>
        <w:rPr>
          <w:rFonts w:ascii="PT Astra Serif" w:hAnsi="PT Astra Serif" w:cs="Times New Roman"/>
          <w:b/>
          <w:color w:val="000000"/>
          <w:szCs w:val="28"/>
        </w:rPr>
      </w:pPr>
    </w:p>
    <w:p w14:paraId="3D789728" w14:textId="7F5662F0" w:rsidR="002A207B" w:rsidRPr="002A207B" w:rsidRDefault="002A207B" w:rsidP="002A207B">
      <w:pPr>
        <w:widowControl w:val="0"/>
        <w:ind w:firstLine="708"/>
        <w:rPr>
          <w:rFonts w:ascii="PT Astra Serif" w:eastAsia="Calibri" w:hAnsi="PT Astra Serif" w:cs="Times New Roman"/>
          <w:color w:val="000000"/>
          <w:szCs w:val="28"/>
          <w:u w:val="single"/>
        </w:rPr>
      </w:pPr>
      <w:r w:rsidRPr="002A207B">
        <w:rPr>
          <w:rFonts w:ascii="PT Astra Serif" w:eastAsia="Calibri" w:hAnsi="PT Astra Serif" w:cs="Times New Roman"/>
          <w:color w:val="000000"/>
          <w:szCs w:val="28"/>
        </w:rPr>
        <w:t xml:space="preserve">Еще одно важное новое направление 2025 года – </w:t>
      </w:r>
      <w:r w:rsidRPr="002A207B">
        <w:rPr>
          <w:rFonts w:ascii="PT Astra Serif" w:eastAsia="Calibri" w:hAnsi="PT Astra Serif" w:cs="Times New Roman"/>
          <w:b/>
          <w:color w:val="000000"/>
          <w:szCs w:val="28"/>
        </w:rPr>
        <w:t>работа школ для больных с хроническими неинфекционными заболеваниями,</w:t>
      </w:r>
      <w:r w:rsidRPr="002A207B">
        <w:rPr>
          <w:rFonts w:ascii="PT Astra Serif" w:hAnsi="PT Astra Serif" w:cs="Times New Roman"/>
          <w:b/>
          <w:color w:val="000000"/>
          <w:szCs w:val="28"/>
        </w:rPr>
        <w:t xml:space="preserve"> </w:t>
      </w:r>
      <w:r w:rsidRPr="002A207B">
        <w:rPr>
          <w:rFonts w:ascii="PT Astra Serif" w:hAnsi="PT Astra Serif" w:cs="Times New Roman"/>
          <w:color w:val="000000"/>
          <w:szCs w:val="28"/>
        </w:rPr>
        <w:t>включая школу для больных с сахарным диабетом</w:t>
      </w:r>
      <w:r w:rsidRPr="002A207B">
        <w:rPr>
          <w:rFonts w:ascii="PT Astra Serif" w:eastAsia="Calibri" w:hAnsi="PT Astra Serif" w:cs="Times New Roman"/>
          <w:color w:val="000000"/>
          <w:szCs w:val="28"/>
        </w:rPr>
        <w:t>.</w:t>
      </w:r>
      <w:r w:rsidR="00A52819">
        <w:rPr>
          <w:rFonts w:ascii="PT Astra Serif" w:eastAsia="Calibri" w:hAnsi="PT Astra Serif" w:cs="Times New Roman"/>
          <w:color w:val="000000"/>
          <w:szCs w:val="28"/>
        </w:rPr>
        <w:t xml:space="preserve"> </w:t>
      </w:r>
    </w:p>
    <w:p w14:paraId="564BB312" w14:textId="77777777" w:rsidR="002A207B" w:rsidRPr="002A207B" w:rsidRDefault="002A207B" w:rsidP="002A207B">
      <w:pPr>
        <w:widowControl w:val="0"/>
        <w:autoSpaceDE w:val="0"/>
        <w:autoSpaceDN w:val="0"/>
        <w:adjustRightInd w:val="0"/>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План в 2025 году составляет 244 455 посещений. На проведение мероприятий в </w:t>
      </w:r>
      <w:r w:rsidRPr="002A207B">
        <w:rPr>
          <w:rFonts w:ascii="PT Astra Serif" w:hAnsi="PT Astra Serif" w:cs="PT Astra Serif"/>
          <w:color w:val="000000"/>
          <w:szCs w:val="28"/>
        </w:rPr>
        <w:t xml:space="preserve">школах </w:t>
      </w:r>
      <w:r w:rsidRPr="002A207B">
        <w:rPr>
          <w:rFonts w:ascii="PT Astra Serif" w:eastAsia="Calibri" w:hAnsi="PT Astra Serif" w:cs="Times New Roman"/>
          <w:color w:val="000000"/>
          <w:szCs w:val="28"/>
        </w:rPr>
        <w:t xml:space="preserve">предусмотрено 349,7 млн рублей средств ОМС. </w:t>
      </w:r>
    </w:p>
    <w:p w14:paraId="312195B4" w14:textId="71D50CDC" w:rsidR="002A207B" w:rsidRPr="002A207B" w:rsidRDefault="002A207B" w:rsidP="002A207B">
      <w:pPr>
        <w:widowControl w:val="0"/>
        <w:autoSpaceDE w:val="0"/>
        <w:autoSpaceDN w:val="0"/>
        <w:adjustRightInd w:val="0"/>
        <w:ind w:firstLine="708"/>
        <w:rPr>
          <w:rFonts w:ascii="PT Astra Serif" w:eastAsia="Calibri" w:hAnsi="PT Astra Serif" w:cs="Times New Roman"/>
          <w:color w:val="000000"/>
          <w:szCs w:val="28"/>
        </w:rPr>
      </w:pPr>
      <w:r w:rsidRPr="002A207B">
        <w:rPr>
          <w:rFonts w:ascii="PT Astra Serif" w:eastAsia="Calibri" w:hAnsi="PT Astra Serif" w:cs="PT Astra Serif"/>
          <w:color w:val="000000"/>
          <w:szCs w:val="28"/>
        </w:rPr>
        <w:t xml:space="preserve">Распоряжением Министерства здравоохранения Ульяновской области от 27.03.2025 определен перечень Школ для больных с хроническими неинфекционными заболеваниями, утвержден Порядок организации работы школ для больных с хроническими неинфекционными заболеваниями </w:t>
      </w:r>
      <w:r w:rsidRPr="002A207B">
        <w:rPr>
          <w:rFonts w:ascii="PT Astra Serif" w:eastAsia="Calibri" w:hAnsi="PT Astra Serif" w:cs="PT Astra Serif"/>
          <w:color w:val="000000"/>
          <w:szCs w:val="28"/>
        </w:rPr>
        <w:br/>
        <w:t xml:space="preserve">в медицинских организациях Ульяновской области. </w:t>
      </w:r>
      <w:r w:rsidRPr="002A207B">
        <w:rPr>
          <w:rFonts w:ascii="PT Astra Serif" w:eastAsia="Calibri" w:hAnsi="PT Astra Serif" w:cs="Times New Roman"/>
          <w:color w:val="000000"/>
          <w:szCs w:val="28"/>
        </w:rPr>
        <w:t xml:space="preserve">Школы начали работать </w:t>
      </w:r>
      <w:r w:rsidR="00605C2A">
        <w:rPr>
          <w:rFonts w:ascii="PT Astra Serif" w:eastAsia="Calibri" w:hAnsi="PT Astra Serif" w:cs="Times New Roman"/>
          <w:color w:val="000000"/>
          <w:szCs w:val="28"/>
        </w:rPr>
        <w:br/>
      </w:r>
      <w:r w:rsidRPr="002A207B">
        <w:rPr>
          <w:rFonts w:ascii="PT Astra Serif" w:eastAsia="Calibri" w:hAnsi="PT Astra Serif" w:cs="Times New Roman"/>
          <w:color w:val="000000"/>
          <w:szCs w:val="28"/>
        </w:rPr>
        <w:t xml:space="preserve">в 35 медицинских организациях с апреля 2025 года по восьми направлениям. </w:t>
      </w:r>
    </w:p>
    <w:p w14:paraId="7078DDE6" w14:textId="77777777" w:rsidR="002A207B" w:rsidRPr="002A207B" w:rsidRDefault="002A207B" w:rsidP="002A207B">
      <w:pPr>
        <w:widowControl w:val="0"/>
        <w:autoSpaceDE w:val="0"/>
        <w:autoSpaceDN w:val="0"/>
        <w:adjustRightInd w:val="0"/>
        <w:ind w:firstLine="708"/>
        <w:rPr>
          <w:rFonts w:ascii="PT Astra Serif" w:eastAsia="Calibri" w:hAnsi="PT Astra Serif" w:cs="PT Astra Serif"/>
          <w:color w:val="000000"/>
          <w:szCs w:val="28"/>
        </w:rPr>
      </w:pPr>
      <w:r w:rsidRPr="002A207B">
        <w:rPr>
          <w:rFonts w:ascii="PT Astra Serif" w:eastAsia="Calibri" w:hAnsi="PT Astra Serif" w:cs="Times New Roman"/>
          <w:color w:val="000000"/>
          <w:szCs w:val="28"/>
        </w:rPr>
        <w:t xml:space="preserve">Так, по итогам 2025 года плановое значение по </w:t>
      </w:r>
      <w:r w:rsidRPr="002A207B">
        <w:rPr>
          <w:rFonts w:ascii="PT Astra Serif" w:eastAsia="Calibri" w:hAnsi="PT Astra Serif" w:cs="PT Astra Serif"/>
          <w:color w:val="000000"/>
          <w:szCs w:val="28"/>
        </w:rPr>
        <w:t xml:space="preserve">Школам для больных </w:t>
      </w:r>
      <w:r w:rsidRPr="002A207B">
        <w:rPr>
          <w:rFonts w:ascii="PT Astra Serif" w:eastAsia="Calibri" w:hAnsi="PT Astra Serif" w:cs="PT Astra Serif"/>
          <w:color w:val="000000"/>
          <w:szCs w:val="28"/>
        </w:rPr>
        <w:br/>
        <w:t>с хроническими неинфекционными заболеваниями в целом выполнено на 79,7% или 194 837 комплексных посещений, медицинским организациям направлены финансовые средства в сумме 278,45 млн рублей.</w:t>
      </w:r>
    </w:p>
    <w:p w14:paraId="72299AC7" w14:textId="4DFA552C" w:rsidR="002A207B" w:rsidRPr="002A207B" w:rsidRDefault="002A207B" w:rsidP="002A207B">
      <w:pPr>
        <w:widowControl w:val="0"/>
        <w:shd w:val="clear" w:color="auto" w:fill="FFFFFF"/>
        <w:ind w:firstLine="708"/>
        <w:rPr>
          <w:rFonts w:ascii="PT Astra Serif" w:eastAsia="Calibri" w:hAnsi="PT Astra Serif" w:cs="Times New Roman"/>
          <w:color w:val="000000"/>
          <w:szCs w:val="28"/>
        </w:rPr>
      </w:pPr>
      <w:r w:rsidRPr="002A207B">
        <w:rPr>
          <w:rFonts w:ascii="PT Astra Serif" w:eastAsia="Calibri" w:hAnsi="PT Astra Serif" w:cs="Times New Roman"/>
          <w:b/>
          <w:color w:val="000000"/>
          <w:szCs w:val="28"/>
        </w:rPr>
        <w:t>Выполнение медицинских услуг, утвержденных на федеральном уровне.</w:t>
      </w:r>
      <w:r w:rsidR="00A1044B">
        <w:rPr>
          <w:rFonts w:ascii="PT Astra Serif" w:eastAsia="Calibri" w:hAnsi="PT Astra Serif" w:cs="Times New Roman"/>
          <w:b/>
          <w:color w:val="000000"/>
          <w:szCs w:val="28"/>
        </w:rPr>
        <w:t xml:space="preserve"> </w:t>
      </w:r>
      <w:r w:rsidRPr="002A207B">
        <w:rPr>
          <w:rFonts w:ascii="PT Astra Serif" w:eastAsia="Calibri" w:hAnsi="PT Astra Serif" w:cs="Times New Roman"/>
          <w:color w:val="000000"/>
          <w:szCs w:val="28"/>
        </w:rPr>
        <w:t>Так, по итогам 2025 года:</w:t>
      </w:r>
    </w:p>
    <w:p w14:paraId="4123BC54" w14:textId="77777777" w:rsidR="002A207B" w:rsidRPr="002A207B" w:rsidRDefault="002A207B" w:rsidP="002A207B">
      <w:pPr>
        <w:widowControl w:val="0"/>
        <w:shd w:val="clear" w:color="auto" w:fill="FFFFFF"/>
        <w:ind w:firstLine="708"/>
        <w:rPr>
          <w:rFonts w:ascii="PT Astra Serif" w:eastAsia="Calibri" w:hAnsi="PT Astra Serif" w:cs="Times New Roman"/>
          <w:color w:val="000000"/>
          <w:szCs w:val="28"/>
        </w:rPr>
      </w:pPr>
      <w:r w:rsidRPr="002A207B">
        <w:rPr>
          <w:rFonts w:ascii="PT Astra Serif" w:eastAsia="Calibri" w:hAnsi="PT Astra Serif" w:cs="Times New Roman"/>
          <w:b/>
          <w:color w:val="000000"/>
          <w:szCs w:val="28"/>
        </w:rPr>
        <w:t xml:space="preserve">по </w:t>
      </w:r>
      <w:proofErr w:type="spellStart"/>
      <w:r w:rsidRPr="002A207B">
        <w:rPr>
          <w:rFonts w:ascii="PT Astra Serif" w:eastAsia="Calibri" w:hAnsi="PT Astra Serif" w:cs="Times New Roman"/>
          <w:b/>
          <w:color w:val="000000"/>
          <w:szCs w:val="28"/>
        </w:rPr>
        <w:t>паталого</w:t>
      </w:r>
      <w:proofErr w:type="spellEnd"/>
      <w:r w:rsidRPr="002A207B">
        <w:rPr>
          <w:rFonts w:ascii="PT Astra Serif" w:eastAsia="Calibri" w:hAnsi="PT Astra Serif" w:cs="Times New Roman"/>
          <w:b/>
          <w:color w:val="000000"/>
          <w:szCs w:val="28"/>
        </w:rPr>
        <w:t xml:space="preserve">-анатомическим исследованиям </w:t>
      </w:r>
      <w:proofErr w:type="spellStart"/>
      <w:r w:rsidRPr="002A207B">
        <w:rPr>
          <w:rFonts w:ascii="PT Astra Serif" w:eastAsia="Calibri" w:hAnsi="PT Astra Serif" w:cs="Times New Roman"/>
          <w:b/>
          <w:color w:val="000000"/>
          <w:szCs w:val="28"/>
        </w:rPr>
        <w:t>биопсийного</w:t>
      </w:r>
      <w:proofErr w:type="spellEnd"/>
      <w:r w:rsidRPr="002A207B">
        <w:rPr>
          <w:rFonts w:ascii="PT Astra Serif" w:eastAsia="Calibri" w:hAnsi="PT Astra Serif" w:cs="Times New Roman"/>
          <w:b/>
          <w:color w:val="000000"/>
          <w:szCs w:val="28"/>
        </w:rPr>
        <w:t xml:space="preserve"> материала</w:t>
      </w:r>
      <w:r w:rsidRPr="002A207B">
        <w:rPr>
          <w:rFonts w:ascii="PT Astra Serif" w:eastAsia="Calibri" w:hAnsi="PT Astra Serif" w:cs="Times New Roman"/>
          <w:color w:val="000000"/>
          <w:szCs w:val="28"/>
          <w:u w:val="single"/>
        </w:rPr>
        <w:t xml:space="preserve"> </w:t>
      </w:r>
      <w:r w:rsidRPr="002A207B">
        <w:rPr>
          <w:rFonts w:ascii="PT Astra Serif" w:eastAsia="Calibri" w:hAnsi="PT Astra Serif" w:cs="Times New Roman"/>
          <w:color w:val="000000"/>
          <w:szCs w:val="28"/>
        </w:rPr>
        <w:t>в целом объёмы выполнены только на 46,8% от годового плана (план – 25 880, факт – 12 122).</w:t>
      </w:r>
    </w:p>
    <w:p w14:paraId="12FCBC0F" w14:textId="77777777" w:rsidR="002A207B" w:rsidRPr="002A207B" w:rsidRDefault="002A207B" w:rsidP="002A207B">
      <w:pPr>
        <w:widowControl w:val="0"/>
        <w:shd w:val="clear" w:color="auto" w:fill="FFFFFF"/>
        <w:rPr>
          <w:rFonts w:ascii="PT Astra Serif" w:eastAsia="Calibri" w:hAnsi="PT Astra Serif" w:cs="Times New Roman"/>
          <w:b/>
          <w:i/>
          <w:color w:val="000000"/>
          <w:szCs w:val="28"/>
        </w:rPr>
      </w:pPr>
      <w:r w:rsidRPr="002A207B">
        <w:rPr>
          <w:rFonts w:ascii="PT Astra Serif" w:eastAsia="Calibri" w:hAnsi="PT Astra Serif" w:cs="Times New Roman"/>
          <w:b/>
          <w:color w:val="000000"/>
          <w:szCs w:val="28"/>
        </w:rPr>
        <w:t>по магнитно-резонансной томографии</w:t>
      </w:r>
      <w:r w:rsidRPr="002A207B">
        <w:rPr>
          <w:rFonts w:ascii="PT Astra Serif" w:eastAsia="Calibri" w:hAnsi="PT Astra Serif" w:cs="Times New Roman"/>
          <w:color w:val="000000"/>
          <w:szCs w:val="28"/>
        </w:rPr>
        <w:t xml:space="preserve"> в целом объёмы выполнены только на 80,7% от годового плана (план – 25 614, факт – 20 665). </w:t>
      </w:r>
    </w:p>
    <w:p w14:paraId="04C74140" w14:textId="77777777" w:rsidR="002A207B" w:rsidRPr="002A207B" w:rsidRDefault="002A207B" w:rsidP="002A207B">
      <w:pPr>
        <w:widowControl w:val="0"/>
        <w:shd w:val="clear" w:color="auto" w:fill="FFFFFF"/>
        <w:rPr>
          <w:rFonts w:ascii="PT Astra Serif" w:eastAsia="Calibri" w:hAnsi="PT Astra Serif" w:cs="Times New Roman"/>
          <w:b/>
          <w:i/>
          <w:color w:val="000000"/>
          <w:szCs w:val="28"/>
        </w:rPr>
      </w:pPr>
      <w:r w:rsidRPr="002A207B">
        <w:rPr>
          <w:rFonts w:ascii="PT Astra Serif" w:eastAsia="Calibri" w:hAnsi="PT Astra Serif" w:cs="Times New Roman"/>
          <w:b/>
          <w:color w:val="000000"/>
          <w:szCs w:val="28"/>
        </w:rPr>
        <w:t>по компьютерной томографии</w:t>
      </w:r>
      <w:r w:rsidRPr="002A207B">
        <w:rPr>
          <w:rFonts w:ascii="PT Astra Serif" w:eastAsia="Calibri" w:hAnsi="PT Astra Serif" w:cs="Times New Roman"/>
          <w:color w:val="000000"/>
          <w:szCs w:val="28"/>
        </w:rPr>
        <w:t xml:space="preserve"> в целом объёмы выполнены только на 84,6% от годового плана (план – 67 116, факт – 56 798).</w:t>
      </w:r>
    </w:p>
    <w:p w14:paraId="6B1EF7C2" w14:textId="77777777" w:rsidR="002A207B" w:rsidRPr="002A207B" w:rsidRDefault="002A207B" w:rsidP="002A207B">
      <w:pPr>
        <w:widowControl w:val="0"/>
        <w:shd w:val="clear" w:color="auto" w:fill="FFFFFF"/>
        <w:rPr>
          <w:rFonts w:ascii="PT Astra Serif" w:eastAsia="Calibri" w:hAnsi="PT Astra Serif" w:cs="Times New Roman"/>
          <w:color w:val="000000"/>
          <w:szCs w:val="28"/>
        </w:rPr>
      </w:pPr>
      <w:r w:rsidRPr="002A207B">
        <w:rPr>
          <w:rFonts w:ascii="PT Astra Serif" w:eastAsia="Calibri" w:hAnsi="PT Astra Serif" w:cs="Times New Roman"/>
          <w:b/>
          <w:color w:val="000000"/>
          <w:szCs w:val="28"/>
        </w:rPr>
        <w:t>по УЗИ сердечно-сосудистой системы</w:t>
      </w:r>
      <w:r w:rsidRPr="002A207B">
        <w:rPr>
          <w:rFonts w:ascii="PT Astra Serif" w:eastAsia="Calibri" w:hAnsi="PT Astra Serif" w:cs="Times New Roman"/>
          <w:color w:val="000000"/>
          <w:szCs w:val="28"/>
        </w:rPr>
        <w:t xml:space="preserve"> в целом объёмы выполнены на 98,8% от годового плана (план – 142 304, факт – 140 621), </w:t>
      </w:r>
    </w:p>
    <w:p w14:paraId="1E13C092" w14:textId="77777777" w:rsidR="002A207B" w:rsidRPr="002A207B" w:rsidRDefault="002A207B" w:rsidP="002A207B">
      <w:pPr>
        <w:widowControl w:val="0"/>
        <w:shd w:val="clear" w:color="auto" w:fill="FFFFFF"/>
        <w:rPr>
          <w:rFonts w:ascii="PT Astra Serif" w:eastAsia="Calibri" w:hAnsi="PT Astra Serif" w:cs="Times New Roman"/>
          <w:b/>
          <w:color w:val="000000"/>
          <w:szCs w:val="28"/>
        </w:rPr>
      </w:pPr>
      <w:r w:rsidRPr="002A207B">
        <w:rPr>
          <w:rFonts w:ascii="PT Astra Serif" w:eastAsia="Calibri" w:hAnsi="PT Astra Serif" w:cs="Times New Roman"/>
          <w:b/>
          <w:color w:val="000000"/>
          <w:szCs w:val="28"/>
        </w:rPr>
        <w:t>по эндоскопическим исследованиям</w:t>
      </w:r>
      <w:r w:rsidRPr="002A207B">
        <w:rPr>
          <w:rFonts w:ascii="PT Astra Serif" w:eastAsia="Calibri" w:hAnsi="PT Astra Serif" w:cs="Times New Roman"/>
          <w:color w:val="000000"/>
          <w:szCs w:val="28"/>
        </w:rPr>
        <w:t xml:space="preserve"> в целом объёмы выполнены на 99,2% от годового значения (план – 47 803, факт – 47 410),</w:t>
      </w:r>
    </w:p>
    <w:p w14:paraId="0AEA1DA1" w14:textId="77777777" w:rsidR="002A207B" w:rsidRPr="002A207B" w:rsidRDefault="002A207B" w:rsidP="00A1044B">
      <w:pPr>
        <w:widowControl w:val="0"/>
        <w:shd w:val="clear" w:color="auto" w:fill="FFFFFF"/>
        <w:ind w:firstLine="0"/>
        <w:jc w:val="center"/>
        <w:rPr>
          <w:rFonts w:ascii="PT Astra Serif" w:eastAsia="Calibri" w:hAnsi="PT Astra Serif" w:cs="Times New Roman"/>
          <w:b/>
          <w:color w:val="000000"/>
          <w:szCs w:val="28"/>
        </w:rPr>
      </w:pPr>
      <w:r w:rsidRPr="002A207B">
        <w:rPr>
          <w:rFonts w:ascii="PT Astra Serif" w:eastAsia="Calibri" w:hAnsi="PT Astra Serif" w:cs="Times New Roman"/>
          <w:b/>
          <w:color w:val="000000"/>
          <w:szCs w:val="28"/>
        </w:rPr>
        <w:lastRenderedPageBreak/>
        <w:t>Медицинская реабилитация</w:t>
      </w:r>
    </w:p>
    <w:p w14:paraId="527F5CAA" w14:textId="77777777" w:rsidR="002A207B" w:rsidRPr="002A207B" w:rsidRDefault="002A207B" w:rsidP="00A1044B">
      <w:pPr>
        <w:widowControl w:val="0"/>
        <w:shd w:val="clear" w:color="auto" w:fill="FFFFFF"/>
        <w:ind w:firstLine="0"/>
        <w:jc w:val="center"/>
        <w:rPr>
          <w:rFonts w:ascii="PT Astra Serif" w:eastAsia="Calibri" w:hAnsi="PT Astra Serif" w:cs="Times New Roman"/>
          <w:b/>
          <w:color w:val="000000"/>
          <w:szCs w:val="28"/>
        </w:rPr>
      </w:pPr>
    </w:p>
    <w:p w14:paraId="7B12C1EB" w14:textId="77777777" w:rsidR="002A207B" w:rsidRPr="002A207B" w:rsidRDefault="002A207B" w:rsidP="00A1044B">
      <w:pPr>
        <w:widowControl w:val="0"/>
        <w:autoSpaceDE w:val="0"/>
        <w:autoSpaceDN w:val="0"/>
        <w:adjustRightInd w:val="0"/>
        <w:rPr>
          <w:rFonts w:ascii="PT Astra Serif" w:eastAsia="Calibri" w:hAnsi="PT Astra Serif" w:cs="PT Astra Serif"/>
          <w:color w:val="000000"/>
          <w:szCs w:val="28"/>
          <w:u w:val="single"/>
        </w:rPr>
      </w:pPr>
      <w:r w:rsidRPr="002A207B">
        <w:rPr>
          <w:rFonts w:ascii="PT Astra Serif" w:eastAsia="Calibri" w:hAnsi="PT Astra Serif" w:cs="Times New Roman"/>
          <w:color w:val="000000"/>
          <w:szCs w:val="28"/>
        </w:rPr>
        <w:t>Важным направлением в 2025 году остается м</w:t>
      </w:r>
      <w:r w:rsidRPr="002A207B">
        <w:rPr>
          <w:rFonts w:ascii="PT Astra Serif" w:eastAsia="Calibri" w:hAnsi="PT Astra Serif" w:cs="PT Astra Serif"/>
          <w:color w:val="000000"/>
          <w:szCs w:val="28"/>
        </w:rPr>
        <w:t>едицинская реабилитация.</w:t>
      </w:r>
      <w:r w:rsidRPr="002A207B">
        <w:rPr>
          <w:rFonts w:ascii="PT Astra Serif" w:eastAsia="Calibri" w:hAnsi="PT Astra Serif" w:cs="PT Astra Serif"/>
          <w:color w:val="000000"/>
          <w:szCs w:val="28"/>
          <w:u w:val="single"/>
        </w:rPr>
        <w:t xml:space="preserve"> </w:t>
      </w:r>
    </w:p>
    <w:p w14:paraId="19A63E3F" w14:textId="77777777" w:rsidR="002A207B" w:rsidRPr="002A207B" w:rsidRDefault="002A207B" w:rsidP="00A1044B">
      <w:pPr>
        <w:widowControl w:val="0"/>
        <w:autoSpaceDE w:val="0"/>
        <w:autoSpaceDN w:val="0"/>
        <w:adjustRightInd w:val="0"/>
        <w:rPr>
          <w:rFonts w:ascii="PT Astra Serif" w:eastAsia="Calibri" w:hAnsi="PT Astra Serif" w:cs="Times New Roman"/>
          <w:color w:val="000000"/>
          <w:szCs w:val="28"/>
        </w:rPr>
      </w:pPr>
      <w:r w:rsidRPr="002A207B">
        <w:rPr>
          <w:rFonts w:ascii="PT Astra Serif" w:eastAsia="Calibri" w:hAnsi="PT Astra Serif" w:cs="Times New Roman"/>
          <w:szCs w:val="28"/>
        </w:rPr>
        <w:t xml:space="preserve">В амбулаторных условиях проводилась в 9 медицинских организациях. На проведение мероприятий по медицинской реабилитации в амбулаторных условиях территориальной программой определено 4 056 комплексных посещений (в 2024 году – 3 652). </w:t>
      </w:r>
      <w:r w:rsidRPr="002A207B">
        <w:rPr>
          <w:rFonts w:ascii="PT Astra Serif" w:eastAsia="Calibri" w:hAnsi="PT Astra Serif" w:cs="Times New Roman"/>
          <w:color w:val="000000"/>
          <w:szCs w:val="28"/>
        </w:rPr>
        <w:t xml:space="preserve">В 2025 году оплачено </w:t>
      </w:r>
      <w:r w:rsidRPr="002A207B">
        <w:rPr>
          <w:rFonts w:ascii="PT Astra Serif" w:eastAsia="Calibri" w:hAnsi="PT Astra Serif" w:cs="Times New Roman"/>
          <w:szCs w:val="28"/>
        </w:rPr>
        <w:t xml:space="preserve">4 030 </w:t>
      </w:r>
      <w:r w:rsidRPr="002A207B">
        <w:rPr>
          <w:rFonts w:ascii="PT Astra Serif" w:eastAsia="Calibri" w:hAnsi="PT Astra Serif" w:cs="Times New Roman"/>
          <w:color w:val="000000"/>
          <w:szCs w:val="28"/>
        </w:rPr>
        <w:t xml:space="preserve">комплексных посещений по медицинской реабилитации или 98,6% от годового норматива. </w:t>
      </w:r>
    </w:p>
    <w:p w14:paraId="19AEC3B1" w14:textId="77777777" w:rsidR="002A207B" w:rsidRPr="002A207B" w:rsidRDefault="002A207B" w:rsidP="00A1044B">
      <w:pPr>
        <w:widowControl w:val="0"/>
        <w:autoSpaceDE w:val="0"/>
        <w:autoSpaceDN w:val="0"/>
        <w:adjustRightInd w:val="0"/>
        <w:rPr>
          <w:rFonts w:ascii="PT Astra Serif" w:eastAsia="Calibri" w:hAnsi="PT Astra Serif" w:cs="Times New Roman"/>
          <w:color w:val="000000"/>
          <w:szCs w:val="28"/>
        </w:rPr>
      </w:pPr>
      <w:r w:rsidRPr="002A207B">
        <w:rPr>
          <w:rFonts w:ascii="PT Astra Serif" w:hAnsi="PT Astra Serif" w:cs="Times New Roman"/>
          <w:color w:val="000000"/>
          <w:szCs w:val="28"/>
        </w:rPr>
        <w:t xml:space="preserve">Медицинская реабилитация </w:t>
      </w:r>
      <w:r w:rsidRPr="002A207B">
        <w:rPr>
          <w:rFonts w:ascii="PT Astra Serif" w:hAnsi="PT Astra Serif" w:cs="Times New Roman"/>
          <w:b/>
          <w:color w:val="000000"/>
          <w:szCs w:val="28"/>
        </w:rPr>
        <w:t>в условиях дневного стационара</w:t>
      </w:r>
      <w:r w:rsidRPr="002A207B">
        <w:rPr>
          <w:rFonts w:ascii="PT Astra Serif" w:hAnsi="PT Astra Serif" w:cs="Times New Roman"/>
          <w:color w:val="000000"/>
          <w:szCs w:val="28"/>
          <w:u w:val="single"/>
        </w:rPr>
        <w:t xml:space="preserve"> </w:t>
      </w:r>
      <w:r w:rsidRPr="002A207B">
        <w:rPr>
          <w:rFonts w:ascii="PT Astra Serif" w:hAnsi="PT Astra Serif" w:cs="Times New Roman"/>
          <w:color w:val="000000"/>
          <w:szCs w:val="28"/>
        </w:rPr>
        <w:t>проводилась в 4 медицинских организациях. На 2025 год</w:t>
      </w:r>
      <w:r w:rsidRPr="002A207B">
        <w:rPr>
          <w:rFonts w:ascii="PT Astra Serif" w:hAnsi="PT Astra Serif" w:cs="Times New Roman"/>
          <w:szCs w:val="28"/>
        </w:rPr>
        <w:t xml:space="preserve"> было</w:t>
      </w:r>
      <w:r w:rsidRPr="002A207B">
        <w:rPr>
          <w:rFonts w:ascii="PT Astra Serif" w:hAnsi="PT Astra Serif" w:cs="Times New Roman"/>
          <w:szCs w:val="28"/>
          <w:u w:val="single"/>
        </w:rPr>
        <w:t xml:space="preserve"> </w:t>
      </w:r>
      <w:r w:rsidRPr="002A207B">
        <w:rPr>
          <w:rFonts w:ascii="PT Astra Serif" w:hAnsi="PT Astra Serif" w:cs="Times New Roman"/>
          <w:szCs w:val="28"/>
        </w:rPr>
        <w:t xml:space="preserve">запланировано 3 145 случаев лечения (в 2024 году – 3 049). </w:t>
      </w:r>
      <w:r w:rsidRPr="002A207B">
        <w:rPr>
          <w:rFonts w:ascii="PT Astra Serif" w:eastAsia="Calibri" w:hAnsi="PT Astra Serif" w:cs="Times New Roman"/>
          <w:color w:val="000000"/>
          <w:szCs w:val="28"/>
        </w:rPr>
        <w:t>За 2025 год оплачено 3 057 случаев лечения по медицинской реабилитации или 97,2% от годового норматива.</w:t>
      </w:r>
    </w:p>
    <w:p w14:paraId="609617BE" w14:textId="77777777" w:rsidR="002A207B" w:rsidRPr="002A207B" w:rsidRDefault="002A207B" w:rsidP="00A1044B">
      <w:pPr>
        <w:widowControl w:val="0"/>
        <w:autoSpaceDE w:val="0"/>
        <w:autoSpaceDN w:val="0"/>
        <w:adjustRightInd w:val="0"/>
        <w:rPr>
          <w:rFonts w:ascii="PT Astra Serif" w:hAnsi="PT Astra Serif" w:cs="Times New Roman"/>
          <w:szCs w:val="28"/>
        </w:rPr>
      </w:pPr>
      <w:r w:rsidRPr="002A207B">
        <w:rPr>
          <w:rFonts w:ascii="PT Astra Serif" w:hAnsi="PT Astra Serif" w:cs="Times New Roman"/>
          <w:color w:val="000000"/>
          <w:szCs w:val="28"/>
        </w:rPr>
        <w:t xml:space="preserve">Медицинская реабилитация </w:t>
      </w:r>
      <w:r w:rsidRPr="002A207B">
        <w:rPr>
          <w:rFonts w:ascii="PT Astra Serif" w:hAnsi="PT Astra Serif" w:cs="Times New Roman"/>
          <w:b/>
          <w:color w:val="000000"/>
          <w:szCs w:val="28"/>
        </w:rPr>
        <w:t>в условиях круглосуточного стационара</w:t>
      </w:r>
      <w:r w:rsidRPr="002A207B">
        <w:rPr>
          <w:rFonts w:ascii="PT Astra Serif" w:hAnsi="PT Astra Serif" w:cs="Times New Roman"/>
          <w:b/>
          <w:color w:val="000000"/>
          <w:szCs w:val="28"/>
          <w:u w:val="single"/>
        </w:rPr>
        <w:t xml:space="preserve"> </w:t>
      </w:r>
      <w:r w:rsidRPr="002A207B">
        <w:rPr>
          <w:rFonts w:ascii="PT Astra Serif" w:hAnsi="PT Astra Serif" w:cs="Times New Roman"/>
          <w:color w:val="000000"/>
          <w:szCs w:val="28"/>
        </w:rPr>
        <w:t xml:space="preserve">проводилась в 7 медицинских организациях. На 2025 год было запланировано 6 560 случаев госпитализации (в 2024 году – 6 360). </w:t>
      </w:r>
      <w:r w:rsidRPr="002A207B">
        <w:rPr>
          <w:rFonts w:ascii="PT Astra Serif" w:hAnsi="PT Astra Serif" w:cs="Times New Roman"/>
          <w:szCs w:val="28"/>
        </w:rPr>
        <w:t xml:space="preserve">Медицинскую реабилитацию в условиях круглосуточного стационара прошли 6 620 человек, что составляет 101% от годового плана. </w:t>
      </w:r>
    </w:p>
    <w:p w14:paraId="7919C7EF" w14:textId="77777777" w:rsidR="002A207B" w:rsidRPr="002A207B" w:rsidRDefault="002A207B" w:rsidP="00A1044B">
      <w:pPr>
        <w:widowControl w:val="0"/>
        <w:overflowPunct w:val="0"/>
        <w:autoSpaceDE w:val="0"/>
        <w:autoSpaceDN w:val="0"/>
        <w:adjustRightInd w:val="0"/>
        <w:textAlignment w:val="baseline"/>
        <w:rPr>
          <w:rFonts w:cs="Times New Roman"/>
        </w:rPr>
      </w:pPr>
      <w:r w:rsidRPr="002A207B">
        <w:rPr>
          <w:rFonts w:ascii="PT Astra Serif" w:hAnsi="PT Astra Serif" w:cs="Times New Roman"/>
          <w:szCs w:val="28"/>
        </w:rPr>
        <w:t xml:space="preserve">За </w:t>
      </w:r>
      <w:r w:rsidRPr="002A207B">
        <w:rPr>
          <w:rFonts w:ascii="PT Astra Serif" w:eastAsia="Calibri" w:hAnsi="PT Astra Serif" w:cs="Times New Roman"/>
          <w:szCs w:val="28"/>
        </w:rPr>
        <w:t>2025 год</w:t>
      </w:r>
      <w:r w:rsidRPr="002A207B">
        <w:rPr>
          <w:rFonts w:ascii="PT Astra Serif" w:hAnsi="PT Astra Serif" w:cs="Times New Roman"/>
          <w:szCs w:val="28"/>
        </w:rPr>
        <w:t xml:space="preserve"> на медицинскую реабилитацию были </w:t>
      </w:r>
      <w:r w:rsidRPr="002A207B">
        <w:rPr>
          <w:rFonts w:ascii="PT Astra Serif" w:eastAsia="Calibri" w:hAnsi="PT Astra Serif" w:cs="Times New Roman"/>
          <w:szCs w:val="28"/>
        </w:rPr>
        <w:t xml:space="preserve">направлены финансовые средства в сумме </w:t>
      </w:r>
      <w:r w:rsidRPr="002A207B">
        <w:rPr>
          <w:rFonts w:ascii="PT Astra Serif" w:hAnsi="PT Astra Serif" w:cs="Times New Roman"/>
          <w:szCs w:val="28"/>
        </w:rPr>
        <w:t>657,4 млн рублей, что на 25,4% больше чем за аналогичный период 2024 года (2024 год – 524,45 млн рублей).</w:t>
      </w:r>
    </w:p>
    <w:p w14:paraId="6D181BF3" w14:textId="77777777" w:rsidR="002A207B" w:rsidRPr="002A207B" w:rsidRDefault="002A207B" w:rsidP="002A207B">
      <w:pPr>
        <w:widowControl w:val="0"/>
        <w:shd w:val="clear" w:color="auto" w:fill="FFFFFF"/>
        <w:jc w:val="center"/>
        <w:rPr>
          <w:rFonts w:ascii="PT Astra Serif" w:hAnsi="PT Astra Serif" w:cs="Times New Roman"/>
          <w:b/>
          <w:color w:val="000000"/>
          <w:szCs w:val="28"/>
        </w:rPr>
      </w:pPr>
    </w:p>
    <w:p w14:paraId="50F52A7E" w14:textId="77777777" w:rsidR="002A207B" w:rsidRPr="002A207B" w:rsidRDefault="002A207B" w:rsidP="002A207B">
      <w:pPr>
        <w:widowControl w:val="0"/>
        <w:shd w:val="clear" w:color="auto" w:fill="FFFFFF"/>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t>Медицинская помощь пациентам с онкологическими заболеваниями</w:t>
      </w:r>
    </w:p>
    <w:p w14:paraId="686C0F4B" w14:textId="77777777" w:rsidR="002A207B" w:rsidRPr="002A207B" w:rsidRDefault="002A207B" w:rsidP="002A207B">
      <w:pPr>
        <w:widowControl w:val="0"/>
        <w:shd w:val="clear" w:color="auto" w:fill="FFFFFF"/>
        <w:jc w:val="center"/>
        <w:rPr>
          <w:rFonts w:ascii="PT Astra Serif" w:hAnsi="PT Astra Serif" w:cs="Arial"/>
          <w:color w:val="000000"/>
          <w:szCs w:val="28"/>
        </w:rPr>
      </w:pPr>
    </w:p>
    <w:p w14:paraId="1493A330" w14:textId="77777777" w:rsidR="002A207B" w:rsidRPr="002A207B" w:rsidRDefault="002A207B" w:rsidP="002A207B">
      <w:pPr>
        <w:widowControl w:val="0"/>
        <w:ind w:firstLine="708"/>
        <w:rPr>
          <w:rFonts w:ascii="PT Astra Serif" w:hAnsi="PT Astra Serif" w:cs="Arial"/>
          <w:color w:val="000000"/>
          <w:szCs w:val="28"/>
          <w:shd w:val="clear" w:color="auto" w:fill="FFFFFF"/>
        </w:rPr>
      </w:pPr>
      <w:r w:rsidRPr="002A207B">
        <w:rPr>
          <w:rFonts w:ascii="PT Astra Serif" w:hAnsi="PT Astra Serif" w:cs="Arial"/>
          <w:color w:val="000000"/>
          <w:szCs w:val="28"/>
          <w:shd w:val="clear" w:color="auto" w:fill="FFFFFF"/>
        </w:rPr>
        <w:t xml:space="preserve">С 2025 года федеральный проект «Борьба с онкологическими заболеваниями» входит в национальный проект «Продолжительная </w:t>
      </w:r>
      <w:r w:rsidRPr="002A207B">
        <w:rPr>
          <w:rFonts w:ascii="PT Astra Serif" w:hAnsi="PT Astra Serif" w:cs="Arial"/>
          <w:color w:val="000000"/>
          <w:szCs w:val="28"/>
          <w:shd w:val="clear" w:color="auto" w:fill="FFFFFF"/>
        </w:rPr>
        <w:br/>
        <w:t>и активная жизнь».</w:t>
      </w:r>
    </w:p>
    <w:p w14:paraId="7EE83456" w14:textId="77777777" w:rsidR="002A207B" w:rsidRPr="002A207B" w:rsidRDefault="002A207B" w:rsidP="002A207B">
      <w:pPr>
        <w:widowControl w:val="0"/>
        <w:ind w:firstLine="708"/>
        <w:rPr>
          <w:rFonts w:ascii="PT Astra Serif" w:hAnsi="PT Astra Serif" w:cs="Arial"/>
          <w:color w:val="000000"/>
          <w:shd w:val="clear" w:color="auto" w:fill="FFFFFF"/>
        </w:rPr>
      </w:pPr>
      <w:r w:rsidRPr="002A207B">
        <w:rPr>
          <w:rFonts w:ascii="PT Astra Serif" w:hAnsi="PT Astra Serif" w:cs="Arial"/>
          <w:color w:val="000000"/>
          <w:szCs w:val="28"/>
          <w:shd w:val="clear" w:color="auto" w:fill="FFFFFF"/>
        </w:rPr>
        <w:t>В соответствии с данным проектом во всех регионах России пациенты со злокачественными новообразованиями должны получать медицинскую помощь в круглосуточном и дневном стационарах.</w:t>
      </w:r>
      <w:r w:rsidRPr="002A207B">
        <w:rPr>
          <w:rFonts w:ascii="Arial" w:hAnsi="Arial" w:cs="Arial"/>
          <w:color w:val="000000"/>
          <w:shd w:val="clear" w:color="auto" w:fill="FFFFFF"/>
        </w:rPr>
        <w:t xml:space="preserve"> </w:t>
      </w:r>
    </w:p>
    <w:p w14:paraId="2D2CC785" w14:textId="77777777" w:rsidR="002A207B" w:rsidRPr="002A207B" w:rsidRDefault="002A207B" w:rsidP="002A207B">
      <w:pPr>
        <w:widowControl w:val="0"/>
        <w:ind w:firstLine="708"/>
        <w:rPr>
          <w:rFonts w:ascii="PT Astra Serif" w:hAnsi="PT Astra Serif" w:cs="Arial"/>
          <w:color w:val="000000"/>
          <w:szCs w:val="28"/>
          <w:shd w:val="clear" w:color="auto" w:fill="FFFFFF"/>
        </w:rPr>
      </w:pPr>
      <w:r w:rsidRPr="002A207B">
        <w:rPr>
          <w:rFonts w:ascii="PT Astra Serif" w:hAnsi="PT Astra Serif" w:cs="Arial"/>
          <w:color w:val="000000"/>
          <w:szCs w:val="28"/>
          <w:shd w:val="clear" w:color="auto" w:fill="FFFFFF"/>
        </w:rPr>
        <w:t xml:space="preserve">В Ульяновской области Территориальной программой государственных гарантий бесплатного оказания гражданам медицинской помощи предусмотрены на 2025 год на </w:t>
      </w:r>
      <w:r w:rsidRPr="002A207B">
        <w:rPr>
          <w:rFonts w:ascii="PT Astra Serif" w:hAnsi="PT Astra Serif" w:cs="PT Astra Serif"/>
          <w:color w:val="000000"/>
          <w:szCs w:val="28"/>
        </w:rPr>
        <w:t xml:space="preserve">лечение онкологических заболеваний </w:t>
      </w:r>
      <w:r w:rsidRPr="002A207B">
        <w:rPr>
          <w:rFonts w:ascii="PT Astra Serif" w:hAnsi="PT Astra Serif" w:cs="PT Astra Serif"/>
          <w:color w:val="000000"/>
          <w:szCs w:val="28"/>
        </w:rPr>
        <w:br/>
      </w:r>
      <w:r w:rsidRPr="002A207B">
        <w:rPr>
          <w:rFonts w:ascii="PT Astra Serif" w:hAnsi="PT Astra Serif" w:cs="Times New Roman"/>
          <w:bCs/>
          <w:szCs w:val="28"/>
        </w:rPr>
        <w:t xml:space="preserve">в круглосуточном и дневном стационарах </w:t>
      </w:r>
      <w:r w:rsidRPr="002A207B">
        <w:rPr>
          <w:rFonts w:ascii="PT Astra Serif" w:hAnsi="PT Astra Serif" w:cs="PT Astra Serif"/>
          <w:color w:val="000000"/>
          <w:szCs w:val="28"/>
        </w:rPr>
        <w:t>в соответствии с клиническими рекомендациями</w:t>
      </w:r>
      <w:r w:rsidRPr="002A207B">
        <w:rPr>
          <w:rFonts w:ascii="PT Astra Serif" w:hAnsi="PT Astra Serif" w:cs="Arial"/>
          <w:color w:val="000000"/>
          <w:szCs w:val="28"/>
          <w:shd w:val="clear" w:color="auto" w:fill="FFFFFF"/>
        </w:rPr>
        <w:t xml:space="preserve"> средства ОМС в сумме 2 314,8 млн рублей.</w:t>
      </w:r>
    </w:p>
    <w:p w14:paraId="29EF11F5" w14:textId="77777777" w:rsidR="002A207B" w:rsidRPr="002A207B" w:rsidRDefault="002A207B" w:rsidP="002A207B">
      <w:pPr>
        <w:widowControl w:val="0"/>
        <w:shd w:val="clear" w:color="auto" w:fill="FFFFFF"/>
        <w:ind w:firstLine="708"/>
        <w:rPr>
          <w:rFonts w:ascii="PT Astra Serif" w:hAnsi="PT Astra Serif" w:cs="Times New Roman"/>
          <w:color w:val="000000"/>
          <w:szCs w:val="28"/>
        </w:rPr>
      </w:pPr>
      <w:r w:rsidRPr="002A207B">
        <w:rPr>
          <w:rFonts w:ascii="PT Astra Serif" w:hAnsi="PT Astra Serif" w:cs="Times New Roman"/>
          <w:bCs/>
          <w:szCs w:val="28"/>
        </w:rPr>
        <w:t xml:space="preserve">За 2025 год на финансирование медицинской помощи, оказанной пациентам с онкологическими заболеваниями в круглосуточном и дневном стационарах направлены средства ОМС в сумме 2 631,34 млн рублей, что на 18,2% или 404,92 млн рублей выше уровня 2024 года (2024 год – 2 226,42 млн рублей) и на </w:t>
      </w:r>
      <w:r w:rsidRPr="002A207B">
        <w:rPr>
          <w:rFonts w:ascii="PT Astra Serif" w:hAnsi="PT Astra Serif" w:cs="Times New Roman"/>
          <w:bCs/>
          <w:color w:val="000000"/>
          <w:szCs w:val="28"/>
        </w:rPr>
        <w:t>113,7% от годового плана.</w:t>
      </w:r>
      <w:r w:rsidRPr="002A207B">
        <w:rPr>
          <w:rFonts w:ascii="PT Astra Serif" w:hAnsi="PT Astra Serif" w:cs="Times New Roman"/>
          <w:color w:val="000000"/>
          <w:szCs w:val="28"/>
        </w:rPr>
        <w:t xml:space="preserve"> </w:t>
      </w:r>
    </w:p>
    <w:p w14:paraId="5390B945" w14:textId="77777777" w:rsidR="002A207B" w:rsidRPr="002A207B" w:rsidRDefault="002A207B" w:rsidP="002A207B">
      <w:pPr>
        <w:widowControl w:val="0"/>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Оплачено 10 708 случаев госпитализации в круглосуточные стационары и 14 662 случая лечения в дневных стационарах по профилям онкология, </w:t>
      </w:r>
      <w:proofErr w:type="spellStart"/>
      <w:r w:rsidRPr="002A207B">
        <w:rPr>
          <w:rFonts w:ascii="PT Astra Serif" w:eastAsia="Calibri" w:hAnsi="PT Astra Serif" w:cs="Times New Roman"/>
          <w:color w:val="000000"/>
          <w:szCs w:val="28"/>
        </w:rPr>
        <w:t>онкогематология</w:t>
      </w:r>
      <w:proofErr w:type="spellEnd"/>
      <w:r w:rsidRPr="002A207B">
        <w:rPr>
          <w:rFonts w:ascii="PT Astra Serif" w:eastAsia="Calibri" w:hAnsi="PT Astra Serif" w:cs="Times New Roman"/>
          <w:color w:val="000000"/>
          <w:szCs w:val="28"/>
        </w:rPr>
        <w:t xml:space="preserve"> и радиология пациентов. </w:t>
      </w:r>
    </w:p>
    <w:p w14:paraId="72208107" w14:textId="77777777" w:rsidR="002A207B" w:rsidRPr="002A207B" w:rsidRDefault="002A207B" w:rsidP="002A207B">
      <w:pPr>
        <w:widowControl w:val="0"/>
        <w:shd w:val="clear" w:color="auto" w:fill="FFFFFF"/>
        <w:ind w:firstLine="708"/>
        <w:rPr>
          <w:rFonts w:ascii="PT Astra Serif" w:hAnsi="PT Astra Serif" w:cs="Times New Roman"/>
          <w:bCs/>
          <w:color w:val="000000"/>
          <w:szCs w:val="28"/>
        </w:rPr>
      </w:pPr>
      <w:r w:rsidRPr="002A207B">
        <w:rPr>
          <w:rFonts w:ascii="PT Astra Serif" w:hAnsi="PT Astra Serif" w:cs="Times New Roman"/>
          <w:bCs/>
          <w:color w:val="000000"/>
          <w:szCs w:val="28"/>
        </w:rPr>
        <w:t>Средняя стоимость одного случая лечения в круглосуточном стационаре составила 116 804,90 рублей, при</w:t>
      </w:r>
      <w:r w:rsidRPr="002A207B">
        <w:rPr>
          <w:rFonts w:ascii="PT Astra Serif" w:hAnsi="PT Astra Serif" w:cs="Times New Roman"/>
          <w:color w:val="000000"/>
          <w:szCs w:val="28"/>
        </w:rPr>
        <w:t xml:space="preserve"> утвержденном федеральном нормативе финансовых затрат на единицу объёма медицинской помощи </w:t>
      </w:r>
      <w:r w:rsidRPr="002A207B">
        <w:rPr>
          <w:rFonts w:ascii="PT Astra Serif" w:hAnsi="PT Astra Serif" w:cs="Times New Roman"/>
          <w:bCs/>
          <w:color w:val="000000"/>
          <w:szCs w:val="28"/>
        </w:rPr>
        <w:t xml:space="preserve">96 943,5 рубля </w:t>
      </w:r>
      <w:r w:rsidRPr="002A207B">
        <w:rPr>
          <w:rFonts w:ascii="PT Astra Serif" w:hAnsi="PT Astra Serif" w:cs="Times New Roman"/>
          <w:bCs/>
          <w:color w:val="000000"/>
          <w:szCs w:val="28"/>
        </w:rPr>
        <w:lastRenderedPageBreak/>
        <w:t xml:space="preserve">(выше на </w:t>
      </w:r>
      <w:r w:rsidRPr="002A207B">
        <w:rPr>
          <w:rFonts w:ascii="PT Astra Serif" w:hAnsi="PT Astra Serif" w:cs="Times New Roman"/>
          <w:szCs w:val="28"/>
        </w:rPr>
        <w:t>20,5%</w:t>
      </w:r>
      <w:r w:rsidRPr="002A207B">
        <w:rPr>
          <w:rFonts w:ascii="PT Astra Serif" w:hAnsi="PT Astra Serif" w:cs="Times New Roman"/>
          <w:bCs/>
          <w:color w:val="000000"/>
          <w:szCs w:val="28"/>
        </w:rPr>
        <w:t>).</w:t>
      </w:r>
    </w:p>
    <w:p w14:paraId="6402D823" w14:textId="77777777" w:rsidR="002A207B" w:rsidRPr="002A207B" w:rsidRDefault="002A207B" w:rsidP="002A207B">
      <w:pPr>
        <w:widowControl w:val="0"/>
        <w:ind w:firstLine="708"/>
        <w:rPr>
          <w:rFonts w:ascii="PT Astra Serif" w:eastAsia="Calibri" w:hAnsi="PT Astra Serif" w:cs="Times New Roman"/>
          <w:color w:val="000000"/>
          <w:szCs w:val="28"/>
        </w:rPr>
      </w:pPr>
      <w:r w:rsidRPr="002A207B">
        <w:rPr>
          <w:rFonts w:ascii="PT Astra Serif" w:eastAsia="Calibri" w:hAnsi="PT Astra Serif" w:cs="Times New Roman"/>
          <w:bCs/>
          <w:color w:val="000000"/>
          <w:szCs w:val="28"/>
        </w:rPr>
        <w:t xml:space="preserve">Средняя стоимость одного случая лечения в дневном стационаре составила 94 161,53 рубля, </w:t>
      </w:r>
      <w:r w:rsidRPr="002A207B">
        <w:rPr>
          <w:rFonts w:ascii="PT Astra Serif" w:eastAsia="Calibri" w:hAnsi="PT Astra Serif" w:cs="Times New Roman"/>
          <w:color w:val="000000"/>
          <w:szCs w:val="28"/>
        </w:rPr>
        <w:t xml:space="preserve">при утвержденном федеральном нормативе финансовых затрат на единицу объёма медицинской помощи </w:t>
      </w:r>
      <w:r w:rsidRPr="002A207B">
        <w:rPr>
          <w:rFonts w:ascii="PT Astra Serif" w:eastAsia="Calibri" w:hAnsi="PT Astra Serif" w:cs="Times New Roman"/>
          <w:bCs/>
          <w:color w:val="000000"/>
          <w:szCs w:val="28"/>
        </w:rPr>
        <w:t xml:space="preserve">76 153,7 рубля (выше на </w:t>
      </w:r>
      <w:r w:rsidRPr="002A207B">
        <w:rPr>
          <w:rFonts w:ascii="PT Astra Serif" w:hAnsi="PT Astra Serif" w:cs="Times New Roman"/>
          <w:szCs w:val="28"/>
        </w:rPr>
        <w:t>23,6%</w:t>
      </w:r>
      <w:r w:rsidRPr="002A207B">
        <w:rPr>
          <w:rFonts w:ascii="PT Astra Serif" w:eastAsia="Calibri" w:hAnsi="PT Astra Serif" w:cs="Times New Roman"/>
          <w:bCs/>
          <w:color w:val="000000"/>
          <w:szCs w:val="28"/>
        </w:rPr>
        <w:t>).</w:t>
      </w:r>
      <w:r w:rsidRPr="002A207B">
        <w:rPr>
          <w:rFonts w:ascii="PT Astra Serif" w:eastAsia="Calibri" w:hAnsi="PT Astra Serif" w:cs="Times New Roman"/>
          <w:color w:val="000000"/>
          <w:szCs w:val="28"/>
        </w:rPr>
        <w:t xml:space="preserve"> </w:t>
      </w:r>
    </w:p>
    <w:p w14:paraId="5C2A9473" w14:textId="77777777" w:rsidR="002A207B" w:rsidRPr="002A207B" w:rsidRDefault="002A207B" w:rsidP="002A207B">
      <w:pPr>
        <w:widowControl w:val="0"/>
        <w:ind w:firstLine="708"/>
        <w:rPr>
          <w:rFonts w:ascii="PT Astra Serif" w:eastAsia="Calibri" w:hAnsi="PT Astra Serif" w:cs="Times New Roman"/>
          <w:color w:val="000000"/>
          <w:szCs w:val="28"/>
        </w:rPr>
      </w:pPr>
    </w:p>
    <w:p w14:paraId="688DE288" w14:textId="77777777" w:rsidR="002A207B" w:rsidRPr="002A207B" w:rsidRDefault="002A207B" w:rsidP="002A207B">
      <w:pPr>
        <w:widowControl w:val="0"/>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t>Высокотехнологичная медицинская помощь</w:t>
      </w:r>
    </w:p>
    <w:p w14:paraId="263864AF" w14:textId="77777777" w:rsidR="002A207B" w:rsidRPr="002A207B" w:rsidRDefault="002A207B" w:rsidP="002A207B">
      <w:pPr>
        <w:widowControl w:val="0"/>
        <w:jc w:val="center"/>
        <w:rPr>
          <w:rFonts w:ascii="PT Astra Serif" w:hAnsi="PT Astra Serif" w:cs="Times New Roman"/>
          <w:b/>
          <w:color w:val="000000"/>
          <w:szCs w:val="28"/>
        </w:rPr>
      </w:pPr>
    </w:p>
    <w:p w14:paraId="5C7B48EB" w14:textId="2C2FC94E"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Высокотехнологичная медицинская помощь (далее - ВМП) </w:t>
      </w:r>
      <w:r w:rsidRPr="002A207B">
        <w:rPr>
          <w:rFonts w:ascii="PT Astra Serif" w:eastAsia="Calibri" w:hAnsi="PT Astra Serif" w:cs="Times New Roman"/>
          <w:color w:val="000000"/>
          <w:szCs w:val="28"/>
        </w:rPr>
        <w:br/>
        <w:t xml:space="preserve">в федеральных медицинских учреждениях населению Ульяновской области оказывается за счёт средств федерального бюджета с 2007 года, </w:t>
      </w:r>
      <w:r w:rsidR="00A1044B">
        <w:rPr>
          <w:rFonts w:ascii="PT Astra Serif" w:eastAsia="Calibri" w:hAnsi="PT Astra Serif" w:cs="Times New Roman"/>
          <w:color w:val="000000"/>
          <w:szCs w:val="28"/>
        </w:rPr>
        <w:br/>
      </w:r>
      <w:r w:rsidRPr="002A207B">
        <w:rPr>
          <w:rFonts w:ascii="PT Astra Serif" w:eastAsia="Calibri" w:hAnsi="PT Astra Serif" w:cs="Times New Roman"/>
          <w:color w:val="000000"/>
          <w:szCs w:val="28"/>
        </w:rPr>
        <w:t xml:space="preserve">в государственных учреждениях здравоохранения г. Ульяновска за счёт </w:t>
      </w:r>
      <w:proofErr w:type="spellStart"/>
      <w:r w:rsidRPr="002A207B">
        <w:rPr>
          <w:rFonts w:ascii="PT Astra Serif" w:eastAsia="Calibri" w:hAnsi="PT Astra Serif" w:cs="Times New Roman"/>
          <w:color w:val="000000"/>
          <w:szCs w:val="28"/>
        </w:rPr>
        <w:t>софинансирования</w:t>
      </w:r>
      <w:proofErr w:type="spellEnd"/>
      <w:r w:rsidRPr="002A207B">
        <w:rPr>
          <w:rFonts w:ascii="PT Astra Serif" w:eastAsia="Calibri" w:hAnsi="PT Astra Serif" w:cs="Times New Roman"/>
          <w:color w:val="000000"/>
          <w:szCs w:val="28"/>
        </w:rPr>
        <w:t xml:space="preserve"> из средств бюджета Ульяновской области с 2012 года, </w:t>
      </w:r>
      <w:r w:rsidRPr="002A207B">
        <w:rPr>
          <w:rFonts w:ascii="PT Astra Serif" w:eastAsia="Calibri" w:hAnsi="PT Astra Serif" w:cs="Times New Roman"/>
          <w:color w:val="000000"/>
          <w:szCs w:val="28"/>
        </w:rPr>
        <w:br/>
        <w:t xml:space="preserve">а с 2014 года и за счёт средств обязательного медицинского страхования. </w:t>
      </w:r>
    </w:p>
    <w:p w14:paraId="00A933D2"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ВМП пациентам за счет средств бюджета Ульяновской области оказывается в следующих медицинских организациях: в ГУЗ «Ульяновский областной клинический центр специализированных видов медицинской помощи имени заслуженного врача Е.М. </w:t>
      </w:r>
      <w:proofErr w:type="spellStart"/>
      <w:r w:rsidRPr="002A207B">
        <w:rPr>
          <w:rFonts w:ascii="PT Astra Serif" w:eastAsia="Calibri" w:hAnsi="PT Astra Serif" w:cs="Times New Roman"/>
          <w:color w:val="000000"/>
          <w:szCs w:val="28"/>
        </w:rPr>
        <w:t>Чучкалова</w:t>
      </w:r>
      <w:proofErr w:type="spellEnd"/>
      <w:r w:rsidRPr="002A207B">
        <w:rPr>
          <w:rFonts w:ascii="PT Astra Serif" w:eastAsia="Calibri" w:hAnsi="PT Astra Serif" w:cs="Times New Roman"/>
          <w:color w:val="000000"/>
          <w:szCs w:val="28"/>
        </w:rPr>
        <w:t xml:space="preserve">» (далее - ГУЗ УОКЦСВМП), ГУЗ «Ульяновская областная клиническая больница» (далее – УОКБ), в ГУЗ «Центральная городская клиническая больница города Ульяновска» (далее - ГУЗ ЦГКБ г. Ульяновска), в ГУЗ «Ульяновская областная детская клиническая больница имени политического </w:t>
      </w:r>
      <w:r w:rsidRPr="002A207B">
        <w:rPr>
          <w:rFonts w:ascii="PT Astra Serif" w:eastAsia="Calibri" w:hAnsi="PT Astra Serif" w:cs="Times New Roman"/>
          <w:color w:val="000000"/>
          <w:szCs w:val="28"/>
        </w:rPr>
        <w:br/>
        <w:t xml:space="preserve">и общественного деятеля Ю.Ф. Горячева» (далее – ГУЗ УОДКБ). </w:t>
      </w:r>
    </w:p>
    <w:p w14:paraId="7635A799"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Плановый объём оказания ВМП за счет </w:t>
      </w:r>
      <w:proofErr w:type="spellStart"/>
      <w:r w:rsidRPr="002A207B">
        <w:rPr>
          <w:rFonts w:ascii="PT Astra Serif" w:eastAsia="Calibri" w:hAnsi="PT Astra Serif" w:cs="Times New Roman"/>
          <w:color w:val="000000"/>
          <w:szCs w:val="28"/>
        </w:rPr>
        <w:t>софинансирования</w:t>
      </w:r>
      <w:proofErr w:type="spellEnd"/>
      <w:r w:rsidRPr="002A207B">
        <w:rPr>
          <w:rFonts w:ascii="PT Astra Serif" w:eastAsia="Calibri" w:hAnsi="PT Astra Serif" w:cs="Times New Roman"/>
          <w:color w:val="000000"/>
          <w:szCs w:val="28"/>
        </w:rPr>
        <w:t xml:space="preserve"> из средств бюджета Ульяновской области на 2025 год составил 428 человек, на конец года выполнено 428 операций (100%):</w:t>
      </w:r>
    </w:p>
    <w:p w14:paraId="036B8E26"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в ГУЗ УОКЦСВМП им. Е.М. </w:t>
      </w:r>
      <w:proofErr w:type="spellStart"/>
      <w:r w:rsidRPr="002A207B">
        <w:rPr>
          <w:rFonts w:ascii="PT Astra Serif" w:eastAsia="Calibri" w:hAnsi="PT Astra Serif" w:cs="Times New Roman"/>
          <w:color w:val="000000"/>
          <w:szCs w:val="28"/>
        </w:rPr>
        <w:t>Чучкалова</w:t>
      </w:r>
      <w:proofErr w:type="spellEnd"/>
      <w:r w:rsidRPr="002A207B">
        <w:rPr>
          <w:rFonts w:ascii="PT Astra Serif" w:eastAsia="Calibri" w:hAnsi="PT Astra Serif" w:cs="Times New Roman"/>
          <w:color w:val="000000"/>
          <w:szCs w:val="28"/>
        </w:rPr>
        <w:t xml:space="preserve"> по профилю «травматология </w:t>
      </w:r>
    </w:p>
    <w:p w14:paraId="503906AB"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и ортопедия» пролечено 124 пациента; </w:t>
      </w:r>
    </w:p>
    <w:p w14:paraId="36C1B72C"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в ГУЗ УОКБ по профилю «сердечно-сосудистая хирургия» пролечено 208 пациентов, по профилю «офтальмология» - 68 пациентов;</w:t>
      </w:r>
    </w:p>
    <w:p w14:paraId="409CDFC9"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в ГУЗ УОДКБ по профилю «детская хирургия в период новорожденности» пролечено 3 новорожденных;</w:t>
      </w:r>
    </w:p>
    <w:p w14:paraId="5D4202D3"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в ГУЗ ЦГКБ г. Ульяновска по профилю «травматология и ортопедия» пролечено 20 пациентов, по профилю «</w:t>
      </w:r>
      <w:proofErr w:type="spellStart"/>
      <w:r w:rsidRPr="002A207B">
        <w:rPr>
          <w:rFonts w:ascii="PT Astra Serif" w:eastAsia="Calibri" w:hAnsi="PT Astra Serif" w:cs="Times New Roman"/>
          <w:color w:val="000000"/>
          <w:szCs w:val="28"/>
        </w:rPr>
        <w:t>комбустиология</w:t>
      </w:r>
      <w:proofErr w:type="spellEnd"/>
      <w:r w:rsidRPr="002A207B">
        <w:rPr>
          <w:rFonts w:ascii="PT Astra Serif" w:eastAsia="Calibri" w:hAnsi="PT Astra Serif" w:cs="Times New Roman"/>
          <w:color w:val="000000"/>
          <w:szCs w:val="28"/>
        </w:rPr>
        <w:t>» - 5 пациентов.</w:t>
      </w:r>
    </w:p>
    <w:p w14:paraId="48734C91"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Количество случаев (пациентов, получивших ВМП) за счёт средств бюджета Ульяновской области в 2025 году увеличилось по сравнению с 2024 годом, что связано с увеличением финансового обеспечения указанного направления.</w:t>
      </w:r>
    </w:p>
    <w:p w14:paraId="0A4D3072" w14:textId="46D2ED32"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В федеральных медицинских учреждениях ВМП за счёт средств федерального бюджета в 2025 году получили лечение всего 3 037 чел. (в 2024 году – 3 383 чел.), из них – 446 детей. Основные профили оказания ВМП </w:t>
      </w:r>
      <w:r w:rsidRPr="002A207B">
        <w:rPr>
          <w:rFonts w:ascii="PT Astra Serif" w:eastAsia="Calibri" w:hAnsi="PT Astra Serif" w:cs="Times New Roman"/>
          <w:color w:val="000000"/>
          <w:szCs w:val="28"/>
        </w:rPr>
        <w:br/>
        <w:t>в федеральных центрах: «сердечно-сосудистая хирургия» – всего 399, из них взрослых – 314, детей – 85; «травматология и ортопедия» – всего 645, из них взрослых – 631, детей –14; «онкология» - 965, из них взрослых - 875, детей – 90; «педиатрия» -124, «нейрохирургия» -268, из них взрослых –239, детей –29.</w:t>
      </w:r>
    </w:p>
    <w:p w14:paraId="4E4829C1"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lastRenderedPageBreak/>
        <w:t>В 2025 году 26 пациентов были направлены на ВМП по профилю «</w:t>
      </w:r>
      <w:proofErr w:type="spellStart"/>
      <w:r w:rsidRPr="002A207B">
        <w:rPr>
          <w:rFonts w:ascii="PT Astra Serif" w:eastAsia="Calibri" w:hAnsi="PT Astra Serif" w:cs="Times New Roman"/>
          <w:color w:val="000000"/>
          <w:szCs w:val="28"/>
        </w:rPr>
        <w:t>нейрореабилитация</w:t>
      </w:r>
      <w:proofErr w:type="spellEnd"/>
      <w:r w:rsidRPr="002A207B">
        <w:rPr>
          <w:rFonts w:ascii="PT Astra Serif" w:eastAsia="Calibri" w:hAnsi="PT Astra Serif" w:cs="Times New Roman"/>
          <w:color w:val="000000"/>
          <w:szCs w:val="28"/>
        </w:rPr>
        <w:t>», где получили восстановительное лечение после перенесенного острого мозгового нарушения.</w:t>
      </w:r>
    </w:p>
    <w:p w14:paraId="4176AEA0"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За счёт средств обязательного медицинского страхования в 2025 году </w:t>
      </w:r>
      <w:r w:rsidRPr="002A207B">
        <w:rPr>
          <w:rFonts w:ascii="PT Astra Serif" w:eastAsia="Calibri" w:hAnsi="PT Astra Serif" w:cs="Times New Roman"/>
          <w:color w:val="000000"/>
          <w:szCs w:val="28"/>
        </w:rPr>
        <w:br/>
        <w:t xml:space="preserve">в рамках Территориальной программы государственных гарантий бесплатного оказания гражданам медицинской помощи была оказана ВМП на сумму 1 773,22 млн рублей (за 2024 год – 1 739,31 млн рублей, рост на 1,9%). </w:t>
      </w:r>
    </w:p>
    <w:p w14:paraId="0115FDFB"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Средняя стоимость одной госпитализации с применением ВМП за 2025 год составила 247,37 тысяч рублей, увеличилась на 12,5% по сравнению </w:t>
      </w:r>
      <w:r w:rsidRPr="002A207B">
        <w:rPr>
          <w:rFonts w:ascii="PT Astra Serif" w:eastAsia="Calibri" w:hAnsi="PT Astra Serif" w:cs="Times New Roman"/>
          <w:color w:val="000000"/>
          <w:szCs w:val="28"/>
        </w:rPr>
        <w:br/>
        <w:t>с аналогичным периодом 2024 года (219,87 тысяч рублей).</w:t>
      </w:r>
    </w:p>
    <w:p w14:paraId="43BD2F18" w14:textId="4CE66246"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Общее число госпитализаций в медицинских организациях Ульяновской области с применением ВМП за 2025 год составило 6 725 случаев (за 2024 год – 7 464, снижение за сч</w:t>
      </w:r>
      <w:r w:rsidR="00A1044B">
        <w:rPr>
          <w:rFonts w:ascii="PT Astra Serif" w:eastAsia="Calibri" w:hAnsi="PT Astra Serif" w:cs="Times New Roman"/>
          <w:color w:val="000000"/>
          <w:szCs w:val="28"/>
        </w:rPr>
        <w:t>ё</w:t>
      </w:r>
      <w:r w:rsidRPr="002A207B">
        <w:rPr>
          <w:rFonts w:ascii="PT Astra Serif" w:eastAsia="Calibri" w:hAnsi="PT Astra Serif" w:cs="Times New Roman"/>
          <w:color w:val="000000"/>
          <w:szCs w:val="28"/>
        </w:rPr>
        <w:t xml:space="preserve">т перевода части ВМП по сердечно-сосудистой хирургии в специализированную помощь с оплатой по КСГ). </w:t>
      </w:r>
    </w:p>
    <w:p w14:paraId="4BC48C4D"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Наибольший объем медпомощи пришелся на сердечно – сосудистую хирургию (2 511 госпитализаций), онкологию (1 334 госпитализации), травматологию и ортопедию (1 197 госпитализаций). </w:t>
      </w:r>
    </w:p>
    <w:p w14:paraId="4E475072"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В Ульяновской области ВМП за счёт средств обязательного медицинского страхования оказывают в 12 медицинских организациях, в том числе в 10 государственных учреждениях здравоохранения, по 16 профилям: </w:t>
      </w:r>
    </w:p>
    <w:p w14:paraId="20E60387"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hAnsi="PT Astra Serif" w:cs="Times New Roman"/>
          <w:color w:val="000000"/>
          <w:szCs w:val="28"/>
        </w:rPr>
        <w:t>ГУЗ «Городская клиническая больница св. ап Андрея Первозванного»;</w:t>
      </w:r>
    </w:p>
    <w:p w14:paraId="33220AEA"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«Областной клинический кожно-венерологический диспансер»;</w:t>
      </w:r>
    </w:p>
    <w:p w14:paraId="3C0987AD"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«Ульяновский областной клинический госпиталь ветеранов войн»;</w:t>
      </w:r>
    </w:p>
    <w:p w14:paraId="54A6DB6D"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«Ульяновская областная клиническая больница»;</w:t>
      </w:r>
    </w:p>
    <w:p w14:paraId="203CCDCD"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 xml:space="preserve">ГУЗ «Ульяновский областной клинический центр специализированных видов медицинской помощи имени заслуженного врача России </w:t>
      </w:r>
      <w:r w:rsidRPr="002A207B">
        <w:rPr>
          <w:rFonts w:ascii="PT Astra Serif" w:hAnsi="PT Astra Serif" w:cs="Times New Roman"/>
          <w:color w:val="000000"/>
          <w:szCs w:val="28"/>
        </w:rPr>
        <w:br/>
        <w:t xml:space="preserve">Е.М. </w:t>
      </w:r>
      <w:proofErr w:type="spellStart"/>
      <w:r w:rsidRPr="002A207B">
        <w:rPr>
          <w:rFonts w:ascii="PT Astra Serif" w:hAnsi="PT Astra Serif" w:cs="Times New Roman"/>
          <w:color w:val="000000"/>
          <w:szCs w:val="28"/>
        </w:rPr>
        <w:t>Чучкалова</w:t>
      </w:r>
      <w:proofErr w:type="spellEnd"/>
      <w:r w:rsidRPr="002A207B">
        <w:rPr>
          <w:rFonts w:ascii="PT Astra Serif" w:hAnsi="PT Astra Serif" w:cs="Times New Roman"/>
          <w:color w:val="000000"/>
          <w:szCs w:val="28"/>
        </w:rPr>
        <w:t>»;</w:t>
      </w:r>
    </w:p>
    <w:p w14:paraId="57AFE5D9"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«Областной клинический онкологический диспансер»;</w:t>
      </w:r>
    </w:p>
    <w:p w14:paraId="12118E67"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«Ульяновская областная детская клиническая больница имени политического и общественного деятеля Ю.Ф. Горячева»;</w:t>
      </w:r>
    </w:p>
    <w:p w14:paraId="4690AD5B"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«Центральная городская клиническая больница г. Ульяновска»;</w:t>
      </w:r>
    </w:p>
    <w:p w14:paraId="37574EC8"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«Центральная клиническая медико-санитарная часть имени заслуженного врача России В.А. Егорова»;</w:t>
      </w:r>
    </w:p>
    <w:p w14:paraId="2B761684"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ГУЗ «Новоспасская районная больниц имени Н.К. Букина»;</w:t>
      </w:r>
    </w:p>
    <w:p w14:paraId="6C4A80D8"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 xml:space="preserve">ООО «Альянс Клиник </w:t>
      </w:r>
      <w:proofErr w:type="spellStart"/>
      <w:r w:rsidRPr="002A207B">
        <w:rPr>
          <w:rFonts w:ascii="PT Astra Serif" w:hAnsi="PT Astra Serif" w:cs="Times New Roman"/>
          <w:color w:val="000000"/>
          <w:szCs w:val="28"/>
        </w:rPr>
        <w:t>Свияга</w:t>
      </w:r>
      <w:proofErr w:type="spellEnd"/>
      <w:r w:rsidRPr="002A207B">
        <w:rPr>
          <w:rFonts w:ascii="PT Astra Serif" w:hAnsi="PT Astra Serif" w:cs="Times New Roman"/>
          <w:color w:val="000000"/>
          <w:szCs w:val="28"/>
        </w:rPr>
        <w:t>», г. Ульяновск;</w:t>
      </w:r>
    </w:p>
    <w:p w14:paraId="013DD5D5" w14:textId="77777777" w:rsidR="002A207B" w:rsidRPr="002A207B" w:rsidRDefault="002A207B" w:rsidP="002A207B">
      <w:pPr>
        <w:widowControl w:val="0"/>
        <w:tabs>
          <w:tab w:val="left" w:pos="993"/>
        </w:tabs>
        <w:overflowPunct w:val="0"/>
        <w:autoSpaceDE w:val="0"/>
        <w:autoSpaceDN w:val="0"/>
        <w:adjustRightInd w:val="0"/>
        <w:textAlignment w:val="baseline"/>
        <w:rPr>
          <w:rFonts w:ascii="PT Astra Serif" w:hAnsi="PT Astra Serif" w:cs="Times New Roman"/>
          <w:color w:val="000000"/>
          <w:szCs w:val="28"/>
        </w:rPr>
      </w:pPr>
      <w:r w:rsidRPr="002A207B">
        <w:rPr>
          <w:rFonts w:ascii="PT Astra Serif" w:hAnsi="PT Astra Serif" w:cs="Times New Roman"/>
          <w:color w:val="000000"/>
          <w:szCs w:val="28"/>
        </w:rPr>
        <w:t>ООО «Альянс Клиник Плюс», г. Ульяновск.</w:t>
      </w:r>
    </w:p>
    <w:p w14:paraId="3C410D7E"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Наиболее востребованные профили: сердечно-сосудистая хирургия – 37,3% от всех выполненных случаев, онкология – 19,8%, травматология </w:t>
      </w:r>
      <w:r w:rsidRPr="002A207B">
        <w:rPr>
          <w:rFonts w:ascii="PT Astra Serif" w:eastAsia="Calibri" w:hAnsi="PT Astra Serif" w:cs="Times New Roman"/>
          <w:color w:val="000000"/>
          <w:szCs w:val="28"/>
        </w:rPr>
        <w:br/>
        <w:t>и ортопедия – 17,8%.</w:t>
      </w:r>
    </w:p>
    <w:p w14:paraId="26AF6EB2" w14:textId="77777777" w:rsidR="002A207B" w:rsidRPr="002A207B" w:rsidRDefault="002A207B" w:rsidP="002A207B">
      <w:pPr>
        <w:widowControl w:val="0"/>
        <w:overflowPunct w:val="0"/>
        <w:autoSpaceDE w:val="0"/>
        <w:autoSpaceDN w:val="0"/>
        <w:adjustRightInd w:val="0"/>
        <w:textAlignment w:val="baseline"/>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Также, жителям Ульяновской области за счет средств ОМС за пределами региона за 2025 год оказано 407 случаев ВМП, на финансирование направлено 109 657,82 тысяч рублей. Чаще всего это г. Москва и Московская область, г. Санкт-Петербург, Самарская, Пензенская области. Наиболее востребованные профили: травматология и ортопедия и сердечно-сосудистая хирургия.</w:t>
      </w:r>
    </w:p>
    <w:p w14:paraId="7A1C392D" w14:textId="77777777" w:rsidR="00A26900" w:rsidRDefault="00A26900" w:rsidP="002A207B">
      <w:pPr>
        <w:widowControl w:val="0"/>
        <w:shd w:val="clear" w:color="auto" w:fill="FFFFFF"/>
        <w:ind w:firstLine="0"/>
        <w:jc w:val="center"/>
        <w:rPr>
          <w:rFonts w:ascii="PT Astra Serif" w:eastAsia="Calibri" w:hAnsi="PT Astra Serif" w:cs="Times New Roman"/>
          <w:b/>
          <w:color w:val="000000"/>
          <w:szCs w:val="28"/>
        </w:rPr>
      </w:pPr>
    </w:p>
    <w:p w14:paraId="4ACF23FE" w14:textId="411C6A06" w:rsidR="002A207B" w:rsidRPr="002A207B" w:rsidRDefault="002A207B" w:rsidP="002A207B">
      <w:pPr>
        <w:widowControl w:val="0"/>
        <w:shd w:val="clear" w:color="auto" w:fill="FFFFFF"/>
        <w:ind w:firstLine="0"/>
        <w:jc w:val="center"/>
        <w:rPr>
          <w:rFonts w:ascii="PT Astra Serif" w:eastAsia="Calibri" w:hAnsi="PT Astra Serif" w:cs="Times New Roman"/>
          <w:b/>
          <w:color w:val="000000"/>
          <w:szCs w:val="28"/>
        </w:rPr>
      </w:pPr>
      <w:r w:rsidRPr="002A207B">
        <w:rPr>
          <w:rFonts w:ascii="PT Astra Serif" w:eastAsia="Calibri" w:hAnsi="PT Astra Serif" w:cs="Times New Roman"/>
          <w:b/>
          <w:color w:val="000000"/>
          <w:szCs w:val="28"/>
        </w:rPr>
        <w:lastRenderedPageBreak/>
        <w:t>Экстракорпоральное оплодотворение</w:t>
      </w:r>
    </w:p>
    <w:p w14:paraId="07A4B3EC" w14:textId="77777777" w:rsidR="002A207B" w:rsidRPr="002A207B" w:rsidRDefault="002A207B" w:rsidP="002A207B">
      <w:pPr>
        <w:widowControl w:val="0"/>
        <w:shd w:val="clear" w:color="auto" w:fill="FFFFFF"/>
        <w:jc w:val="center"/>
        <w:rPr>
          <w:rFonts w:ascii="PT Astra Serif" w:eastAsia="Calibri" w:hAnsi="PT Astra Serif" w:cs="Times New Roman"/>
          <w:b/>
          <w:color w:val="000000"/>
          <w:szCs w:val="28"/>
        </w:rPr>
      </w:pPr>
    </w:p>
    <w:p w14:paraId="549726BF" w14:textId="77777777" w:rsidR="002A207B" w:rsidRPr="002A207B" w:rsidRDefault="002A207B" w:rsidP="002A207B">
      <w:pPr>
        <w:widowControl w:val="0"/>
        <w:shd w:val="clear" w:color="auto" w:fill="FFFFFF"/>
        <w:rPr>
          <w:rFonts w:cs="Times New Roman"/>
          <w:color w:val="000000"/>
          <w:szCs w:val="28"/>
        </w:rPr>
      </w:pPr>
      <w:r w:rsidRPr="002A207B">
        <w:rPr>
          <w:rFonts w:cs="Times New Roman"/>
          <w:color w:val="000000"/>
          <w:szCs w:val="28"/>
        </w:rPr>
        <w:t xml:space="preserve">На 2025 год было запланировано 749 процедур ЭКО, </w:t>
      </w:r>
      <w:r w:rsidRPr="002A207B">
        <w:rPr>
          <w:rFonts w:ascii="PT Astra Serif" w:eastAsia="Calibri" w:hAnsi="PT Astra Serif" w:cs="Helvetica"/>
          <w:color w:val="000000"/>
          <w:shd w:val="clear" w:color="auto" w:fill="FFFFFF"/>
        </w:rPr>
        <w:t>н</w:t>
      </w:r>
      <w:r w:rsidRPr="002A207B">
        <w:rPr>
          <w:rFonts w:ascii="PT Astra Serif" w:eastAsia="Calibri" w:hAnsi="PT Astra Serif" w:cs="Times New Roman"/>
          <w:color w:val="000000"/>
          <w:szCs w:val="28"/>
        </w:rPr>
        <w:t>а оплату предусмотрено 71,52 млн рублей средств ОМС.</w:t>
      </w:r>
    </w:p>
    <w:p w14:paraId="45B64833" w14:textId="77777777" w:rsidR="002A207B" w:rsidRPr="002A207B" w:rsidRDefault="002A207B" w:rsidP="002A207B">
      <w:pPr>
        <w:widowControl w:val="0"/>
        <w:shd w:val="clear" w:color="auto" w:fill="FFFFFF"/>
        <w:ind w:firstLine="708"/>
        <w:rPr>
          <w:rFonts w:cs="Times New Roman"/>
          <w:color w:val="000000"/>
          <w:szCs w:val="28"/>
        </w:rPr>
      </w:pPr>
      <w:r w:rsidRPr="002A207B">
        <w:rPr>
          <w:rFonts w:cs="Times New Roman"/>
          <w:color w:val="000000"/>
          <w:szCs w:val="28"/>
        </w:rPr>
        <w:t xml:space="preserve">За 2025 года в рамках ТПОМС проведено 604 процедуры (2024 год – 700 случаев ЭКО) или только 80,6% от нормативного значения, </w:t>
      </w:r>
    </w:p>
    <w:p w14:paraId="7CFCAC0F" w14:textId="77777777" w:rsidR="002A207B" w:rsidRPr="002A207B" w:rsidRDefault="002A207B" w:rsidP="002A207B">
      <w:pPr>
        <w:widowControl w:val="0"/>
        <w:shd w:val="clear" w:color="auto" w:fill="FFFFFF"/>
        <w:ind w:firstLine="708"/>
        <w:rPr>
          <w:rFonts w:cs="Times New Roman"/>
          <w:szCs w:val="28"/>
        </w:rPr>
      </w:pPr>
      <w:r w:rsidRPr="002A207B">
        <w:rPr>
          <w:rFonts w:cs="Times New Roman"/>
          <w:color w:val="000000"/>
          <w:szCs w:val="28"/>
        </w:rPr>
        <w:t>На оплату случаев ЭКО было направлено более 65,20 млн рублей.</w:t>
      </w:r>
    </w:p>
    <w:p w14:paraId="0461ABFF" w14:textId="77777777" w:rsidR="002A207B" w:rsidRPr="002A207B" w:rsidRDefault="002A207B" w:rsidP="002A207B">
      <w:pPr>
        <w:widowControl w:val="0"/>
        <w:jc w:val="center"/>
        <w:rPr>
          <w:rFonts w:ascii="PT Astra Serif" w:hAnsi="PT Astra Serif" w:cs="Times New Roman"/>
          <w:b/>
          <w:color w:val="000000"/>
          <w:szCs w:val="28"/>
        </w:rPr>
      </w:pPr>
    </w:p>
    <w:p w14:paraId="32100285" w14:textId="77777777" w:rsidR="002A207B" w:rsidRPr="002A207B" w:rsidRDefault="002A207B" w:rsidP="002A207B">
      <w:pPr>
        <w:widowControl w:val="0"/>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t>Дневной стационар</w:t>
      </w:r>
    </w:p>
    <w:p w14:paraId="2B3D7A97" w14:textId="77777777" w:rsidR="002A207B" w:rsidRPr="002A207B" w:rsidRDefault="002A207B" w:rsidP="002A207B">
      <w:pPr>
        <w:widowControl w:val="0"/>
        <w:jc w:val="center"/>
        <w:rPr>
          <w:rFonts w:ascii="PT Astra Serif" w:hAnsi="PT Astra Serif" w:cs="Times New Roman"/>
          <w:b/>
          <w:color w:val="000000"/>
          <w:szCs w:val="28"/>
        </w:rPr>
      </w:pPr>
    </w:p>
    <w:p w14:paraId="7094B743" w14:textId="77777777" w:rsidR="002A207B" w:rsidRPr="002A207B" w:rsidRDefault="002A207B" w:rsidP="002A207B">
      <w:pPr>
        <w:widowControl w:val="0"/>
        <w:autoSpaceDE w:val="0"/>
        <w:autoSpaceDN w:val="0"/>
        <w:adjustRightInd w:val="0"/>
        <w:ind w:firstLine="708"/>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За 2025 год в целом по территориальной программе ОМС оплачен 82 051 случай лечения. План с учетом оплаты сверхнормативных объёмов выполнен на 100,7 % от норматива (норматив – 81 438).</w:t>
      </w:r>
    </w:p>
    <w:p w14:paraId="14477F53" w14:textId="77777777" w:rsidR="002A207B" w:rsidRPr="002A207B" w:rsidRDefault="002A207B" w:rsidP="002A207B">
      <w:pPr>
        <w:widowControl w:val="0"/>
        <w:jc w:val="center"/>
        <w:rPr>
          <w:rFonts w:ascii="PT Astra Serif" w:hAnsi="PT Astra Serif" w:cs="Times New Roman"/>
          <w:b/>
          <w:color w:val="000000"/>
          <w:szCs w:val="28"/>
        </w:rPr>
      </w:pPr>
    </w:p>
    <w:p w14:paraId="15EC61E8" w14:textId="77777777" w:rsidR="002A207B" w:rsidRPr="002A207B" w:rsidRDefault="002A207B" w:rsidP="002A207B">
      <w:pPr>
        <w:widowControl w:val="0"/>
        <w:ind w:firstLine="0"/>
        <w:jc w:val="center"/>
        <w:rPr>
          <w:rFonts w:ascii="PT Astra Serif" w:hAnsi="PT Astra Serif" w:cs="Times New Roman"/>
          <w:b/>
          <w:color w:val="000000"/>
          <w:szCs w:val="28"/>
        </w:rPr>
      </w:pPr>
      <w:r w:rsidRPr="002A207B">
        <w:rPr>
          <w:rFonts w:ascii="PT Astra Serif" w:hAnsi="PT Astra Serif" w:cs="Times New Roman"/>
          <w:b/>
          <w:color w:val="000000"/>
          <w:szCs w:val="28"/>
        </w:rPr>
        <w:t>Круглосуточный стационар</w:t>
      </w:r>
    </w:p>
    <w:p w14:paraId="2874B116" w14:textId="77777777" w:rsidR="002A207B" w:rsidRPr="002A207B" w:rsidRDefault="002A207B" w:rsidP="002A207B">
      <w:pPr>
        <w:widowControl w:val="0"/>
        <w:jc w:val="center"/>
        <w:rPr>
          <w:rFonts w:ascii="PT Astra Serif" w:hAnsi="PT Astra Serif" w:cs="Times New Roman"/>
          <w:b/>
          <w:color w:val="000000"/>
          <w:szCs w:val="28"/>
        </w:rPr>
      </w:pPr>
    </w:p>
    <w:p w14:paraId="1FBA6E7D" w14:textId="77777777" w:rsidR="002A207B" w:rsidRPr="002A207B" w:rsidRDefault="002A207B" w:rsidP="002A207B">
      <w:pPr>
        <w:widowControl w:val="0"/>
        <w:autoSpaceDE w:val="0"/>
        <w:autoSpaceDN w:val="0"/>
        <w:adjustRightInd w:val="0"/>
        <w:rPr>
          <w:rFonts w:ascii="PT Astra Serif" w:eastAsia="Calibri" w:hAnsi="PT Astra Serif" w:cs="Times New Roman"/>
          <w:color w:val="000000"/>
          <w:szCs w:val="28"/>
        </w:rPr>
      </w:pPr>
      <w:r w:rsidRPr="002A207B">
        <w:rPr>
          <w:rFonts w:ascii="PT Astra Serif" w:eastAsia="Calibri" w:hAnsi="PT Astra Serif" w:cs="Times New Roman"/>
          <w:color w:val="000000"/>
          <w:szCs w:val="28"/>
        </w:rPr>
        <w:t xml:space="preserve">За 2025 год в целом по территориальной программе ОМС оплачено 207 616 случаев госпитализации. План выполнен на 98% от норматива (норматив – 211 747). </w:t>
      </w:r>
    </w:p>
    <w:p w14:paraId="4E2D6E8D" w14:textId="77777777" w:rsidR="002A207B" w:rsidRPr="002A207B" w:rsidRDefault="002A207B" w:rsidP="002A207B">
      <w:pPr>
        <w:widowControl w:val="0"/>
        <w:overflowPunct w:val="0"/>
        <w:autoSpaceDE w:val="0"/>
        <w:autoSpaceDN w:val="0"/>
        <w:adjustRightInd w:val="0"/>
        <w:textAlignment w:val="baseline"/>
        <w:rPr>
          <w:rFonts w:ascii="PT Astra Serif" w:hAnsi="PT Astra Serif" w:cs="Times New Roman"/>
          <w:szCs w:val="28"/>
        </w:rPr>
      </w:pPr>
      <w:r w:rsidRPr="002A207B">
        <w:rPr>
          <w:rFonts w:ascii="PT Astra Serif" w:hAnsi="PT Astra Serif" w:cs="Times New Roman"/>
          <w:szCs w:val="28"/>
        </w:rPr>
        <w:t xml:space="preserve">В течение всего 2025 года ежемесячно проводились заседания Комиссии по разработке территориальной программы ОМС Ульяновской области, проведено 16 заседаний, на которых рассматривались письма </w:t>
      </w:r>
      <w:r w:rsidRPr="002A207B">
        <w:rPr>
          <w:rFonts w:ascii="PT Astra Serif" w:hAnsi="PT Astra Serif" w:cs="Times New Roman"/>
          <w:szCs w:val="28"/>
        </w:rPr>
        <w:br/>
        <w:t>и обращения (ежемесячно рассматривалось от 30 до 60 обращений) медицинских организаций о перераспределении объёмов внутри медицинской организации по объективным причинам – изменение маршрутизации, фактическая заболеваемость и обращаемость пациентов, нетрудоспособность врачей специалистов.</w:t>
      </w:r>
    </w:p>
    <w:p w14:paraId="3FF6F974" w14:textId="77777777" w:rsidR="002A207B" w:rsidRPr="002A207B" w:rsidRDefault="002A207B" w:rsidP="002A207B">
      <w:pPr>
        <w:widowControl w:val="0"/>
        <w:overflowPunct w:val="0"/>
        <w:autoSpaceDE w:val="0"/>
        <w:autoSpaceDN w:val="0"/>
        <w:adjustRightInd w:val="0"/>
        <w:textAlignment w:val="baseline"/>
        <w:rPr>
          <w:rFonts w:ascii="PT Astra Serif" w:hAnsi="PT Astra Serif" w:cs="Times New Roman"/>
          <w:szCs w:val="28"/>
        </w:rPr>
      </w:pPr>
      <w:r w:rsidRPr="002A207B">
        <w:rPr>
          <w:rFonts w:ascii="PT Astra Serif" w:eastAsia="Calibri" w:hAnsi="PT Astra Serif" w:cs="Times New Roman"/>
          <w:szCs w:val="28"/>
        </w:rPr>
        <w:t>Также, по результатам проведенного Министерством здравоохранения Ульяновской области совместно с ТФОМС анализа выполнения объёмов по видам медицинской помощи проводилось перераспределение объёмов между медицинскими организациями.</w:t>
      </w:r>
    </w:p>
    <w:p w14:paraId="00CCB601" w14:textId="77777777" w:rsidR="002A207B" w:rsidRPr="002A207B" w:rsidRDefault="002A207B" w:rsidP="002A207B">
      <w:pPr>
        <w:widowControl w:val="0"/>
        <w:autoSpaceDE w:val="0"/>
        <w:autoSpaceDN w:val="0"/>
        <w:adjustRightInd w:val="0"/>
        <w:rPr>
          <w:rFonts w:ascii="PT Astra Serif" w:hAnsi="PT Astra Serif" w:cs="PT Astra Serif"/>
          <w:szCs w:val="28"/>
        </w:rPr>
      </w:pPr>
      <w:r w:rsidRPr="002A207B">
        <w:rPr>
          <w:rFonts w:ascii="PT Astra Serif" w:hAnsi="PT Astra Serif" w:cs="Times New Roman"/>
          <w:b/>
          <w:szCs w:val="28"/>
        </w:rPr>
        <w:t>Финансовое обеспечение</w:t>
      </w:r>
      <w:r w:rsidRPr="002A207B">
        <w:rPr>
          <w:rFonts w:ascii="PT Astra Serif" w:hAnsi="PT Astra Serif" w:cs="Times New Roman"/>
          <w:szCs w:val="28"/>
        </w:rPr>
        <w:t xml:space="preserve"> медицинских организаций Ульяновской области осуществлялось в соответствии </w:t>
      </w:r>
      <w:r w:rsidRPr="00A1044B">
        <w:rPr>
          <w:rFonts w:ascii="PT Astra Serif" w:hAnsi="PT Astra Serif" w:cs="Times New Roman"/>
          <w:szCs w:val="28"/>
        </w:rPr>
        <w:t xml:space="preserve">с </w:t>
      </w:r>
      <w:r w:rsidRPr="00A1044B">
        <w:rPr>
          <w:rFonts w:ascii="PT Astra Serif" w:hAnsi="PT Astra Serif" w:cs="PT Astra Serif"/>
          <w:szCs w:val="28"/>
        </w:rPr>
        <w:t xml:space="preserve">Территориальной </w:t>
      </w:r>
      <w:hyperlink r:id="rId11" w:history="1">
        <w:r w:rsidRPr="00A1044B">
          <w:rPr>
            <w:rFonts w:ascii="PT Astra Serif" w:hAnsi="PT Astra Serif" w:cs="PT Astra Serif"/>
            <w:szCs w:val="28"/>
          </w:rPr>
          <w:t>программ</w:t>
        </w:r>
      </w:hyperlink>
      <w:r w:rsidRPr="00A1044B">
        <w:rPr>
          <w:rFonts w:ascii="PT Astra Serif" w:hAnsi="PT Astra Serif" w:cs="PT Astra Serif"/>
          <w:szCs w:val="28"/>
        </w:rPr>
        <w:t xml:space="preserve">ой </w:t>
      </w:r>
      <w:r w:rsidRPr="002A207B">
        <w:rPr>
          <w:rFonts w:ascii="PT Astra Serif" w:hAnsi="PT Astra Serif" w:cs="PT Astra Serif"/>
          <w:szCs w:val="28"/>
        </w:rPr>
        <w:t>государственных гарантий бесплатного оказания гражданам медицинской помощи на территории Ульяновской области на 2025 год и на плановый период 2026 и 2027 годов, утвержденной Постановлением Правительства Ульяновской области от 31.01.2025 года № 51-П.</w:t>
      </w:r>
    </w:p>
    <w:p w14:paraId="486EF63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План финансирования медицинских организаций, входящих в систему ОМС на 2025 год, рассчитанный в соответствии с Тарифным соглашением </w:t>
      </w:r>
      <w:r w:rsidRPr="002A207B">
        <w:rPr>
          <w:rFonts w:ascii="PT Astra Serif" w:hAnsi="PT Astra Serif" w:cs="Times New Roman"/>
          <w:szCs w:val="28"/>
        </w:rPr>
        <w:br/>
        <w:t xml:space="preserve">в системе ОМС Ульяновской области на 2025 год, составил 23 336,7 млн рублей, что на 3 461,2 млн рублей, или на 17,4%, больше чем план за аналогичный период 2024 года (19 875,5 млн рублей). </w:t>
      </w:r>
    </w:p>
    <w:p w14:paraId="63E7879F"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Финансовое обеспечение медицинских организаций, входящих </w:t>
      </w:r>
      <w:r w:rsidRPr="002A207B">
        <w:rPr>
          <w:rFonts w:ascii="PT Astra Serif" w:hAnsi="PT Astra Serif" w:cs="Times New Roman"/>
          <w:szCs w:val="28"/>
        </w:rPr>
        <w:br/>
        <w:t xml:space="preserve">в систему ОМС Ульяновской области, средствами ОМС (без учёта межтерриториальных расчётов) за 2025 год составило 22 942,8 млн рублей, что </w:t>
      </w:r>
      <w:r w:rsidRPr="002A207B">
        <w:rPr>
          <w:rFonts w:ascii="PT Astra Serif" w:hAnsi="PT Astra Serif" w:cs="Times New Roman"/>
          <w:szCs w:val="28"/>
        </w:rPr>
        <w:lastRenderedPageBreak/>
        <w:t xml:space="preserve">на 3 237,8 млн рублей, </w:t>
      </w:r>
      <w:r w:rsidRPr="002A207B">
        <w:rPr>
          <w:rFonts w:ascii="PT Astra Serif" w:hAnsi="PT Astra Serif" w:cs="Times New Roman"/>
          <w:color w:val="000000"/>
          <w:szCs w:val="28"/>
        </w:rPr>
        <w:t>или 16,4% выше</w:t>
      </w:r>
      <w:r w:rsidRPr="002A207B">
        <w:rPr>
          <w:rFonts w:ascii="PT Astra Serif" w:hAnsi="PT Astra Serif" w:cs="Times New Roman"/>
          <w:color w:val="000000"/>
          <w:szCs w:val="28"/>
          <w:shd w:val="clear" w:color="auto" w:fill="FFFFFF"/>
        </w:rPr>
        <w:t xml:space="preserve"> финансового обеспечения, чем за</w:t>
      </w:r>
      <w:r w:rsidRPr="002A207B">
        <w:rPr>
          <w:rFonts w:ascii="PT Astra Serif" w:hAnsi="PT Astra Serif" w:cs="Times New Roman"/>
          <w:szCs w:val="28"/>
        </w:rPr>
        <w:t xml:space="preserve"> аналогичный период 2024 года. При этом показатель выполнения плана </w:t>
      </w:r>
      <w:r w:rsidRPr="002A207B">
        <w:rPr>
          <w:rFonts w:ascii="PT Astra Serif" w:hAnsi="PT Astra Serif" w:cs="Times New Roman"/>
          <w:szCs w:val="28"/>
        </w:rPr>
        <w:br/>
        <w:t>в процентном соотношении составил 98,3, что ниже показателя 2024 года на 0,8 процентных пункта (показатели представлены в таблице).</w:t>
      </w:r>
    </w:p>
    <w:p w14:paraId="444AD18D" w14:textId="77777777" w:rsidR="002A207B" w:rsidRPr="00A52819" w:rsidRDefault="002A207B" w:rsidP="002A207B">
      <w:pPr>
        <w:widowControl w:val="0"/>
        <w:rPr>
          <w:rFonts w:ascii="PT Astra Serif" w:hAnsi="PT Astra Serif" w:cs="Times New Roman"/>
          <w:sz w:val="20"/>
          <w:szCs w:val="20"/>
        </w:rPr>
      </w:pPr>
    </w:p>
    <w:p w14:paraId="0555F28E" w14:textId="5ABBE115" w:rsidR="002A207B" w:rsidRDefault="002A207B" w:rsidP="00A1044B">
      <w:pPr>
        <w:widowControl w:val="0"/>
        <w:ind w:firstLine="0"/>
        <w:jc w:val="center"/>
        <w:rPr>
          <w:rFonts w:ascii="PT Astra Serif" w:hAnsi="PT Astra Serif" w:cs="Times New Roman"/>
          <w:b/>
          <w:sz w:val="20"/>
          <w:szCs w:val="20"/>
        </w:rPr>
      </w:pPr>
      <w:r w:rsidRPr="002A207B">
        <w:rPr>
          <w:rFonts w:ascii="PT Astra Serif" w:hAnsi="PT Astra Serif" w:cs="Times New Roman"/>
          <w:b/>
          <w:sz w:val="20"/>
          <w:szCs w:val="20"/>
        </w:rPr>
        <w:t xml:space="preserve">Финансовое обеспечение учреждений здравоохранения за 2025 год </w:t>
      </w:r>
      <w:r w:rsidR="00A1044B">
        <w:rPr>
          <w:rFonts w:ascii="PT Astra Serif" w:hAnsi="PT Astra Serif" w:cs="Times New Roman"/>
          <w:b/>
          <w:sz w:val="20"/>
          <w:szCs w:val="20"/>
        </w:rPr>
        <w:br/>
      </w:r>
      <w:r w:rsidRPr="00266CAE">
        <w:rPr>
          <w:rFonts w:ascii="PT Astra Serif" w:hAnsi="PT Astra Serif" w:cs="Times New Roman"/>
          <w:b/>
          <w:sz w:val="20"/>
          <w:szCs w:val="20"/>
        </w:rPr>
        <w:t>(без учета межтерриториальных взаиморасчетов)</w:t>
      </w:r>
    </w:p>
    <w:p w14:paraId="74B6D557" w14:textId="63AC76B1" w:rsidR="009B14F6" w:rsidRDefault="009B14F6" w:rsidP="00A1044B">
      <w:pPr>
        <w:widowControl w:val="0"/>
        <w:ind w:firstLine="0"/>
        <w:jc w:val="center"/>
        <w:rPr>
          <w:rFonts w:ascii="PT Astra Serif" w:hAnsi="PT Astra Serif" w:cs="Times New Roman"/>
          <w:b/>
          <w:sz w:val="20"/>
          <w:szCs w:val="20"/>
        </w:rPr>
      </w:pP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2"/>
        <w:gridCol w:w="1239"/>
        <w:gridCol w:w="1275"/>
        <w:gridCol w:w="1398"/>
        <w:gridCol w:w="1508"/>
        <w:gridCol w:w="992"/>
        <w:gridCol w:w="991"/>
      </w:tblGrid>
      <w:tr w:rsidR="00266CAE" w:rsidRPr="00266CAE" w14:paraId="3E1B0710" w14:textId="77777777" w:rsidTr="00A26900">
        <w:trPr>
          <w:jc w:val="center"/>
        </w:trPr>
        <w:tc>
          <w:tcPr>
            <w:tcW w:w="2002" w:type="dxa"/>
            <w:vMerge w:val="restart"/>
            <w:tcBorders>
              <w:top w:val="single" w:sz="4" w:space="0" w:color="auto"/>
              <w:left w:val="single" w:sz="4" w:space="0" w:color="auto"/>
              <w:bottom w:val="single" w:sz="4" w:space="0" w:color="auto"/>
              <w:right w:val="single" w:sz="4" w:space="0" w:color="auto"/>
            </w:tcBorders>
            <w:vAlign w:val="center"/>
            <w:hideMark/>
          </w:tcPr>
          <w:p w14:paraId="11A5EA64"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Наименование</w:t>
            </w:r>
          </w:p>
        </w:tc>
        <w:tc>
          <w:tcPr>
            <w:tcW w:w="2514" w:type="dxa"/>
            <w:gridSpan w:val="2"/>
            <w:tcBorders>
              <w:top w:val="single" w:sz="4" w:space="0" w:color="auto"/>
              <w:left w:val="single" w:sz="4" w:space="0" w:color="auto"/>
              <w:bottom w:val="single" w:sz="4" w:space="0" w:color="auto"/>
              <w:right w:val="single" w:sz="4" w:space="0" w:color="auto"/>
            </w:tcBorders>
            <w:hideMark/>
          </w:tcPr>
          <w:p w14:paraId="251DB2A1"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План финансирования</w:t>
            </w:r>
          </w:p>
          <w:p w14:paraId="7F5A9C15"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МО</w:t>
            </w:r>
          </w:p>
        </w:tc>
        <w:tc>
          <w:tcPr>
            <w:tcW w:w="1398" w:type="dxa"/>
            <w:vMerge w:val="restart"/>
            <w:tcBorders>
              <w:top w:val="single" w:sz="4" w:space="0" w:color="auto"/>
              <w:left w:val="single" w:sz="4" w:space="0" w:color="auto"/>
              <w:bottom w:val="single" w:sz="4" w:space="0" w:color="auto"/>
              <w:right w:val="single" w:sz="4" w:space="0" w:color="auto"/>
            </w:tcBorders>
            <w:hideMark/>
          </w:tcPr>
          <w:p w14:paraId="5222CA6A" w14:textId="5A38EA9A"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Сумма финансового обеспечения</w:t>
            </w:r>
            <w:r w:rsidRPr="00266CAE">
              <w:rPr>
                <w:rFonts w:ascii="PT Astra Serif" w:hAnsi="PT Astra Serif" w:cs="Times New Roman"/>
                <w:b/>
                <w:sz w:val="20"/>
                <w:szCs w:val="20"/>
              </w:rPr>
              <w:br/>
              <w:t xml:space="preserve">за 2024 г., </w:t>
            </w:r>
            <w:r w:rsidRPr="00266CAE">
              <w:rPr>
                <w:rFonts w:ascii="PT Astra Serif" w:hAnsi="PT Astra Serif" w:cs="Times New Roman"/>
                <w:b/>
                <w:sz w:val="20"/>
                <w:szCs w:val="20"/>
              </w:rPr>
              <w:br/>
              <w:t>млн руб</w:t>
            </w:r>
            <w:r w:rsidR="00A26900">
              <w:rPr>
                <w:rFonts w:ascii="PT Astra Serif" w:hAnsi="PT Astra Serif" w:cs="Times New Roman"/>
                <w:b/>
                <w:sz w:val="20"/>
                <w:szCs w:val="20"/>
              </w:rPr>
              <w:t>.</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1BBC16DB" w14:textId="63CF34BB"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 xml:space="preserve">Сумма финансового обеспечения </w:t>
            </w:r>
            <w:r w:rsidRPr="00266CAE">
              <w:rPr>
                <w:rFonts w:ascii="PT Astra Serif" w:hAnsi="PT Astra Serif" w:cs="Times New Roman"/>
                <w:b/>
                <w:sz w:val="20"/>
                <w:szCs w:val="20"/>
              </w:rPr>
              <w:br/>
              <w:t xml:space="preserve">за 2025 г., </w:t>
            </w:r>
            <w:r w:rsidR="00A26900">
              <w:rPr>
                <w:rFonts w:ascii="PT Astra Serif" w:hAnsi="PT Astra Serif" w:cs="Times New Roman"/>
                <w:b/>
                <w:sz w:val="20"/>
                <w:szCs w:val="20"/>
              </w:rPr>
              <w:br/>
            </w:r>
            <w:r w:rsidRPr="00266CAE">
              <w:rPr>
                <w:rFonts w:ascii="PT Astra Serif" w:hAnsi="PT Astra Serif" w:cs="Times New Roman"/>
                <w:b/>
                <w:sz w:val="20"/>
                <w:szCs w:val="20"/>
              </w:rPr>
              <w:t xml:space="preserve">млн </w:t>
            </w:r>
            <w:proofErr w:type="spellStart"/>
            <w:r w:rsidRPr="00266CAE">
              <w:rPr>
                <w:rFonts w:ascii="PT Astra Serif" w:hAnsi="PT Astra Serif" w:cs="Times New Roman"/>
                <w:b/>
                <w:sz w:val="20"/>
                <w:szCs w:val="20"/>
              </w:rPr>
              <w:t>рубл</w:t>
            </w:r>
            <w:proofErr w:type="spellEnd"/>
            <w:r w:rsidR="00A26900">
              <w:rPr>
                <w:rFonts w:ascii="PT Astra Serif" w:hAnsi="PT Astra Serif" w:cs="Times New Roman"/>
                <w:b/>
                <w:sz w:val="20"/>
                <w:szCs w:val="20"/>
              </w:rPr>
              <w:t>.</w:t>
            </w:r>
          </w:p>
        </w:tc>
        <w:tc>
          <w:tcPr>
            <w:tcW w:w="1983" w:type="dxa"/>
            <w:gridSpan w:val="2"/>
            <w:tcBorders>
              <w:top w:val="single" w:sz="4" w:space="0" w:color="auto"/>
              <w:left w:val="single" w:sz="4" w:space="0" w:color="auto"/>
              <w:bottom w:val="single" w:sz="4" w:space="0" w:color="auto"/>
              <w:right w:val="single" w:sz="4" w:space="0" w:color="auto"/>
            </w:tcBorders>
            <w:hideMark/>
          </w:tcPr>
          <w:p w14:paraId="19C59AF0"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w:t>
            </w:r>
          </w:p>
          <w:p w14:paraId="4CD5B8B0"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выполнения плана</w:t>
            </w:r>
          </w:p>
        </w:tc>
      </w:tr>
      <w:tr w:rsidR="00266CAE" w:rsidRPr="00266CAE" w14:paraId="7116C2A7" w14:textId="77777777" w:rsidTr="00A26900">
        <w:trPr>
          <w:jc w:val="center"/>
        </w:trPr>
        <w:tc>
          <w:tcPr>
            <w:tcW w:w="2002" w:type="dxa"/>
            <w:vMerge/>
            <w:tcBorders>
              <w:top w:val="single" w:sz="4" w:space="0" w:color="auto"/>
              <w:left w:val="single" w:sz="4" w:space="0" w:color="auto"/>
              <w:bottom w:val="single" w:sz="4" w:space="0" w:color="auto"/>
              <w:right w:val="single" w:sz="4" w:space="0" w:color="auto"/>
            </w:tcBorders>
            <w:hideMark/>
          </w:tcPr>
          <w:p w14:paraId="2DEAC376" w14:textId="77777777" w:rsidR="00266CAE" w:rsidRPr="00266CAE" w:rsidRDefault="00266CAE" w:rsidP="00A26900">
            <w:pPr>
              <w:widowControl w:val="0"/>
              <w:ind w:firstLine="0"/>
              <w:jc w:val="center"/>
              <w:rPr>
                <w:rFonts w:ascii="PT Astra Serif" w:hAnsi="PT Astra Serif" w:cs="Times New Roman"/>
                <w:b/>
                <w:sz w:val="20"/>
                <w:szCs w:val="20"/>
              </w:rPr>
            </w:pPr>
          </w:p>
        </w:tc>
        <w:tc>
          <w:tcPr>
            <w:tcW w:w="1239" w:type="dxa"/>
            <w:tcBorders>
              <w:top w:val="single" w:sz="4" w:space="0" w:color="auto"/>
              <w:left w:val="single" w:sz="4" w:space="0" w:color="auto"/>
              <w:bottom w:val="single" w:sz="4" w:space="0" w:color="auto"/>
              <w:right w:val="single" w:sz="4" w:space="0" w:color="auto"/>
            </w:tcBorders>
            <w:vAlign w:val="center"/>
            <w:hideMark/>
          </w:tcPr>
          <w:p w14:paraId="225946C2"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на 2024 г.,</w:t>
            </w:r>
          </w:p>
          <w:p w14:paraId="55FC3F7E" w14:textId="734ABD74"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млн руб</w:t>
            </w:r>
            <w:r w:rsidR="00A26900">
              <w:rPr>
                <w:rFonts w:ascii="PT Astra Serif" w:hAnsi="PT Astra Serif" w:cs="Times New Roman"/>
                <w:b/>
                <w:sz w:val="20"/>
                <w:szCs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1C9565"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на 2025 г.,</w:t>
            </w:r>
          </w:p>
          <w:p w14:paraId="689C2E9D" w14:textId="2DFD80EF"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млн руб</w:t>
            </w:r>
            <w:r w:rsidR="00A26900">
              <w:rPr>
                <w:rFonts w:ascii="PT Astra Serif" w:hAnsi="PT Astra Serif" w:cs="Times New Roman"/>
                <w:b/>
                <w:sz w:val="20"/>
                <w:szCs w:val="20"/>
              </w:rPr>
              <w:t>.</w:t>
            </w: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4AB51E97" w14:textId="77777777" w:rsidR="00266CAE" w:rsidRPr="00266CAE" w:rsidRDefault="00266CAE" w:rsidP="00A26900">
            <w:pPr>
              <w:widowControl w:val="0"/>
              <w:ind w:firstLine="0"/>
              <w:jc w:val="center"/>
              <w:rPr>
                <w:rFonts w:ascii="PT Astra Serif" w:hAnsi="PT Astra Serif" w:cs="Times New Roman"/>
                <w:b/>
                <w:sz w:val="20"/>
                <w:szCs w:val="20"/>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16373BA" w14:textId="77777777" w:rsidR="00266CAE" w:rsidRPr="00266CAE" w:rsidRDefault="00266CAE" w:rsidP="00A26900">
            <w:pPr>
              <w:widowControl w:val="0"/>
              <w:ind w:firstLine="0"/>
              <w:jc w:val="center"/>
              <w:rPr>
                <w:rFonts w:ascii="PT Astra Serif" w:hAnsi="PT Astra Serif"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F5B7D7C"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2024 г.</w:t>
            </w:r>
          </w:p>
        </w:tc>
        <w:tc>
          <w:tcPr>
            <w:tcW w:w="991" w:type="dxa"/>
            <w:tcBorders>
              <w:top w:val="single" w:sz="4" w:space="0" w:color="auto"/>
              <w:left w:val="single" w:sz="4" w:space="0" w:color="auto"/>
              <w:bottom w:val="single" w:sz="4" w:space="0" w:color="auto"/>
              <w:right w:val="single" w:sz="4" w:space="0" w:color="auto"/>
            </w:tcBorders>
            <w:vAlign w:val="center"/>
            <w:hideMark/>
          </w:tcPr>
          <w:p w14:paraId="73E9F2DB" w14:textId="77777777" w:rsidR="00266CAE" w:rsidRPr="00266CAE" w:rsidRDefault="00266CAE" w:rsidP="00A26900">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2025 г.</w:t>
            </w:r>
          </w:p>
        </w:tc>
      </w:tr>
      <w:tr w:rsidR="00266CAE" w:rsidRPr="00266CAE" w14:paraId="3459F326" w14:textId="77777777" w:rsidTr="00A26900">
        <w:trPr>
          <w:jc w:val="center"/>
        </w:trPr>
        <w:tc>
          <w:tcPr>
            <w:tcW w:w="2002" w:type="dxa"/>
            <w:tcBorders>
              <w:top w:val="single" w:sz="4" w:space="0" w:color="auto"/>
              <w:left w:val="single" w:sz="4" w:space="0" w:color="auto"/>
              <w:bottom w:val="single" w:sz="4" w:space="0" w:color="auto"/>
              <w:right w:val="single" w:sz="4" w:space="0" w:color="auto"/>
            </w:tcBorders>
            <w:hideMark/>
          </w:tcPr>
          <w:p w14:paraId="11366DB1" w14:textId="77777777" w:rsidR="00266CAE" w:rsidRPr="00266CAE" w:rsidRDefault="00266CAE" w:rsidP="00A26900">
            <w:pPr>
              <w:widowControl w:val="0"/>
              <w:ind w:firstLine="0"/>
              <w:rPr>
                <w:rFonts w:ascii="PT Astra Serif" w:hAnsi="PT Astra Serif" w:cs="Times New Roman"/>
                <w:sz w:val="20"/>
                <w:szCs w:val="20"/>
              </w:rPr>
            </w:pPr>
            <w:r w:rsidRPr="00266CAE">
              <w:rPr>
                <w:rFonts w:ascii="PT Astra Serif" w:hAnsi="PT Astra Serif" w:cs="Times New Roman"/>
                <w:sz w:val="20"/>
                <w:szCs w:val="20"/>
              </w:rPr>
              <w:t>Государственные МО</w:t>
            </w:r>
          </w:p>
        </w:tc>
        <w:tc>
          <w:tcPr>
            <w:tcW w:w="1239" w:type="dxa"/>
            <w:tcBorders>
              <w:top w:val="single" w:sz="4" w:space="0" w:color="auto"/>
              <w:left w:val="single" w:sz="4" w:space="0" w:color="auto"/>
              <w:bottom w:val="single" w:sz="4" w:space="0" w:color="auto"/>
              <w:right w:val="single" w:sz="4" w:space="0" w:color="auto"/>
            </w:tcBorders>
            <w:vAlign w:val="center"/>
          </w:tcPr>
          <w:p w14:paraId="701ADDDD"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17407,1</w:t>
            </w:r>
          </w:p>
        </w:tc>
        <w:tc>
          <w:tcPr>
            <w:tcW w:w="1275" w:type="dxa"/>
            <w:tcBorders>
              <w:top w:val="single" w:sz="4" w:space="0" w:color="auto"/>
              <w:left w:val="single" w:sz="4" w:space="0" w:color="auto"/>
              <w:bottom w:val="single" w:sz="4" w:space="0" w:color="auto"/>
              <w:right w:val="single" w:sz="4" w:space="0" w:color="auto"/>
            </w:tcBorders>
            <w:vAlign w:val="center"/>
          </w:tcPr>
          <w:p w14:paraId="51BE5AD3"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20486,9</w:t>
            </w:r>
          </w:p>
        </w:tc>
        <w:tc>
          <w:tcPr>
            <w:tcW w:w="1398" w:type="dxa"/>
            <w:tcBorders>
              <w:top w:val="single" w:sz="4" w:space="0" w:color="auto"/>
              <w:left w:val="single" w:sz="4" w:space="0" w:color="auto"/>
              <w:bottom w:val="single" w:sz="4" w:space="0" w:color="auto"/>
              <w:right w:val="single" w:sz="4" w:space="0" w:color="auto"/>
            </w:tcBorders>
            <w:vAlign w:val="center"/>
          </w:tcPr>
          <w:p w14:paraId="0EAF2E17"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17247,5</w:t>
            </w:r>
          </w:p>
        </w:tc>
        <w:tc>
          <w:tcPr>
            <w:tcW w:w="1508" w:type="dxa"/>
            <w:tcBorders>
              <w:top w:val="single" w:sz="4" w:space="0" w:color="auto"/>
              <w:left w:val="single" w:sz="4" w:space="0" w:color="auto"/>
              <w:bottom w:val="single" w:sz="4" w:space="0" w:color="auto"/>
              <w:right w:val="single" w:sz="4" w:space="0" w:color="auto"/>
            </w:tcBorders>
            <w:vAlign w:val="center"/>
          </w:tcPr>
          <w:p w14:paraId="7187EF3C"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20231,1</w:t>
            </w:r>
          </w:p>
        </w:tc>
        <w:tc>
          <w:tcPr>
            <w:tcW w:w="992" w:type="dxa"/>
            <w:tcBorders>
              <w:top w:val="single" w:sz="4" w:space="0" w:color="auto"/>
              <w:left w:val="single" w:sz="4" w:space="0" w:color="auto"/>
              <w:bottom w:val="single" w:sz="4" w:space="0" w:color="auto"/>
              <w:right w:val="single" w:sz="4" w:space="0" w:color="auto"/>
            </w:tcBorders>
            <w:vAlign w:val="center"/>
          </w:tcPr>
          <w:p w14:paraId="06F1CA8F"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99,1</w:t>
            </w:r>
          </w:p>
        </w:tc>
        <w:tc>
          <w:tcPr>
            <w:tcW w:w="991" w:type="dxa"/>
            <w:tcBorders>
              <w:top w:val="single" w:sz="4" w:space="0" w:color="auto"/>
              <w:left w:val="single" w:sz="4" w:space="0" w:color="auto"/>
              <w:bottom w:val="single" w:sz="4" w:space="0" w:color="auto"/>
              <w:right w:val="single" w:sz="4" w:space="0" w:color="auto"/>
            </w:tcBorders>
            <w:vAlign w:val="center"/>
          </w:tcPr>
          <w:p w14:paraId="04F489DF"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98,8</w:t>
            </w:r>
          </w:p>
        </w:tc>
      </w:tr>
      <w:tr w:rsidR="00266CAE" w:rsidRPr="00266CAE" w14:paraId="59D99687" w14:textId="77777777" w:rsidTr="00A26900">
        <w:trPr>
          <w:jc w:val="center"/>
        </w:trPr>
        <w:tc>
          <w:tcPr>
            <w:tcW w:w="2002" w:type="dxa"/>
            <w:tcBorders>
              <w:top w:val="single" w:sz="4" w:space="0" w:color="auto"/>
              <w:left w:val="single" w:sz="4" w:space="0" w:color="auto"/>
              <w:bottom w:val="single" w:sz="4" w:space="0" w:color="auto"/>
              <w:right w:val="single" w:sz="4" w:space="0" w:color="auto"/>
            </w:tcBorders>
            <w:hideMark/>
          </w:tcPr>
          <w:p w14:paraId="79D1C90D" w14:textId="77777777" w:rsidR="00266CAE" w:rsidRPr="00266CAE" w:rsidRDefault="00266CAE" w:rsidP="00A26900">
            <w:pPr>
              <w:widowControl w:val="0"/>
              <w:ind w:firstLine="0"/>
              <w:rPr>
                <w:rFonts w:ascii="PT Astra Serif" w:hAnsi="PT Astra Serif" w:cs="Times New Roman"/>
                <w:sz w:val="20"/>
                <w:szCs w:val="20"/>
              </w:rPr>
            </w:pPr>
            <w:r w:rsidRPr="00266CAE">
              <w:rPr>
                <w:rFonts w:ascii="PT Astra Serif" w:hAnsi="PT Astra Serif" w:cs="Times New Roman"/>
                <w:sz w:val="20"/>
                <w:szCs w:val="20"/>
              </w:rPr>
              <w:t>Федеральные МО</w:t>
            </w:r>
          </w:p>
        </w:tc>
        <w:tc>
          <w:tcPr>
            <w:tcW w:w="1239" w:type="dxa"/>
            <w:tcBorders>
              <w:top w:val="single" w:sz="4" w:space="0" w:color="auto"/>
              <w:left w:val="single" w:sz="4" w:space="0" w:color="auto"/>
              <w:bottom w:val="single" w:sz="4" w:space="0" w:color="auto"/>
              <w:right w:val="single" w:sz="4" w:space="0" w:color="auto"/>
            </w:tcBorders>
            <w:vAlign w:val="center"/>
          </w:tcPr>
          <w:p w14:paraId="001AE62C"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970,4</w:t>
            </w:r>
          </w:p>
        </w:tc>
        <w:tc>
          <w:tcPr>
            <w:tcW w:w="1275" w:type="dxa"/>
            <w:tcBorders>
              <w:top w:val="single" w:sz="4" w:space="0" w:color="auto"/>
              <w:left w:val="single" w:sz="4" w:space="0" w:color="auto"/>
              <w:bottom w:val="single" w:sz="4" w:space="0" w:color="auto"/>
              <w:right w:val="single" w:sz="4" w:space="0" w:color="auto"/>
            </w:tcBorders>
            <w:vAlign w:val="center"/>
          </w:tcPr>
          <w:p w14:paraId="22FCCF92"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1124,6</w:t>
            </w:r>
          </w:p>
        </w:tc>
        <w:tc>
          <w:tcPr>
            <w:tcW w:w="1398" w:type="dxa"/>
            <w:tcBorders>
              <w:top w:val="single" w:sz="4" w:space="0" w:color="auto"/>
              <w:left w:val="single" w:sz="4" w:space="0" w:color="auto"/>
              <w:bottom w:val="single" w:sz="4" w:space="0" w:color="auto"/>
              <w:right w:val="single" w:sz="4" w:space="0" w:color="auto"/>
            </w:tcBorders>
            <w:vAlign w:val="center"/>
          </w:tcPr>
          <w:p w14:paraId="57B3E69C"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965,6</w:t>
            </w:r>
          </w:p>
        </w:tc>
        <w:tc>
          <w:tcPr>
            <w:tcW w:w="1508" w:type="dxa"/>
            <w:tcBorders>
              <w:top w:val="single" w:sz="4" w:space="0" w:color="auto"/>
              <w:left w:val="single" w:sz="4" w:space="0" w:color="auto"/>
              <w:bottom w:val="single" w:sz="4" w:space="0" w:color="auto"/>
              <w:right w:val="single" w:sz="4" w:space="0" w:color="auto"/>
            </w:tcBorders>
            <w:vAlign w:val="center"/>
          </w:tcPr>
          <w:p w14:paraId="2BA2DD58"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1067,3</w:t>
            </w:r>
          </w:p>
        </w:tc>
        <w:tc>
          <w:tcPr>
            <w:tcW w:w="992" w:type="dxa"/>
            <w:tcBorders>
              <w:top w:val="single" w:sz="4" w:space="0" w:color="auto"/>
              <w:left w:val="single" w:sz="4" w:space="0" w:color="auto"/>
              <w:bottom w:val="single" w:sz="4" w:space="0" w:color="auto"/>
              <w:right w:val="single" w:sz="4" w:space="0" w:color="auto"/>
            </w:tcBorders>
            <w:vAlign w:val="center"/>
          </w:tcPr>
          <w:p w14:paraId="22123750"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99,5</w:t>
            </w:r>
          </w:p>
        </w:tc>
        <w:tc>
          <w:tcPr>
            <w:tcW w:w="991" w:type="dxa"/>
            <w:tcBorders>
              <w:top w:val="single" w:sz="4" w:space="0" w:color="auto"/>
              <w:left w:val="single" w:sz="4" w:space="0" w:color="auto"/>
              <w:bottom w:val="single" w:sz="4" w:space="0" w:color="auto"/>
              <w:right w:val="single" w:sz="4" w:space="0" w:color="auto"/>
            </w:tcBorders>
            <w:vAlign w:val="center"/>
          </w:tcPr>
          <w:p w14:paraId="2FE0B056"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95,0</w:t>
            </w:r>
          </w:p>
        </w:tc>
      </w:tr>
      <w:tr w:rsidR="00266CAE" w:rsidRPr="00266CAE" w14:paraId="32ADFCDB" w14:textId="77777777" w:rsidTr="00A26900">
        <w:trPr>
          <w:trHeight w:val="189"/>
          <w:jc w:val="center"/>
        </w:trPr>
        <w:tc>
          <w:tcPr>
            <w:tcW w:w="2002" w:type="dxa"/>
            <w:tcBorders>
              <w:top w:val="single" w:sz="4" w:space="0" w:color="auto"/>
              <w:left w:val="single" w:sz="4" w:space="0" w:color="auto"/>
              <w:bottom w:val="single" w:sz="4" w:space="0" w:color="auto"/>
              <w:right w:val="single" w:sz="4" w:space="0" w:color="auto"/>
            </w:tcBorders>
            <w:hideMark/>
          </w:tcPr>
          <w:p w14:paraId="0B70973B" w14:textId="77777777" w:rsidR="00266CAE" w:rsidRPr="00266CAE" w:rsidRDefault="00266CAE" w:rsidP="00A26900">
            <w:pPr>
              <w:widowControl w:val="0"/>
              <w:ind w:firstLine="0"/>
              <w:rPr>
                <w:rFonts w:ascii="PT Astra Serif" w:hAnsi="PT Astra Serif" w:cs="Times New Roman"/>
                <w:sz w:val="20"/>
                <w:szCs w:val="20"/>
              </w:rPr>
            </w:pPr>
            <w:r w:rsidRPr="00266CAE">
              <w:rPr>
                <w:rFonts w:ascii="PT Astra Serif" w:hAnsi="PT Astra Serif" w:cs="Times New Roman"/>
                <w:sz w:val="20"/>
                <w:szCs w:val="20"/>
              </w:rPr>
              <w:t>МО других форм собственности</w:t>
            </w:r>
          </w:p>
        </w:tc>
        <w:tc>
          <w:tcPr>
            <w:tcW w:w="1239" w:type="dxa"/>
            <w:tcBorders>
              <w:top w:val="single" w:sz="4" w:space="0" w:color="auto"/>
              <w:left w:val="single" w:sz="4" w:space="0" w:color="auto"/>
              <w:bottom w:val="single" w:sz="4" w:space="0" w:color="auto"/>
              <w:right w:val="single" w:sz="4" w:space="0" w:color="auto"/>
            </w:tcBorders>
            <w:vAlign w:val="center"/>
          </w:tcPr>
          <w:p w14:paraId="79667245"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1498,0</w:t>
            </w:r>
          </w:p>
        </w:tc>
        <w:tc>
          <w:tcPr>
            <w:tcW w:w="1275" w:type="dxa"/>
            <w:tcBorders>
              <w:top w:val="single" w:sz="4" w:space="0" w:color="auto"/>
              <w:left w:val="single" w:sz="4" w:space="0" w:color="auto"/>
              <w:bottom w:val="single" w:sz="4" w:space="0" w:color="auto"/>
              <w:right w:val="single" w:sz="4" w:space="0" w:color="auto"/>
            </w:tcBorders>
            <w:vAlign w:val="center"/>
          </w:tcPr>
          <w:p w14:paraId="6A3AB7FA"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1725,2</w:t>
            </w:r>
          </w:p>
        </w:tc>
        <w:tc>
          <w:tcPr>
            <w:tcW w:w="1398" w:type="dxa"/>
            <w:tcBorders>
              <w:top w:val="single" w:sz="4" w:space="0" w:color="auto"/>
              <w:left w:val="single" w:sz="4" w:space="0" w:color="auto"/>
              <w:bottom w:val="single" w:sz="4" w:space="0" w:color="auto"/>
              <w:right w:val="single" w:sz="4" w:space="0" w:color="auto"/>
            </w:tcBorders>
            <w:vAlign w:val="center"/>
          </w:tcPr>
          <w:p w14:paraId="69B0D5D9"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1491,9</w:t>
            </w:r>
          </w:p>
        </w:tc>
        <w:tc>
          <w:tcPr>
            <w:tcW w:w="1508" w:type="dxa"/>
            <w:tcBorders>
              <w:top w:val="single" w:sz="4" w:space="0" w:color="auto"/>
              <w:left w:val="single" w:sz="4" w:space="0" w:color="auto"/>
              <w:bottom w:val="single" w:sz="4" w:space="0" w:color="auto"/>
              <w:right w:val="single" w:sz="4" w:space="0" w:color="auto"/>
            </w:tcBorders>
            <w:vAlign w:val="center"/>
          </w:tcPr>
          <w:p w14:paraId="4008D27A"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1644,4</w:t>
            </w:r>
          </w:p>
        </w:tc>
        <w:tc>
          <w:tcPr>
            <w:tcW w:w="992" w:type="dxa"/>
            <w:tcBorders>
              <w:top w:val="single" w:sz="4" w:space="0" w:color="auto"/>
              <w:left w:val="single" w:sz="4" w:space="0" w:color="auto"/>
              <w:bottom w:val="single" w:sz="4" w:space="0" w:color="auto"/>
              <w:right w:val="single" w:sz="4" w:space="0" w:color="auto"/>
            </w:tcBorders>
            <w:vAlign w:val="center"/>
          </w:tcPr>
          <w:p w14:paraId="2D7F7AB2"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99,6</w:t>
            </w:r>
          </w:p>
        </w:tc>
        <w:tc>
          <w:tcPr>
            <w:tcW w:w="991" w:type="dxa"/>
            <w:tcBorders>
              <w:top w:val="single" w:sz="4" w:space="0" w:color="auto"/>
              <w:left w:val="single" w:sz="4" w:space="0" w:color="auto"/>
              <w:bottom w:val="single" w:sz="4" w:space="0" w:color="auto"/>
              <w:right w:val="single" w:sz="4" w:space="0" w:color="auto"/>
            </w:tcBorders>
            <w:vAlign w:val="center"/>
          </w:tcPr>
          <w:p w14:paraId="0E92D97B" w14:textId="77777777" w:rsidR="00266CAE" w:rsidRPr="00266CAE" w:rsidRDefault="00266CAE" w:rsidP="003B673B">
            <w:pPr>
              <w:widowControl w:val="0"/>
              <w:ind w:firstLine="0"/>
              <w:jc w:val="center"/>
              <w:rPr>
                <w:rFonts w:ascii="PT Astra Serif" w:hAnsi="PT Astra Serif" w:cs="Times New Roman"/>
                <w:sz w:val="20"/>
                <w:szCs w:val="20"/>
              </w:rPr>
            </w:pPr>
            <w:r w:rsidRPr="00266CAE">
              <w:rPr>
                <w:rFonts w:ascii="PT Astra Serif" w:hAnsi="PT Astra Serif" w:cs="Times New Roman"/>
                <w:sz w:val="20"/>
                <w:szCs w:val="20"/>
              </w:rPr>
              <w:t>95,3</w:t>
            </w:r>
          </w:p>
        </w:tc>
      </w:tr>
      <w:tr w:rsidR="00266CAE" w:rsidRPr="00266CAE" w14:paraId="2E74B49C" w14:textId="77777777" w:rsidTr="00A26900">
        <w:trPr>
          <w:jc w:val="center"/>
        </w:trPr>
        <w:tc>
          <w:tcPr>
            <w:tcW w:w="2002" w:type="dxa"/>
            <w:tcBorders>
              <w:top w:val="single" w:sz="4" w:space="0" w:color="auto"/>
              <w:left w:val="single" w:sz="4" w:space="0" w:color="auto"/>
              <w:bottom w:val="single" w:sz="4" w:space="0" w:color="auto"/>
              <w:right w:val="single" w:sz="4" w:space="0" w:color="auto"/>
            </w:tcBorders>
            <w:hideMark/>
          </w:tcPr>
          <w:p w14:paraId="57CA27BD" w14:textId="77777777" w:rsidR="00266CAE" w:rsidRPr="00266CAE" w:rsidRDefault="00266CAE" w:rsidP="00A26900">
            <w:pPr>
              <w:widowControl w:val="0"/>
              <w:ind w:firstLine="0"/>
              <w:rPr>
                <w:rFonts w:ascii="PT Astra Serif" w:hAnsi="PT Astra Serif" w:cs="Times New Roman"/>
                <w:b/>
                <w:sz w:val="20"/>
                <w:szCs w:val="20"/>
              </w:rPr>
            </w:pPr>
            <w:r w:rsidRPr="00266CAE">
              <w:rPr>
                <w:rFonts w:ascii="PT Astra Serif" w:hAnsi="PT Astra Serif" w:cs="Times New Roman"/>
                <w:b/>
                <w:sz w:val="20"/>
                <w:szCs w:val="20"/>
              </w:rPr>
              <w:t>Итого</w:t>
            </w:r>
          </w:p>
        </w:tc>
        <w:tc>
          <w:tcPr>
            <w:tcW w:w="1239" w:type="dxa"/>
            <w:tcBorders>
              <w:top w:val="single" w:sz="4" w:space="0" w:color="auto"/>
              <w:left w:val="single" w:sz="4" w:space="0" w:color="auto"/>
              <w:bottom w:val="single" w:sz="4" w:space="0" w:color="auto"/>
              <w:right w:val="single" w:sz="4" w:space="0" w:color="auto"/>
            </w:tcBorders>
            <w:vAlign w:val="center"/>
          </w:tcPr>
          <w:p w14:paraId="016350C3"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19875,5</w:t>
            </w:r>
          </w:p>
        </w:tc>
        <w:tc>
          <w:tcPr>
            <w:tcW w:w="1275" w:type="dxa"/>
            <w:tcBorders>
              <w:top w:val="single" w:sz="4" w:space="0" w:color="auto"/>
              <w:left w:val="single" w:sz="4" w:space="0" w:color="auto"/>
              <w:bottom w:val="single" w:sz="4" w:space="0" w:color="auto"/>
              <w:right w:val="single" w:sz="4" w:space="0" w:color="auto"/>
            </w:tcBorders>
            <w:vAlign w:val="center"/>
          </w:tcPr>
          <w:p w14:paraId="5A1DE6CF"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23336,7</w:t>
            </w:r>
          </w:p>
        </w:tc>
        <w:tc>
          <w:tcPr>
            <w:tcW w:w="1398" w:type="dxa"/>
            <w:tcBorders>
              <w:top w:val="single" w:sz="4" w:space="0" w:color="auto"/>
              <w:left w:val="single" w:sz="4" w:space="0" w:color="auto"/>
              <w:bottom w:val="single" w:sz="4" w:space="0" w:color="auto"/>
              <w:right w:val="single" w:sz="4" w:space="0" w:color="auto"/>
            </w:tcBorders>
            <w:vAlign w:val="center"/>
          </w:tcPr>
          <w:p w14:paraId="482C8637"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19705,0</w:t>
            </w:r>
          </w:p>
        </w:tc>
        <w:tc>
          <w:tcPr>
            <w:tcW w:w="1508" w:type="dxa"/>
            <w:tcBorders>
              <w:top w:val="single" w:sz="4" w:space="0" w:color="auto"/>
              <w:left w:val="single" w:sz="4" w:space="0" w:color="auto"/>
              <w:bottom w:val="single" w:sz="4" w:space="0" w:color="auto"/>
              <w:right w:val="single" w:sz="4" w:space="0" w:color="auto"/>
            </w:tcBorders>
            <w:vAlign w:val="center"/>
          </w:tcPr>
          <w:p w14:paraId="6F25CA50"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22942,8</w:t>
            </w:r>
          </w:p>
        </w:tc>
        <w:tc>
          <w:tcPr>
            <w:tcW w:w="992" w:type="dxa"/>
            <w:tcBorders>
              <w:top w:val="single" w:sz="4" w:space="0" w:color="auto"/>
              <w:left w:val="single" w:sz="4" w:space="0" w:color="auto"/>
              <w:bottom w:val="single" w:sz="4" w:space="0" w:color="auto"/>
              <w:right w:val="single" w:sz="4" w:space="0" w:color="auto"/>
            </w:tcBorders>
            <w:vAlign w:val="center"/>
          </w:tcPr>
          <w:p w14:paraId="17CF5334"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99,1</w:t>
            </w:r>
          </w:p>
        </w:tc>
        <w:tc>
          <w:tcPr>
            <w:tcW w:w="991" w:type="dxa"/>
            <w:tcBorders>
              <w:top w:val="single" w:sz="4" w:space="0" w:color="auto"/>
              <w:left w:val="single" w:sz="4" w:space="0" w:color="auto"/>
              <w:bottom w:val="single" w:sz="4" w:space="0" w:color="auto"/>
              <w:right w:val="single" w:sz="4" w:space="0" w:color="auto"/>
            </w:tcBorders>
            <w:vAlign w:val="center"/>
          </w:tcPr>
          <w:p w14:paraId="07B7BA5A" w14:textId="77777777" w:rsidR="00266CAE" w:rsidRPr="00266CAE" w:rsidRDefault="00266CAE" w:rsidP="003B673B">
            <w:pPr>
              <w:widowControl w:val="0"/>
              <w:ind w:firstLine="0"/>
              <w:jc w:val="center"/>
              <w:rPr>
                <w:rFonts w:ascii="PT Astra Serif" w:hAnsi="PT Astra Serif" w:cs="Times New Roman"/>
                <w:b/>
                <w:sz w:val="20"/>
                <w:szCs w:val="20"/>
              </w:rPr>
            </w:pPr>
            <w:r w:rsidRPr="00266CAE">
              <w:rPr>
                <w:rFonts w:ascii="PT Astra Serif" w:hAnsi="PT Astra Serif" w:cs="Times New Roman"/>
                <w:b/>
                <w:sz w:val="20"/>
                <w:szCs w:val="20"/>
              </w:rPr>
              <w:t>98,3</w:t>
            </w:r>
          </w:p>
        </w:tc>
      </w:tr>
    </w:tbl>
    <w:p w14:paraId="17FCD2E3" w14:textId="77777777" w:rsidR="00266CAE" w:rsidRDefault="00266CAE" w:rsidP="002A207B">
      <w:pPr>
        <w:widowControl w:val="0"/>
        <w:rPr>
          <w:rFonts w:ascii="PT Astra Serif" w:hAnsi="PT Astra Serif" w:cs="Times New Roman"/>
          <w:szCs w:val="28"/>
        </w:rPr>
      </w:pPr>
    </w:p>
    <w:p w14:paraId="633C049B" w14:textId="2293B7BF"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Основная доля финансирования медицинской помощи приходится на государственные учреждения здравоохранения – 88%, федеральные учреждения здравоохранения – 5%, медицинские организации частной формы собственности – 7%.</w:t>
      </w:r>
    </w:p>
    <w:p w14:paraId="10899C4E"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Наибольшая доля средств приходится на финансирование круглосуточного стационара – 10 523,9 млн рублей (45,9%). Амбулаторно-поликлиническая помощь составляет 8 525,8 млн рублей (37,2%), дневной стационар – 2 477,3 млн рублей (10,8%), скорая медицинская помощь – 1 415,8 млн рублей (6,2%).</w:t>
      </w:r>
    </w:p>
    <w:p w14:paraId="0A3E28B1" w14:textId="1F40601A" w:rsid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Общее финансовое обеспечение государственных учреждений здравоохранения Ульяновской области за 2025 год в сравнении </w:t>
      </w:r>
      <w:r w:rsidRPr="002A207B">
        <w:rPr>
          <w:rFonts w:ascii="PT Astra Serif" w:hAnsi="PT Astra Serif" w:cs="Times New Roman"/>
          <w:szCs w:val="28"/>
        </w:rPr>
        <w:br/>
        <w:t>с аналогичным периодом 2024 года увеличилось на 2 983,6 млн рублей, или 17,3%.</w:t>
      </w:r>
    </w:p>
    <w:p w14:paraId="7B4A5671" w14:textId="47F5246F" w:rsidR="00A26900" w:rsidRDefault="00A26900" w:rsidP="009B14F6">
      <w:pPr>
        <w:widowControl w:val="0"/>
        <w:rPr>
          <w:rFonts w:ascii="PT Astra Serif" w:hAnsi="PT Astra Serif" w:cs="Times New Roman"/>
          <w:sz w:val="20"/>
          <w:szCs w:val="20"/>
        </w:rPr>
      </w:pPr>
    </w:p>
    <w:tbl>
      <w:tblPr>
        <w:tblW w:w="93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1240"/>
        <w:gridCol w:w="1417"/>
        <w:gridCol w:w="1558"/>
        <w:gridCol w:w="1450"/>
        <w:gridCol w:w="849"/>
        <w:gridCol w:w="958"/>
      </w:tblGrid>
      <w:tr w:rsidR="00A26900" w:rsidRPr="00A26900" w14:paraId="379C0458" w14:textId="77777777" w:rsidTr="00A26900">
        <w:tc>
          <w:tcPr>
            <w:tcW w:w="1872" w:type="dxa"/>
            <w:vMerge w:val="restart"/>
            <w:tcBorders>
              <w:top w:val="single" w:sz="4" w:space="0" w:color="auto"/>
              <w:left w:val="single" w:sz="4" w:space="0" w:color="auto"/>
              <w:bottom w:val="single" w:sz="4" w:space="0" w:color="auto"/>
              <w:right w:val="single" w:sz="4" w:space="0" w:color="auto"/>
            </w:tcBorders>
            <w:vAlign w:val="center"/>
            <w:hideMark/>
          </w:tcPr>
          <w:p w14:paraId="7145A758"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Наименование</w:t>
            </w:r>
          </w:p>
        </w:tc>
        <w:tc>
          <w:tcPr>
            <w:tcW w:w="2657" w:type="dxa"/>
            <w:gridSpan w:val="2"/>
            <w:tcBorders>
              <w:top w:val="single" w:sz="4" w:space="0" w:color="auto"/>
              <w:left w:val="single" w:sz="4" w:space="0" w:color="auto"/>
              <w:bottom w:val="single" w:sz="4" w:space="0" w:color="auto"/>
              <w:right w:val="single" w:sz="4" w:space="0" w:color="auto"/>
            </w:tcBorders>
            <w:vAlign w:val="center"/>
            <w:hideMark/>
          </w:tcPr>
          <w:p w14:paraId="1831CD50"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План финансирования</w:t>
            </w:r>
          </w:p>
          <w:p w14:paraId="499E30BB"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МО</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54C05863"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Сумма финансового обеспечения</w:t>
            </w:r>
          </w:p>
          <w:p w14:paraId="720BC1BA"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за 2024 г.,</w:t>
            </w:r>
          </w:p>
          <w:p w14:paraId="4813EEC3" w14:textId="45CFB6C8"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млн руб</w:t>
            </w:r>
            <w:r>
              <w:rPr>
                <w:rFonts w:ascii="PT Astra Serif" w:hAnsi="PT Astra Serif" w:cs="Times New Roman"/>
                <w:b/>
                <w:sz w:val="20"/>
                <w:szCs w:val="20"/>
              </w:rPr>
              <w:t>.</w:t>
            </w:r>
          </w:p>
        </w:tc>
        <w:tc>
          <w:tcPr>
            <w:tcW w:w="1450" w:type="dxa"/>
            <w:vMerge w:val="restart"/>
            <w:tcBorders>
              <w:top w:val="single" w:sz="4" w:space="0" w:color="auto"/>
              <w:left w:val="single" w:sz="4" w:space="0" w:color="auto"/>
              <w:bottom w:val="single" w:sz="4" w:space="0" w:color="auto"/>
              <w:right w:val="single" w:sz="4" w:space="0" w:color="auto"/>
            </w:tcBorders>
            <w:vAlign w:val="center"/>
            <w:hideMark/>
          </w:tcPr>
          <w:p w14:paraId="3FBB81C9"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Сумма финансового обеспечения</w:t>
            </w:r>
            <w:r w:rsidRPr="00A26900">
              <w:rPr>
                <w:rFonts w:ascii="PT Astra Serif" w:hAnsi="PT Astra Serif" w:cs="Times New Roman"/>
                <w:b/>
                <w:sz w:val="20"/>
                <w:szCs w:val="20"/>
              </w:rPr>
              <w:br/>
              <w:t xml:space="preserve"> за 2025 г.,</w:t>
            </w:r>
          </w:p>
          <w:p w14:paraId="176ED8C9" w14:textId="32A4C358"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млн руб</w:t>
            </w:r>
            <w:r>
              <w:rPr>
                <w:rFonts w:ascii="PT Astra Serif" w:hAnsi="PT Astra Serif" w:cs="Times New Roman"/>
                <w:b/>
                <w:sz w:val="20"/>
                <w:szCs w:val="20"/>
              </w:rPr>
              <w:t>.</w:t>
            </w:r>
          </w:p>
        </w:tc>
        <w:tc>
          <w:tcPr>
            <w:tcW w:w="1807" w:type="dxa"/>
            <w:gridSpan w:val="2"/>
            <w:tcBorders>
              <w:top w:val="single" w:sz="4" w:space="0" w:color="auto"/>
              <w:left w:val="single" w:sz="4" w:space="0" w:color="auto"/>
              <w:bottom w:val="single" w:sz="4" w:space="0" w:color="auto"/>
              <w:right w:val="single" w:sz="4" w:space="0" w:color="auto"/>
            </w:tcBorders>
            <w:vAlign w:val="center"/>
            <w:hideMark/>
          </w:tcPr>
          <w:p w14:paraId="127F458E"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 выполнения плана</w:t>
            </w:r>
          </w:p>
        </w:tc>
      </w:tr>
      <w:tr w:rsidR="00A26900" w:rsidRPr="00A26900" w14:paraId="350DF7B0" w14:textId="77777777" w:rsidTr="00A26900">
        <w:tc>
          <w:tcPr>
            <w:tcW w:w="1872" w:type="dxa"/>
            <w:vMerge/>
            <w:tcBorders>
              <w:top w:val="single" w:sz="4" w:space="0" w:color="auto"/>
              <w:left w:val="single" w:sz="4" w:space="0" w:color="auto"/>
              <w:bottom w:val="single" w:sz="4" w:space="0" w:color="auto"/>
              <w:right w:val="single" w:sz="4" w:space="0" w:color="auto"/>
            </w:tcBorders>
            <w:vAlign w:val="center"/>
            <w:hideMark/>
          </w:tcPr>
          <w:p w14:paraId="775F80CD" w14:textId="77777777" w:rsidR="00A26900" w:rsidRPr="00A26900" w:rsidRDefault="00A26900" w:rsidP="00A26900">
            <w:pPr>
              <w:widowControl w:val="0"/>
              <w:ind w:firstLine="0"/>
              <w:jc w:val="center"/>
              <w:rPr>
                <w:rFonts w:ascii="PT Astra Serif" w:hAnsi="PT Astra Serif" w:cs="Times New Roman"/>
                <w:b/>
                <w:sz w:val="20"/>
                <w:szCs w:val="20"/>
              </w:rPr>
            </w:pPr>
          </w:p>
        </w:tc>
        <w:tc>
          <w:tcPr>
            <w:tcW w:w="1240" w:type="dxa"/>
            <w:tcBorders>
              <w:top w:val="single" w:sz="4" w:space="0" w:color="auto"/>
              <w:left w:val="single" w:sz="4" w:space="0" w:color="auto"/>
              <w:bottom w:val="single" w:sz="4" w:space="0" w:color="auto"/>
              <w:right w:val="single" w:sz="4" w:space="0" w:color="auto"/>
            </w:tcBorders>
            <w:vAlign w:val="center"/>
            <w:hideMark/>
          </w:tcPr>
          <w:p w14:paraId="25DD3AB3"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на 2024 г.,</w:t>
            </w:r>
          </w:p>
          <w:p w14:paraId="3321B32E" w14:textId="6081807A"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млн руб</w:t>
            </w:r>
            <w:r>
              <w:rPr>
                <w:rFonts w:ascii="PT Astra Serif" w:hAnsi="PT Astra Serif" w:cs="Times New Roman"/>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E3B07F"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на 2025 г.,</w:t>
            </w:r>
          </w:p>
          <w:p w14:paraId="6FF6C83C" w14:textId="18E5856F"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млн руб</w:t>
            </w:r>
            <w:r>
              <w:rPr>
                <w:rFonts w:ascii="PT Astra Serif" w:hAnsi="PT Astra Serif" w:cs="Times New Roman"/>
                <w:b/>
                <w:sz w:val="20"/>
                <w:szCs w:val="20"/>
              </w:rPr>
              <w:t>.</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696C864D" w14:textId="77777777" w:rsidR="00A26900" w:rsidRPr="00A26900" w:rsidRDefault="00A26900" w:rsidP="00A26900">
            <w:pPr>
              <w:widowControl w:val="0"/>
              <w:ind w:firstLine="0"/>
              <w:jc w:val="center"/>
              <w:rPr>
                <w:rFonts w:ascii="PT Astra Serif" w:hAnsi="PT Astra Serif" w:cs="Times New Roman"/>
                <w:b/>
                <w:sz w:val="20"/>
                <w:szCs w:val="20"/>
              </w:rPr>
            </w:pPr>
          </w:p>
        </w:tc>
        <w:tc>
          <w:tcPr>
            <w:tcW w:w="1450" w:type="dxa"/>
            <w:vMerge/>
            <w:tcBorders>
              <w:top w:val="single" w:sz="4" w:space="0" w:color="auto"/>
              <w:left w:val="single" w:sz="4" w:space="0" w:color="auto"/>
              <w:bottom w:val="single" w:sz="4" w:space="0" w:color="auto"/>
              <w:right w:val="single" w:sz="4" w:space="0" w:color="auto"/>
            </w:tcBorders>
            <w:vAlign w:val="center"/>
            <w:hideMark/>
          </w:tcPr>
          <w:p w14:paraId="03693661" w14:textId="77777777" w:rsidR="00A26900" w:rsidRPr="00A26900" w:rsidRDefault="00A26900" w:rsidP="00A26900">
            <w:pPr>
              <w:widowControl w:val="0"/>
              <w:ind w:firstLine="0"/>
              <w:jc w:val="center"/>
              <w:rPr>
                <w:rFonts w:ascii="PT Astra Serif" w:hAnsi="PT Astra Serif" w:cs="Times New Roman"/>
                <w:b/>
                <w:sz w:val="20"/>
                <w:szCs w:val="20"/>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7657EB1F"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2024 г.</w:t>
            </w:r>
          </w:p>
        </w:tc>
        <w:tc>
          <w:tcPr>
            <w:tcW w:w="958" w:type="dxa"/>
            <w:tcBorders>
              <w:top w:val="single" w:sz="4" w:space="0" w:color="auto"/>
              <w:left w:val="single" w:sz="4" w:space="0" w:color="auto"/>
              <w:bottom w:val="single" w:sz="4" w:space="0" w:color="auto"/>
              <w:right w:val="single" w:sz="4" w:space="0" w:color="auto"/>
            </w:tcBorders>
            <w:vAlign w:val="center"/>
            <w:hideMark/>
          </w:tcPr>
          <w:p w14:paraId="25E3F3D5"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2025 г.</w:t>
            </w:r>
          </w:p>
        </w:tc>
      </w:tr>
      <w:tr w:rsidR="00A26900" w:rsidRPr="00A26900" w14:paraId="62A001F1" w14:textId="77777777" w:rsidTr="00A26900">
        <w:tc>
          <w:tcPr>
            <w:tcW w:w="1872" w:type="dxa"/>
            <w:tcBorders>
              <w:top w:val="single" w:sz="4" w:space="0" w:color="auto"/>
              <w:left w:val="single" w:sz="4" w:space="0" w:color="auto"/>
              <w:bottom w:val="single" w:sz="4" w:space="0" w:color="auto"/>
              <w:right w:val="single" w:sz="4" w:space="0" w:color="auto"/>
            </w:tcBorders>
            <w:hideMark/>
          </w:tcPr>
          <w:p w14:paraId="73E3F573" w14:textId="77777777" w:rsidR="00A26900" w:rsidRPr="00A26900" w:rsidRDefault="00A26900" w:rsidP="00A26900">
            <w:pPr>
              <w:widowControl w:val="0"/>
              <w:ind w:firstLine="0"/>
              <w:jc w:val="left"/>
              <w:rPr>
                <w:rFonts w:ascii="PT Astra Serif" w:hAnsi="PT Astra Serif" w:cs="Times New Roman"/>
                <w:sz w:val="20"/>
                <w:szCs w:val="20"/>
              </w:rPr>
            </w:pPr>
            <w:r w:rsidRPr="00A26900">
              <w:rPr>
                <w:rFonts w:ascii="PT Astra Serif" w:hAnsi="PT Astra Serif" w:cs="Times New Roman"/>
                <w:sz w:val="20"/>
                <w:szCs w:val="20"/>
              </w:rPr>
              <w:t>Областные МО</w:t>
            </w:r>
          </w:p>
        </w:tc>
        <w:tc>
          <w:tcPr>
            <w:tcW w:w="1240" w:type="dxa"/>
            <w:tcBorders>
              <w:top w:val="single" w:sz="4" w:space="0" w:color="auto"/>
              <w:left w:val="single" w:sz="4" w:space="0" w:color="auto"/>
              <w:bottom w:val="single" w:sz="4" w:space="0" w:color="auto"/>
              <w:right w:val="single" w:sz="4" w:space="0" w:color="auto"/>
            </w:tcBorders>
            <w:vAlign w:val="center"/>
          </w:tcPr>
          <w:p w14:paraId="0B4C26CE"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6213,7</w:t>
            </w:r>
          </w:p>
        </w:tc>
        <w:tc>
          <w:tcPr>
            <w:tcW w:w="1417" w:type="dxa"/>
            <w:tcBorders>
              <w:top w:val="single" w:sz="4" w:space="0" w:color="auto"/>
              <w:left w:val="single" w:sz="4" w:space="0" w:color="auto"/>
              <w:bottom w:val="single" w:sz="4" w:space="0" w:color="auto"/>
              <w:right w:val="single" w:sz="4" w:space="0" w:color="auto"/>
            </w:tcBorders>
            <w:vAlign w:val="center"/>
          </w:tcPr>
          <w:p w14:paraId="03796137"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7266,8</w:t>
            </w:r>
          </w:p>
        </w:tc>
        <w:tc>
          <w:tcPr>
            <w:tcW w:w="1558" w:type="dxa"/>
            <w:tcBorders>
              <w:top w:val="single" w:sz="4" w:space="0" w:color="auto"/>
              <w:left w:val="single" w:sz="4" w:space="0" w:color="auto"/>
              <w:bottom w:val="single" w:sz="4" w:space="0" w:color="auto"/>
              <w:right w:val="single" w:sz="4" w:space="0" w:color="auto"/>
            </w:tcBorders>
            <w:vAlign w:val="center"/>
          </w:tcPr>
          <w:p w14:paraId="62932D2E"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6392,3</w:t>
            </w:r>
          </w:p>
        </w:tc>
        <w:tc>
          <w:tcPr>
            <w:tcW w:w="1450" w:type="dxa"/>
            <w:tcBorders>
              <w:top w:val="single" w:sz="4" w:space="0" w:color="auto"/>
              <w:left w:val="single" w:sz="4" w:space="0" w:color="auto"/>
              <w:bottom w:val="single" w:sz="4" w:space="0" w:color="auto"/>
              <w:right w:val="single" w:sz="4" w:space="0" w:color="auto"/>
            </w:tcBorders>
            <w:vAlign w:val="center"/>
          </w:tcPr>
          <w:p w14:paraId="43393260"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7608,1</w:t>
            </w:r>
          </w:p>
        </w:tc>
        <w:tc>
          <w:tcPr>
            <w:tcW w:w="849" w:type="dxa"/>
            <w:tcBorders>
              <w:top w:val="single" w:sz="4" w:space="0" w:color="auto"/>
              <w:left w:val="single" w:sz="4" w:space="0" w:color="auto"/>
              <w:bottom w:val="single" w:sz="4" w:space="0" w:color="auto"/>
              <w:right w:val="single" w:sz="4" w:space="0" w:color="auto"/>
            </w:tcBorders>
            <w:vAlign w:val="center"/>
          </w:tcPr>
          <w:p w14:paraId="044E5F9A"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102,9</w:t>
            </w:r>
          </w:p>
        </w:tc>
        <w:tc>
          <w:tcPr>
            <w:tcW w:w="958" w:type="dxa"/>
            <w:tcBorders>
              <w:top w:val="single" w:sz="4" w:space="0" w:color="auto"/>
              <w:left w:val="single" w:sz="4" w:space="0" w:color="auto"/>
              <w:bottom w:val="single" w:sz="4" w:space="0" w:color="auto"/>
              <w:right w:val="single" w:sz="4" w:space="0" w:color="auto"/>
            </w:tcBorders>
            <w:vAlign w:val="center"/>
          </w:tcPr>
          <w:p w14:paraId="4DB63870"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104,7</w:t>
            </w:r>
          </w:p>
        </w:tc>
      </w:tr>
      <w:tr w:rsidR="00A26900" w:rsidRPr="00A26900" w14:paraId="4DE51950" w14:textId="77777777" w:rsidTr="00A26900">
        <w:tc>
          <w:tcPr>
            <w:tcW w:w="1872" w:type="dxa"/>
            <w:tcBorders>
              <w:top w:val="single" w:sz="4" w:space="0" w:color="auto"/>
              <w:left w:val="single" w:sz="4" w:space="0" w:color="auto"/>
              <w:bottom w:val="single" w:sz="4" w:space="0" w:color="auto"/>
              <w:right w:val="single" w:sz="4" w:space="0" w:color="auto"/>
            </w:tcBorders>
            <w:hideMark/>
          </w:tcPr>
          <w:p w14:paraId="2F7771EA" w14:textId="77777777" w:rsidR="00A26900" w:rsidRPr="00A26900" w:rsidRDefault="00A26900" w:rsidP="00A26900">
            <w:pPr>
              <w:widowControl w:val="0"/>
              <w:ind w:firstLine="0"/>
              <w:jc w:val="left"/>
              <w:rPr>
                <w:rFonts w:ascii="PT Astra Serif" w:hAnsi="PT Astra Serif" w:cs="Times New Roman"/>
                <w:sz w:val="20"/>
                <w:szCs w:val="20"/>
              </w:rPr>
            </w:pPr>
            <w:r w:rsidRPr="00A26900">
              <w:rPr>
                <w:rFonts w:ascii="PT Astra Serif" w:hAnsi="PT Astra Serif" w:cs="Times New Roman"/>
                <w:sz w:val="20"/>
                <w:szCs w:val="20"/>
              </w:rPr>
              <w:t xml:space="preserve">МО г. Ульяновска </w:t>
            </w:r>
          </w:p>
        </w:tc>
        <w:tc>
          <w:tcPr>
            <w:tcW w:w="1240" w:type="dxa"/>
            <w:tcBorders>
              <w:top w:val="single" w:sz="4" w:space="0" w:color="auto"/>
              <w:left w:val="single" w:sz="4" w:space="0" w:color="auto"/>
              <w:bottom w:val="single" w:sz="4" w:space="0" w:color="auto"/>
              <w:right w:val="single" w:sz="4" w:space="0" w:color="auto"/>
            </w:tcBorders>
            <w:vAlign w:val="center"/>
          </w:tcPr>
          <w:p w14:paraId="1459DF0C"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7049,9</w:t>
            </w:r>
          </w:p>
        </w:tc>
        <w:tc>
          <w:tcPr>
            <w:tcW w:w="1417" w:type="dxa"/>
            <w:tcBorders>
              <w:top w:val="single" w:sz="4" w:space="0" w:color="auto"/>
              <w:left w:val="single" w:sz="4" w:space="0" w:color="auto"/>
              <w:bottom w:val="single" w:sz="4" w:space="0" w:color="auto"/>
              <w:right w:val="single" w:sz="4" w:space="0" w:color="auto"/>
            </w:tcBorders>
            <w:vAlign w:val="center"/>
          </w:tcPr>
          <w:p w14:paraId="56CE9C4F"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8250,7</w:t>
            </w:r>
          </w:p>
        </w:tc>
        <w:tc>
          <w:tcPr>
            <w:tcW w:w="1558" w:type="dxa"/>
            <w:tcBorders>
              <w:top w:val="single" w:sz="4" w:space="0" w:color="auto"/>
              <w:left w:val="single" w:sz="4" w:space="0" w:color="auto"/>
              <w:bottom w:val="single" w:sz="4" w:space="0" w:color="auto"/>
              <w:right w:val="single" w:sz="4" w:space="0" w:color="auto"/>
            </w:tcBorders>
            <w:vAlign w:val="center"/>
          </w:tcPr>
          <w:p w14:paraId="4F4F7171"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6789,2</w:t>
            </w:r>
          </w:p>
        </w:tc>
        <w:tc>
          <w:tcPr>
            <w:tcW w:w="1450" w:type="dxa"/>
            <w:tcBorders>
              <w:top w:val="single" w:sz="4" w:space="0" w:color="auto"/>
              <w:left w:val="single" w:sz="4" w:space="0" w:color="auto"/>
              <w:bottom w:val="single" w:sz="4" w:space="0" w:color="auto"/>
              <w:right w:val="single" w:sz="4" w:space="0" w:color="auto"/>
            </w:tcBorders>
            <w:vAlign w:val="center"/>
          </w:tcPr>
          <w:p w14:paraId="35BFE7B9"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7789,4</w:t>
            </w:r>
          </w:p>
        </w:tc>
        <w:tc>
          <w:tcPr>
            <w:tcW w:w="849" w:type="dxa"/>
            <w:tcBorders>
              <w:top w:val="single" w:sz="4" w:space="0" w:color="auto"/>
              <w:left w:val="single" w:sz="4" w:space="0" w:color="auto"/>
              <w:bottom w:val="single" w:sz="4" w:space="0" w:color="auto"/>
              <w:right w:val="single" w:sz="4" w:space="0" w:color="auto"/>
            </w:tcBorders>
            <w:vAlign w:val="center"/>
          </w:tcPr>
          <w:p w14:paraId="1E297EB9"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96,3</w:t>
            </w:r>
          </w:p>
        </w:tc>
        <w:tc>
          <w:tcPr>
            <w:tcW w:w="958" w:type="dxa"/>
            <w:tcBorders>
              <w:top w:val="single" w:sz="4" w:space="0" w:color="auto"/>
              <w:left w:val="single" w:sz="4" w:space="0" w:color="auto"/>
              <w:bottom w:val="single" w:sz="4" w:space="0" w:color="auto"/>
              <w:right w:val="single" w:sz="4" w:space="0" w:color="auto"/>
            </w:tcBorders>
            <w:vAlign w:val="center"/>
          </w:tcPr>
          <w:p w14:paraId="38EF42DE"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94,4</w:t>
            </w:r>
          </w:p>
        </w:tc>
      </w:tr>
      <w:tr w:rsidR="00A26900" w:rsidRPr="00A26900" w14:paraId="6A3B82D0" w14:textId="77777777" w:rsidTr="00A26900">
        <w:trPr>
          <w:trHeight w:val="189"/>
        </w:trPr>
        <w:tc>
          <w:tcPr>
            <w:tcW w:w="1872" w:type="dxa"/>
            <w:tcBorders>
              <w:top w:val="single" w:sz="4" w:space="0" w:color="auto"/>
              <w:left w:val="single" w:sz="4" w:space="0" w:color="auto"/>
              <w:bottom w:val="single" w:sz="4" w:space="0" w:color="auto"/>
              <w:right w:val="single" w:sz="4" w:space="0" w:color="auto"/>
            </w:tcBorders>
            <w:hideMark/>
          </w:tcPr>
          <w:p w14:paraId="6908E3A8" w14:textId="77777777" w:rsidR="00A26900" w:rsidRPr="00A26900" w:rsidRDefault="00A26900" w:rsidP="00A26900">
            <w:pPr>
              <w:widowControl w:val="0"/>
              <w:ind w:firstLine="0"/>
              <w:jc w:val="left"/>
              <w:rPr>
                <w:rFonts w:ascii="PT Astra Serif" w:hAnsi="PT Astra Serif" w:cs="Times New Roman"/>
                <w:sz w:val="20"/>
                <w:szCs w:val="20"/>
              </w:rPr>
            </w:pPr>
            <w:r w:rsidRPr="00A26900">
              <w:rPr>
                <w:rFonts w:ascii="PT Astra Serif" w:hAnsi="PT Astra Serif" w:cs="Times New Roman"/>
                <w:sz w:val="20"/>
                <w:szCs w:val="20"/>
              </w:rPr>
              <w:t xml:space="preserve">Районные МО </w:t>
            </w:r>
          </w:p>
        </w:tc>
        <w:tc>
          <w:tcPr>
            <w:tcW w:w="1240" w:type="dxa"/>
            <w:tcBorders>
              <w:top w:val="single" w:sz="4" w:space="0" w:color="auto"/>
              <w:left w:val="single" w:sz="4" w:space="0" w:color="auto"/>
              <w:bottom w:val="single" w:sz="4" w:space="0" w:color="auto"/>
              <w:right w:val="single" w:sz="4" w:space="0" w:color="auto"/>
            </w:tcBorders>
            <w:vAlign w:val="center"/>
          </w:tcPr>
          <w:p w14:paraId="15129CD2"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1443,5</w:t>
            </w:r>
          </w:p>
        </w:tc>
        <w:tc>
          <w:tcPr>
            <w:tcW w:w="1417" w:type="dxa"/>
            <w:tcBorders>
              <w:top w:val="single" w:sz="4" w:space="0" w:color="auto"/>
              <w:left w:val="single" w:sz="4" w:space="0" w:color="auto"/>
              <w:bottom w:val="single" w:sz="4" w:space="0" w:color="auto"/>
              <w:right w:val="single" w:sz="4" w:space="0" w:color="auto"/>
            </w:tcBorders>
            <w:vAlign w:val="center"/>
          </w:tcPr>
          <w:p w14:paraId="0616D047"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4969,4</w:t>
            </w:r>
          </w:p>
        </w:tc>
        <w:tc>
          <w:tcPr>
            <w:tcW w:w="1558" w:type="dxa"/>
            <w:tcBorders>
              <w:top w:val="single" w:sz="4" w:space="0" w:color="auto"/>
              <w:left w:val="single" w:sz="4" w:space="0" w:color="auto"/>
              <w:bottom w:val="single" w:sz="4" w:space="0" w:color="auto"/>
              <w:right w:val="single" w:sz="4" w:space="0" w:color="auto"/>
            </w:tcBorders>
            <w:vAlign w:val="center"/>
          </w:tcPr>
          <w:p w14:paraId="3440D8CF"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4066,0</w:t>
            </w:r>
          </w:p>
        </w:tc>
        <w:tc>
          <w:tcPr>
            <w:tcW w:w="1450" w:type="dxa"/>
            <w:tcBorders>
              <w:top w:val="single" w:sz="4" w:space="0" w:color="auto"/>
              <w:left w:val="single" w:sz="4" w:space="0" w:color="auto"/>
              <w:bottom w:val="single" w:sz="4" w:space="0" w:color="auto"/>
              <w:right w:val="single" w:sz="4" w:space="0" w:color="auto"/>
            </w:tcBorders>
            <w:vAlign w:val="center"/>
          </w:tcPr>
          <w:p w14:paraId="36CA4CB3"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4833,6</w:t>
            </w:r>
          </w:p>
        </w:tc>
        <w:tc>
          <w:tcPr>
            <w:tcW w:w="849" w:type="dxa"/>
            <w:tcBorders>
              <w:top w:val="single" w:sz="4" w:space="0" w:color="auto"/>
              <w:left w:val="single" w:sz="4" w:space="0" w:color="auto"/>
              <w:bottom w:val="single" w:sz="4" w:space="0" w:color="auto"/>
              <w:right w:val="single" w:sz="4" w:space="0" w:color="auto"/>
            </w:tcBorders>
            <w:vAlign w:val="center"/>
          </w:tcPr>
          <w:p w14:paraId="09ED3E28"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98,1</w:t>
            </w:r>
          </w:p>
        </w:tc>
        <w:tc>
          <w:tcPr>
            <w:tcW w:w="958" w:type="dxa"/>
            <w:tcBorders>
              <w:top w:val="single" w:sz="4" w:space="0" w:color="auto"/>
              <w:left w:val="single" w:sz="4" w:space="0" w:color="auto"/>
              <w:bottom w:val="single" w:sz="4" w:space="0" w:color="auto"/>
              <w:right w:val="single" w:sz="4" w:space="0" w:color="auto"/>
            </w:tcBorders>
            <w:vAlign w:val="center"/>
          </w:tcPr>
          <w:p w14:paraId="6D7630D0" w14:textId="77777777" w:rsidR="00A26900" w:rsidRPr="00A26900" w:rsidRDefault="00A26900" w:rsidP="00A26900">
            <w:pPr>
              <w:widowControl w:val="0"/>
              <w:ind w:firstLine="0"/>
              <w:jc w:val="center"/>
              <w:rPr>
                <w:rFonts w:ascii="PT Astra Serif" w:hAnsi="PT Astra Serif" w:cs="Times New Roman"/>
                <w:sz w:val="20"/>
                <w:szCs w:val="20"/>
              </w:rPr>
            </w:pPr>
            <w:r w:rsidRPr="00A26900">
              <w:rPr>
                <w:rFonts w:ascii="PT Astra Serif" w:hAnsi="PT Astra Serif" w:cs="Times New Roman"/>
                <w:sz w:val="20"/>
                <w:szCs w:val="20"/>
              </w:rPr>
              <w:t>97,3</w:t>
            </w:r>
          </w:p>
        </w:tc>
      </w:tr>
      <w:tr w:rsidR="00A26900" w:rsidRPr="00A26900" w14:paraId="3FA8021E" w14:textId="77777777" w:rsidTr="00A26900">
        <w:tc>
          <w:tcPr>
            <w:tcW w:w="1872" w:type="dxa"/>
            <w:tcBorders>
              <w:top w:val="single" w:sz="4" w:space="0" w:color="auto"/>
              <w:left w:val="single" w:sz="4" w:space="0" w:color="auto"/>
              <w:bottom w:val="single" w:sz="4" w:space="0" w:color="auto"/>
              <w:right w:val="single" w:sz="4" w:space="0" w:color="auto"/>
            </w:tcBorders>
            <w:hideMark/>
          </w:tcPr>
          <w:p w14:paraId="08164B18" w14:textId="77777777" w:rsidR="00A26900" w:rsidRPr="00A26900" w:rsidRDefault="00A26900" w:rsidP="00A26900">
            <w:pPr>
              <w:widowControl w:val="0"/>
              <w:ind w:firstLine="0"/>
              <w:jc w:val="left"/>
              <w:rPr>
                <w:rFonts w:ascii="PT Astra Serif" w:hAnsi="PT Astra Serif" w:cs="Times New Roman"/>
                <w:b/>
                <w:sz w:val="20"/>
                <w:szCs w:val="20"/>
              </w:rPr>
            </w:pPr>
            <w:r w:rsidRPr="00A26900">
              <w:rPr>
                <w:rFonts w:ascii="PT Astra Serif" w:hAnsi="PT Astra Serif" w:cs="Times New Roman"/>
                <w:b/>
                <w:sz w:val="20"/>
                <w:szCs w:val="20"/>
              </w:rPr>
              <w:t>Итого</w:t>
            </w:r>
          </w:p>
        </w:tc>
        <w:tc>
          <w:tcPr>
            <w:tcW w:w="1240" w:type="dxa"/>
            <w:tcBorders>
              <w:top w:val="single" w:sz="4" w:space="0" w:color="auto"/>
              <w:left w:val="single" w:sz="4" w:space="0" w:color="auto"/>
              <w:bottom w:val="single" w:sz="4" w:space="0" w:color="auto"/>
              <w:right w:val="single" w:sz="4" w:space="0" w:color="auto"/>
            </w:tcBorders>
            <w:vAlign w:val="center"/>
          </w:tcPr>
          <w:p w14:paraId="5A4B8FEA"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17407,1</w:t>
            </w:r>
          </w:p>
        </w:tc>
        <w:tc>
          <w:tcPr>
            <w:tcW w:w="1417" w:type="dxa"/>
            <w:tcBorders>
              <w:top w:val="single" w:sz="4" w:space="0" w:color="auto"/>
              <w:left w:val="single" w:sz="4" w:space="0" w:color="auto"/>
              <w:bottom w:val="single" w:sz="4" w:space="0" w:color="auto"/>
              <w:right w:val="single" w:sz="4" w:space="0" w:color="auto"/>
            </w:tcBorders>
            <w:vAlign w:val="center"/>
          </w:tcPr>
          <w:p w14:paraId="1FDCE6B1"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20486,9</w:t>
            </w:r>
          </w:p>
        </w:tc>
        <w:tc>
          <w:tcPr>
            <w:tcW w:w="1558" w:type="dxa"/>
            <w:tcBorders>
              <w:top w:val="single" w:sz="4" w:space="0" w:color="auto"/>
              <w:left w:val="single" w:sz="4" w:space="0" w:color="auto"/>
              <w:bottom w:val="single" w:sz="4" w:space="0" w:color="auto"/>
              <w:right w:val="single" w:sz="4" w:space="0" w:color="auto"/>
            </w:tcBorders>
            <w:vAlign w:val="center"/>
          </w:tcPr>
          <w:p w14:paraId="788AD03E"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17247,5</w:t>
            </w:r>
          </w:p>
        </w:tc>
        <w:tc>
          <w:tcPr>
            <w:tcW w:w="1450" w:type="dxa"/>
            <w:tcBorders>
              <w:top w:val="single" w:sz="4" w:space="0" w:color="auto"/>
              <w:left w:val="single" w:sz="4" w:space="0" w:color="auto"/>
              <w:bottom w:val="single" w:sz="4" w:space="0" w:color="auto"/>
              <w:right w:val="single" w:sz="4" w:space="0" w:color="auto"/>
            </w:tcBorders>
            <w:vAlign w:val="center"/>
          </w:tcPr>
          <w:p w14:paraId="0063C05B"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20231,1</w:t>
            </w:r>
          </w:p>
        </w:tc>
        <w:tc>
          <w:tcPr>
            <w:tcW w:w="849" w:type="dxa"/>
            <w:tcBorders>
              <w:top w:val="single" w:sz="4" w:space="0" w:color="auto"/>
              <w:left w:val="single" w:sz="4" w:space="0" w:color="auto"/>
              <w:bottom w:val="single" w:sz="4" w:space="0" w:color="auto"/>
              <w:right w:val="single" w:sz="4" w:space="0" w:color="auto"/>
            </w:tcBorders>
            <w:vAlign w:val="center"/>
          </w:tcPr>
          <w:p w14:paraId="0DD710D8"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99,1</w:t>
            </w:r>
          </w:p>
        </w:tc>
        <w:tc>
          <w:tcPr>
            <w:tcW w:w="958" w:type="dxa"/>
            <w:tcBorders>
              <w:top w:val="single" w:sz="4" w:space="0" w:color="auto"/>
              <w:left w:val="single" w:sz="4" w:space="0" w:color="auto"/>
              <w:bottom w:val="single" w:sz="4" w:space="0" w:color="auto"/>
              <w:right w:val="single" w:sz="4" w:space="0" w:color="auto"/>
            </w:tcBorders>
            <w:vAlign w:val="center"/>
          </w:tcPr>
          <w:p w14:paraId="0EADE146" w14:textId="77777777" w:rsidR="00A26900" w:rsidRPr="00A26900" w:rsidRDefault="00A26900" w:rsidP="00A26900">
            <w:pPr>
              <w:widowControl w:val="0"/>
              <w:ind w:firstLine="0"/>
              <w:jc w:val="center"/>
              <w:rPr>
                <w:rFonts w:ascii="PT Astra Serif" w:hAnsi="PT Astra Serif" w:cs="Times New Roman"/>
                <w:b/>
                <w:sz w:val="20"/>
                <w:szCs w:val="20"/>
              </w:rPr>
            </w:pPr>
            <w:r w:rsidRPr="00A26900">
              <w:rPr>
                <w:rFonts w:ascii="PT Astra Serif" w:hAnsi="PT Astra Serif" w:cs="Times New Roman"/>
                <w:b/>
                <w:sz w:val="20"/>
                <w:szCs w:val="20"/>
              </w:rPr>
              <w:t>98,8</w:t>
            </w:r>
          </w:p>
        </w:tc>
      </w:tr>
    </w:tbl>
    <w:p w14:paraId="22838DC5" w14:textId="31D7AFEF" w:rsidR="00A26900" w:rsidRDefault="00A26900" w:rsidP="009B14F6">
      <w:pPr>
        <w:widowControl w:val="0"/>
        <w:rPr>
          <w:rFonts w:ascii="PT Astra Serif" w:hAnsi="PT Astra Serif" w:cs="Times New Roman"/>
          <w:sz w:val="20"/>
          <w:szCs w:val="20"/>
        </w:rPr>
      </w:pPr>
    </w:p>
    <w:p w14:paraId="0D2BD00A"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Наибольшее увеличение финансового обеспечения произошло по областным медицинским организациям на 1 215,8 млн рублей, по государственным медицинским организациям г. Ульяновска на 1 000,2 млн рублей, по районным учреждениям здравоохранения на 767,6 млн рублей.</w:t>
      </w:r>
    </w:p>
    <w:p w14:paraId="64D8D16B" w14:textId="77777777" w:rsidR="002A207B" w:rsidRPr="002A207B" w:rsidRDefault="002A207B" w:rsidP="002A207B">
      <w:pPr>
        <w:widowControl w:val="0"/>
        <w:shd w:val="clear" w:color="auto" w:fill="FFFFFF"/>
        <w:autoSpaceDE w:val="0"/>
        <w:autoSpaceDN w:val="0"/>
        <w:rPr>
          <w:rFonts w:ascii="PT Astra Serif" w:hAnsi="PT Astra Serif" w:cs="Arial"/>
          <w:szCs w:val="28"/>
        </w:rPr>
      </w:pPr>
      <w:r w:rsidRPr="002A207B">
        <w:rPr>
          <w:rFonts w:ascii="PT Astra Serif" w:hAnsi="PT Astra Serif" w:cs="Arial"/>
          <w:szCs w:val="28"/>
        </w:rPr>
        <w:t xml:space="preserve">В том числе, медицинские организации, имеющие прикрепившихся лиц, оплата медицинской помощи в которых осуществляется по </w:t>
      </w:r>
      <w:proofErr w:type="spellStart"/>
      <w:r w:rsidRPr="002A207B">
        <w:rPr>
          <w:rFonts w:ascii="PT Astra Serif" w:hAnsi="PT Astra Serif" w:cs="Arial"/>
          <w:szCs w:val="28"/>
        </w:rPr>
        <w:t>подушевому</w:t>
      </w:r>
      <w:proofErr w:type="spellEnd"/>
      <w:r w:rsidRPr="002A207B">
        <w:rPr>
          <w:rFonts w:ascii="PT Astra Serif" w:hAnsi="PT Astra Serif" w:cs="Arial"/>
          <w:szCs w:val="28"/>
        </w:rPr>
        <w:t xml:space="preserve"> нормативу финансирования на прикрепившихся лиц с учетом показателей результативности деятельности медицинской организации, имеют </w:t>
      </w:r>
      <w:r w:rsidRPr="002A207B">
        <w:rPr>
          <w:rFonts w:ascii="PT Astra Serif" w:hAnsi="PT Astra Serif" w:cs="Arial"/>
          <w:szCs w:val="28"/>
        </w:rPr>
        <w:lastRenderedPageBreak/>
        <w:t xml:space="preserve">возможность получить выплаты стимулирующего характера в части </w:t>
      </w:r>
      <w:proofErr w:type="spellStart"/>
      <w:r w:rsidRPr="002A207B">
        <w:rPr>
          <w:rFonts w:ascii="PT Astra Serif" w:hAnsi="PT Astra Serif" w:cs="Arial"/>
          <w:szCs w:val="28"/>
        </w:rPr>
        <w:t>подушевого</w:t>
      </w:r>
      <w:proofErr w:type="spellEnd"/>
      <w:r w:rsidRPr="002A207B">
        <w:rPr>
          <w:rFonts w:ascii="PT Astra Serif" w:hAnsi="PT Astra Serif" w:cs="Arial"/>
          <w:szCs w:val="28"/>
        </w:rPr>
        <w:t xml:space="preserve"> финансирования по итогам результатов оценки показателей результативности (включая показатели объема медицинской помощи).</w:t>
      </w:r>
    </w:p>
    <w:p w14:paraId="6CE6E224" w14:textId="77777777" w:rsidR="002A207B" w:rsidRPr="002A207B" w:rsidRDefault="002A207B" w:rsidP="002A207B">
      <w:pPr>
        <w:widowControl w:val="0"/>
        <w:shd w:val="clear" w:color="auto" w:fill="FFFFFF"/>
        <w:autoSpaceDE w:val="0"/>
        <w:autoSpaceDN w:val="0"/>
        <w:rPr>
          <w:rFonts w:ascii="PT Astra Serif" w:hAnsi="PT Astra Serif" w:cs="Arial"/>
          <w:b/>
          <w:szCs w:val="28"/>
        </w:rPr>
      </w:pPr>
      <w:r w:rsidRPr="002A207B">
        <w:rPr>
          <w:rFonts w:ascii="PT Astra Serif" w:eastAsia="Calibri" w:hAnsi="PT Astra Serif" w:cs="Times New Roman"/>
          <w:szCs w:val="28"/>
        </w:rPr>
        <w:t>В соответствии с Тарифным соглашением в системе обязательного медицинского страхования Ульяновской области на 2025 год и Протоколом заседания Комиссии по разработке территориальной программы обязательного медицинского страхования в Ульяновской области от 18.12.2025 года № 178, в</w:t>
      </w:r>
      <w:r w:rsidRPr="002A207B">
        <w:rPr>
          <w:rFonts w:ascii="PT Astra Serif" w:hAnsi="PT Astra Serif" w:cs="Arial"/>
          <w:szCs w:val="28"/>
        </w:rPr>
        <w:t xml:space="preserve">ыплаты стимулирующего характера по итогам оценки достижения значений </w:t>
      </w:r>
      <w:r w:rsidRPr="002A207B">
        <w:rPr>
          <w:rFonts w:ascii="PT Astra Serif" w:hAnsi="PT Astra Serif" w:cs="Arial"/>
          <w:b/>
          <w:szCs w:val="28"/>
        </w:rPr>
        <w:t>показателей результативности</w:t>
      </w:r>
      <w:r w:rsidRPr="002A207B">
        <w:rPr>
          <w:rFonts w:ascii="PT Astra Serif" w:hAnsi="PT Astra Serif" w:cs="Arial"/>
          <w:szCs w:val="28"/>
        </w:rPr>
        <w:t xml:space="preserve"> направлены в рамках </w:t>
      </w:r>
      <w:proofErr w:type="spellStart"/>
      <w:r w:rsidRPr="002A207B">
        <w:rPr>
          <w:rFonts w:ascii="PT Astra Serif" w:hAnsi="PT Astra Serif" w:cs="Arial"/>
          <w:szCs w:val="28"/>
        </w:rPr>
        <w:t>подушевого</w:t>
      </w:r>
      <w:proofErr w:type="spellEnd"/>
      <w:r w:rsidRPr="002A207B">
        <w:rPr>
          <w:rFonts w:ascii="PT Astra Serif" w:hAnsi="PT Astra Serif" w:cs="Arial"/>
          <w:szCs w:val="28"/>
        </w:rPr>
        <w:t xml:space="preserve"> финансирования в медицинские организации в декабре 2025 года в размере </w:t>
      </w:r>
      <w:r w:rsidRPr="002A207B">
        <w:rPr>
          <w:rFonts w:ascii="PT Astra Serif" w:hAnsi="PT Astra Serif" w:cs="Arial"/>
          <w:b/>
          <w:szCs w:val="28"/>
        </w:rPr>
        <w:t>147,8 млн рублей.</w:t>
      </w:r>
    </w:p>
    <w:p w14:paraId="707E6AF9" w14:textId="77777777" w:rsidR="002A207B" w:rsidRPr="002A207B" w:rsidRDefault="002A207B" w:rsidP="002A207B">
      <w:pPr>
        <w:widowControl w:val="0"/>
        <w:shd w:val="clear" w:color="auto" w:fill="FFFFFF"/>
        <w:autoSpaceDE w:val="0"/>
        <w:autoSpaceDN w:val="0"/>
        <w:rPr>
          <w:rFonts w:ascii="PT Astra Serif" w:hAnsi="PT Astra Serif" w:cs="Arial"/>
          <w:b/>
          <w:szCs w:val="28"/>
        </w:rPr>
      </w:pPr>
      <w:r w:rsidRPr="002A207B">
        <w:rPr>
          <w:rFonts w:ascii="PT Astra Serif" w:hAnsi="PT Astra Serif" w:cs="Times New Roman"/>
          <w:szCs w:val="28"/>
        </w:rPr>
        <w:t>Кроме того, в медицинские организации направлены дополнительные средства для оплаты выполненных объёмов медицинской</w:t>
      </w:r>
      <w:r w:rsidRPr="002A207B">
        <w:rPr>
          <w:rFonts w:ascii="PT Astra Serif" w:hAnsi="PT Astra Serif" w:cs="Times New Roman"/>
          <w:spacing w:val="40"/>
          <w:szCs w:val="28"/>
        </w:rPr>
        <w:t xml:space="preserve"> </w:t>
      </w:r>
      <w:r w:rsidRPr="002A207B">
        <w:rPr>
          <w:rFonts w:ascii="PT Astra Serif" w:hAnsi="PT Astra Serif" w:cs="Times New Roman"/>
          <w:szCs w:val="28"/>
        </w:rPr>
        <w:t>помощи, предъявленных</w:t>
      </w:r>
      <w:r w:rsidRPr="002A207B">
        <w:rPr>
          <w:rFonts w:ascii="PT Astra Serif" w:hAnsi="PT Astra Serif" w:cs="Times New Roman"/>
          <w:spacing w:val="40"/>
          <w:szCs w:val="28"/>
        </w:rPr>
        <w:t xml:space="preserve"> </w:t>
      </w:r>
      <w:r w:rsidRPr="002A207B">
        <w:rPr>
          <w:rFonts w:ascii="PT Astra Serif" w:hAnsi="PT Astra Serif" w:cs="Times New Roman"/>
          <w:szCs w:val="28"/>
        </w:rPr>
        <w:t>к оплате</w:t>
      </w:r>
      <w:r w:rsidRPr="002A207B">
        <w:rPr>
          <w:rFonts w:ascii="PT Astra Serif" w:hAnsi="PT Astra Serif" w:cs="Times New Roman"/>
          <w:spacing w:val="-17"/>
          <w:szCs w:val="28"/>
        </w:rPr>
        <w:t xml:space="preserve"> </w:t>
      </w:r>
      <w:r w:rsidRPr="002A207B">
        <w:rPr>
          <w:rFonts w:ascii="PT Astra Serif" w:hAnsi="PT Astra Serif" w:cs="Times New Roman"/>
          <w:szCs w:val="28"/>
        </w:rPr>
        <w:t>сверх распределенного объема предоставления медицинской</w:t>
      </w:r>
      <w:r w:rsidRPr="002A207B">
        <w:rPr>
          <w:rFonts w:ascii="PT Astra Serif" w:hAnsi="PT Astra Serif" w:cs="Times New Roman"/>
          <w:spacing w:val="40"/>
          <w:szCs w:val="28"/>
        </w:rPr>
        <w:t xml:space="preserve"> </w:t>
      </w:r>
      <w:r w:rsidRPr="002A207B">
        <w:rPr>
          <w:rFonts w:ascii="PT Astra Serif" w:hAnsi="PT Astra Serif" w:cs="Times New Roman"/>
          <w:szCs w:val="28"/>
        </w:rPr>
        <w:t>помощи,</w:t>
      </w:r>
      <w:r w:rsidRPr="002A207B">
        <w:rPr>
          <w:rFonts w:ascii="PT Astra Serif" w:hAnsi="PT Astra Serif" w:cs="Times New Roman"/>
          <w:spacing w:val="40"/>
          <w:szCs w:val="28"/>
        </w:rPr>
        <w:t xml:space="preserve"> </w:t>
      </w:r>
      <w:r w:rsidRPr="002A207B">
        <w:rPr>
          <w:rFonts w:ascii="PT Astra Serif" w:hAnsi="PT Astra Serif" w:cs="Times New Roman"/>
          <w:szCs w:val="28"/>
        </w:rPr>
        <w:t>установленного</w:t>
      </w:r>
      <w:r w:rsidRPr="002A207B">
        <w:rPr>
          <w:rFonts w:ascii="PT Astra Serif" w:hAnsi="PT Astra Serif" w:cs="Times New Roman"/>
          <w:spacing w:val="40"/>
          <w:szCs w:val="28"/>
        </w:rPr>
        <w:t xml:space="preserve"> </w:t>
      </w:r>
      <w:r w:rsidRPr="002A207B">
        <w:rPr>
          <w:rFonts w:ascii="PT Astra Serif" w:hAnsi="PT Astra Serif" w:cs="Times New Roman"/>
          <w:szCs w:val="28"/>
        </w:rPr>
        <w:t>медицинским</w:t>
      </w:r>
      <w:r w:rsidRPr="002A207B">
        <w:rPr>
          <w:rFonts w:ascii="PT Astra Serif" w:hAnsi="PT Astra Serif" w:cs="Times New Roman"/>
          <w:spacing w:val="40"/>
          <w:szCs w:val="28"/>
        </w:rPr>
        <w:t xml:space="preserve"> </w:t>
      </w:r>
      <w:r w:rsidRPr="002A207B">
        <w:rPr>
          <w:rFonts w:ascii="PT Astra Serif" w:hAnsi="PT Astra Serif" w:cs="Times New Roman"/>
          <w:szCs w:val="28"/>
        </w:rPr>
        <w:t>организациям</w:t>
      </w:r>
      <w:r w:rsidRPr="002A207B">
        <w:rPr>
          <w:rFonts w:ascii="PT Astra Serif" w:hAnsi="PT Astra Serif" w:cs="Times New Roman"/>
          <w:spacing w:val="40"/>
          <w:szCs w:val="28"/>
        </w:rPr>
        <w:t xml:space="preserve"> </w:t>
      </w:r>
      <w:r w:rsidRPr="002A207B">
        <w:rPr>
          <w:rFonts w:ascii="PT Astra Serif" w:hAnsi="PT Astra Serif" w:cs="Times New Roman"/>
          <w:spacing w:val="40"/>
          <w:szCs w:val="28"/>
        </w:rPr>
        <w:br/>
      </w:r>
      <w:r w:rsidRPr="002A207B">
        <w:rPr>
          <w:rFonts w:ascii="PT Astra Serif" w:hAnsi="PT Astra Serif" w:cs="Times New Roman"/>
          <w:szCs w:val="28"/>
        </w:rPr>
        <w:t>в соответствии</w:t>
      </w:r>
      <w:r w:rsidRPr="002A207B">
        <w:rPr>
          <w:rFonts w:ascii="PT Astra Serif" w:hAnsi="PT Astra Serif" w:cs="Times New Roman"/>
          <w:spacing w:val="40"/>
          <w:szCs w:val="28"/>
        </w:rPr>
        <w:t xml:space="preserve"> </w:t>
      </w:r>
      <w:r w:rsidRPr="002A207B">
        <w:rPr>
          <w:rFonts w:ascii="PT Astra Serif" w:hAnsi="PT Astra Serif" w:cs="Times New Roman"/>
          <w:szCs w:val="28"/>
        </w:rPr>
        <w:t>с</w:t>
      </w:r>
      <w:r w:rsidRPr="002A207B">
        <w:rPr>
          <w:rFonts w:ascii="PT Astra Serif" w:hAnsi="PT Astra Serif" w:cs="Times New Roman"/>
          <w:spacing w:val="40"/>
          <w:szCs w:val="28"/>
        </w:rPr>
        <w:t xml:space="preserve"> </w:t>
      </w:r>
      <w:r w:rsidRPr="002A207B">
        <w:rPr>
          <w:rFonts w:ascii="PT Astra Serif" w:hAnsi="PT Astra Serif" w:cs="Times New Roman"/>
          <w:szCs w:val="28"/>
        </w:rPr>
        <w:t>законодательством</w:t>
      </w:r>
      <w:r w:rsidRPr="002A207B">
        <w:rPr>
          <w:rFonts w:ascii="PT Astra Serif" w:hAnsi="PT Astra Serif" w:cs="Times New Roman"/>
          <w:spacing w:val="38"/>
          <w:szCs w:val="28"/>
        </w:rPr>
        <w:t xml:space="preserve"> </w:t>
      </w:r>
      <w:r w:rsidRPr="002A207B">
        <w:rPr>
          <w:rFonts w:ascii="PT Astra Serif" w:hAnsi="PT Astra Serif" w:cs="Times New Roman"/>
          <w:szCs w:val="28"/>
        </w:rPr>
        <w:t>об</w:t>
      </w:r>
      <w:r w:rsidRPr="002A207B">
        <w:rPr>
          <w:rFonts w:ascii="PT Astra Serif" w:hAnsi="PT Astra Serif" w:cs="Times New Roman"/>
          <w:spacing w:val="40"/>
          <w:szCs w:val="28"/>
        </w:rPr>
        <w:t xml:space="preserve"> </w:t>
      </w:r>
      <w:r w:rsidRPr="002A207B">
        <w:rPr>
          <w:rFonts w:ascii="PT Astra Serif" w:hAnsi="PT Astra Serif" w:cs="Times New Roman"/>
          <w:szCs w:val="28"/>
        </w:rPr>
        <w:t>обязательном</w:t>
      </w:r>
      <w:r w:rsidRPr="002A207B">
        <w:rPr>
          <w:rFonts w:ascii="PT Astra Serif" w:hAnsi="PT Astra Serif" w:cs="Times New Roman"/>
          <w:spacing w:val="80"/>
          <w:szCs w:val="28"/>
        </w:rPr>
        <w:t xml:space="preserve"> </w:t>
      </w:r>
      <w:r w:rsidRPr="002A207B">
        <w:rPr>
          <w:rFonts w:ascii="PT Astra Serif" w:hAnsi="PT Astra Serif" w:cs="Times New Roman"/>
          <w:szCs w:val="28"/>
        </w:rPr>
        <w:t>медицинском</w:t>
      </w:r>
      <w:r w:rsidRPr="002A207B">
        <w:rPr>
          <w:rFonts w:ascii="PT Astra Serif" w:hAnsi="PT Astra Serif" w:cs="Times New Roman"/>
          <w:spacing w:val="40"/>
          <w:szCs w:val="28"/>
        </w:rPr>
        <w:t xml:space="preserve"> </w:t>
      </w:r>
      <w:r w:rsidRPr="002A207B">
        <w:rPr>
          <w:rFonts w:ascii="PT Astra Serif" w:hAnsi="PT Astra Serif" w:cs="Times New Roman"/>
          <w:szCs w:val="28"/>
        </w:rPr>
        <w:t xml:space="preserve">страховании в размере </w:t>
      </w:r>
      <w:r w:rsidRPr="002A207B">
        <w:rPr>
          <w:rFonts w:ascii="PT Astra Serif" w:hAnsi="PT Astra Serif" w:cs="Times New Roman"/>
          <w:b/>
          <w:szCs w:val="28"/>
        </w:rPr>
        <w:t>117,3 млн рублей.</w:t>
      </w:r>
    </w:p>
    <w:p w14:paraId="3CDAC1E0" w14:textId="77777777" w:rsidR="002A207B" w:rsidRPr="002A207B" w:rsidRDefault="002A207B" w:rsidP="002A207B">
      <w:pPr>
        <w:widowControl w:val="0"/>
        <w:autoSpaceDE w:val="0"/>
        <w:autoSpaceDN w:val="0"/>
        <w:rPr>
          <w:rFonts w:ascii="PT Astra Serif" w:hAnsi="PT Astra Serif" w:cs="Arial"/>
          <w:szCs w:val="28"/>
        </w:rPr>
      </w:pPr>
      <w:r w:rsidRPr="002A207B">
        <w:rPr>
          <w:rFonts w:ascii="PT Astra Serif" w:hAnsi="PT Astra Serif" w:cs="Times New Roman"/>
          <w:szCs w:val="28"/>
        </w:rPr>
        <w:t>В ходе реализации Территориальной программы государственных гарантий Ульяновской области на 2025 год медицинские организации также оказывают медицинскую помощь иногородним гражданам, застрахованным в иных регионах Российской Федерации.</w:t>
      </w:r>
    </w:p>
    <w:p w14:paraId="2F4C8C1D"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Финансирование медицинских организаций </w:t>
      </w:r>
      <w:r w:rsidRPr="002A207B">
        <w:rPr>
          <w:rFonts w:ascii="PT Astra Serif" w:hAnsi="PT Astra Serif" w:cs="Times New Roman"/>
          <w:b/>
          <w:szCs w:val="28"/>
        </w:rPr>
        <w:t>за пролеченных иногородних граждан</w:t>
      </w:r>
      <w:r w:rsidRPr="002A207B">
        <w:rPr>
          <w:rFonts w:ascii="PT Astra Serif" w:hAnsi="PT Astra Serif" w:cs="Times New Roman"/>
          <w:szCs w:val="28"/>
        </w:rPr>
        <w:t xml:space="preserve"> за 2025 год составило 209,9 млн рублей, что на 31,1 млн рублей, или на 17,4%, больше, чем за аналогичный период 2024 года (178,8 млн рублей).</w:t>
      </w:r>
    </w:p>
    <w:p w14:paraId="26A7F0EE"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Также</w:t>
      </w:r>
      <w:r w:rsidRPr="002A207B">
        <w:rPr>
          <w:rFonts w:ascii="PT Astra Serif" w:eastAsia="Calibri" w:hAnsi="PT Astra Serif" w:cs="Times New Roman"/>
          <w:szCs w:val="28"/>
        </w:rPr>
        <w:t>, за прошедший период 2025 года медицинские организации получили финансирование по следующим видам целевых средств:</w:t>
      </w:r>
    </w:p>
    <w:p w14:paraId="13D29D60"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средства нормированного страхового запаса территориального фонда обязательного медицинского страхования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 (</w:t>
      </w:r>
      <w:r w:rsidRPr="002A207B">
        <w:rPr>
          <w:rFonts w:ascii="PT Astra Serif" w:hAnsi="PT Astra Serif" w:cs="Times New Roman"/>
          <w:szCs w:val="28"/>
        </w:rPr>
        <w:t>37</w:t>
      </w:r>
      <w:r w:rsidRPr="002A207B">
        <w:rPr>
          <w:rFonts w:ascii="PT Astra Serif" w:hAnsi="PT Astra Serif" w:cs="Times New Roman"/>
          <w:szCs w:val="28"/>
          <w:shd w:val="clear" w:color="auto" w:fill="FFFFFF"/>
        </w:rPr>
        <w:t>,07 млн рублей)</w:t>
      </w:r>
      <w:r w:rsidRPr="002A207B">
        <w:rPr>
          <w:rFonts w:ascii="PT Astra Serif" w:eastAsia="Calibri" w:hAnsi="PT Astra Serif" w:cs="Times New Roman"/>
          <w:szCs w:val="28"/>
        </w:rPr>
        <w:t>;</w:t>
      </w:r>
    </w:p>
    <w:p w14:paraId="11EC2739"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 xml:space="preserve">средства нормированного страхового запаса территориального фонда обязательного медицинского страхования для </w:t>
      </w:r>
      <w:proofErr w:type="spellStart"/>
      <w:r w:rsidRPr="002A207B">
        <w:rPr>
          <w:rFonts w:ascii="PT Astra Serif" w:eastAsia="Calibri" w:hAnsi="PT Astra Serif" w:cs="Times New Roman"/>
          <w:szCs w:val="28"/>
        </w:rPr>
        <w:t>софинансирования</w:t>
      </w:r>
      <w:proofErr w:type="spellEnd"/>
      <w:r w:rsidRPr="002A207B">
        <w:rPr>
          <w:rFonts w:ascii="PT Astra Serif" w:eastAsia="Calibri" w:hAnsi="PT Astra Serif" w:cs="Times New Roman"/>
          <w:szCs w:val="28"/>
        </w:rPr>
        <w:t xml:space="preserve"> расходов медицинских организаций на оплату труда врачей и среднего медицинского персонала (27,69 млн рублей);</w:t>
      </w:r>
    </w:p>
    <w:p w14:paraId="2BA963CA"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 xml:space="preserve">средства на </w:t>
      </w:r>
      <w:r w:rsidRPr="002A207B">
        <w:rPr>
          <w:rFonts w:ascii="PT Astra Serif" w:eastAsia="Calibri" w:hAnsi="PT Astra Serif" w:cs="Times New Roman"/>
          <w:bCs/>
          <w:szCs w:val="28"/>
        </w:rPr>
        <w:t xml:space="preserve">финансовое обеспечение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w:t>
      </w:r>
      <w:r w:rsidRPr="002A207B">
        <w:rPr>
          <w:rFonts w:ascii="PT Astra Serif" w:eastAsia="Calibri" w:hAnsi="PT Astra Serif" w:cs="Times New Roman"/>
          <w:bCs/>
          <w:szCs w:val="28"/>
        </w:rPr>
        <w:br/>
        <w:t>и профилактических медицинских осмотров населения (</w:t>
      </w:r>
      <w:r w:rsidRPr="002A207B">
        <w:rPr>
          <w:rFonts w:ascii="PT Astra Serif" w:hAnsi="PT Astra Serif" w:cs="Times New Roman"/>
          <w:spacing w:val="-2"/>
          <w:szCs w:val="28"/>
        </w:rPr>
        <w:t>697,7 тыс. рублей)</w:t>
      </w:r>
      <w:r w:rsidRPr="002A207B">
        <w:rPr>
          <w:rFonts w:ascii="PT Astra Serif" w:eastAsia="Calibri" w:hAnsi="PT Astra Serif" w:cs="Times New Roman"/>
          <w:szCs w:val="28"/>
        </w:rPr>
        <w:t xml:space="preserve">. </w:t>
      </w:r>
    </w:p>
    <w:p w14:paraId="1C660B0F" w14:textId="77777777" w:rsidR="002A207B" w:rsidRPr="002A207B" w:rsidRDefault="002A207B" w:rsidP="002A207B">
      <w:pPr>
        <w:widowControl w:val="0"/>
        <w:rPr>
          <w:rFonts w:ascii="PT Astra Serif" w:hAnsi="PT Astra Serif" w:cs="Times New Roman"/>
          <w:b/>
          <w:szCs w:val="28"/>
        </w:rPr>
      </w:pPr>
      <w:r w:rsidRPr="002A207B">
        <w:rPr>
          <w:rFonts w:ascii="PT Astra Serif" w:eastAsia="Calibri" w:hAnsi="PT Astra Serif" w:cs="Times New Roman"/>
          <w:szCs w:val="28"/>
        </w:rPr>
        <w:t xml:space="preserve">В 2025 году реализован </w:t>
      </w:r>
      <w:r w:rsidRPr="002A207B">
        <w:rPr>
          <w:rFonts w:ascii="PT Astra Serif" w:eastAsia="Calibri" w:hAnsi="PT Astra Serif" w:cs="Times New Roman"/>
          <w:b/>
          <w:szCs w:val="28"/>
        </w:rPr>
        <w:t xml:space="preserve">Территориальный план </w:t>
      </w:r>
      <w:r w:rsidRPr="002A207B">
        <w:rPr>
          <w:rFonts w:ascii="PT Astra Serif" w:hAnsi="PT Astra Serif" w:cs="Times New Roman"/>
          <w:b/>
          <w:szCs w:val="28"/>
        </w:rPr>
        <w:t xml:space="preserve">мероприятий по </w:t>
      </w:r>
      <w:r w:rsidRPr="002A207B">
        <w:rPr>
          <w:rFonts w:ascii="PT Astra Serif" w:eastAsia="Calibri" w:hAnsi="PT Astra Serif" w:cs="Times New Roman"/>
          <w:b/>
          <w:szCs w:val="28"/>
        </w:rPr>
        <w:t xml:space="preserve">организации дополнительного профессионального образования медицинских работников по программам повышения квалификации, </w:t>
      </w:r>
      <w:r w:rsidRPr="002A207B">
        <w:rPr>
          <w:rFonts w:ascii="PT Astra Serif" w:eastAsia="Calibri" w:hAnsi="PT Astra Serif" w:cs="Times New Roman"/>
          <w:b/>
          <w:szCs w:val="28"/>
        </w:rPr>
        <w:br/>
        <w:t xml:space="preserve">а также по приобретению и проведению ремонта медицинского </w:t>
      </w:r>
      <w:r w:rsidRPr="002A207B">
        <w:rPr>
          <w:rFonts w:ascii="PT Astra Serif" w:eastAsia="Calibri" w:hAnsi="PT Astra Serif" w:cs="Times New Roman"/>
          <w:b/>
          <w:szCs w:val="28"/>
        </w:rPr>
        <w:lastRenderedPageBreak/>
        <w:t>оборудования за счет средств нормированного страхового запаса</w:t>
      </w:r>
      <w:r w:rsidRPr="002A207B">
        <w:rPr>
          <w:rFonts w:ascii="PT Astra Serif" w:eastAsia="Calibri" w:hAnsi="PT Astra Serif" w:cs="Times New Roman"/>
          <w:szCs w:val="28"/>
        </w:rPr>
        <w:t xml:space="preserve"> </w:t>
      </w:r>
      <w:r w:rsidRPr="002A207B">
        <w:rPr>
          <w:rFonts w:ascii="PT Astra Serif" w:eastAsia="Calibri" w:hAnsi="PT Astra Serif" w:cs="Times New Roman"/>
          <w:b/>
          <w:szCs w:val="28"/>
        </w:rPr>
        <w:t xml:space="preserve">ТФОМС Ульяновской области. </w:t>
      </w:r>
    </w:p>
    <w:p w14:paraId="11C30DA7" w14:textId="77777777" w:rsidR="002A207B" w:rsidRPr="002A207B" w:rsidRDefault="002A207B" w:rsidP="002A207B">
      <w:pPr>
        <w:widowControl w:val="0"/>
        <w:shd w:val="clear" w:color="auto" w:fill="FFFFFF"/>
        <w:rPr>
          <w:rFonts w:ascii="PT Astra Serif" w:hAnsi="PT Astra Serif" w:cs="Times New Roman"/>
          <w:szCs w:val="28"/>
        </w:rPr>
      </w:pPr>
      <w:r w:rsidRPr="002A207B">
        <w:rPr>
          <w:rFonts w:ascii="PT Astra Serif" w:hAnsi="PT Astra Serif" w:cs="Times New Roman"/>
          <w:szCs w:val="28"/>
        </w:rPr>
        <w:t xml:space="preserve">В 2025 году в соответствии с Территориальным планом на основании представленных заявок на перечисление средств в медицинские организации были направлены средства нормированного страхового запаса ТФОМС Ульяновской области на финансирование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 в общем размере – </w:t>
      </w:r>
      <w:r w:rsidRPr="002A207B">
        <w:rPr>
          <w:rFonts w:ascii="PT Astra Serif" w:hAnsi="PT Astra Serif" w:cs="Times New Roman"/>
          <w:b/>
          <w:szCs w:val="28"/>
        </w:rPr>
        <w:t>37</w:t>
      </w:r>
      <w:r w:rsidRPr="002A207B">
        <w:rPr>
          <w:rFonts w:ascii="PT Astra Serif" w:hAnsi="PT Astra Serif" w:cs="Times New Roman"/>
          <w:b/>
          <w:szCs w:val="28"/>
          <w:shd w:val="clear" w:color="auto" w:fill="FFFFFF"/>
        </w:rPr>
        <w:t>,07 млн рублей,</w:t>
      </w:r>
      <w:r w:rsidRPr="002A207B">
        <w:rPr>
          <w:rFonts w:ascii="PT Astra Serif" w:hAnsi="PT Astra Serif" w:cs="Times New Roman"/>
          <w:b/>
          <w:szCs w:val="28"/>
        </w:rPr>
        <w:t xml:space="preserve"> </w:t>
      </w:r>
      <w:r w:rsidRPr="002A207B">
        <w:rPr>
          <w:rFonts w:ascii="PT Astra Serif" w:hAnsi="PT Astra Serif" w:cs="Times New Roman"/>
          <w:szCs w:val="28"/>
        </w:rPr>
        <w:t>из них:</w:t>
      </w:r>
    </w:p>
    <w:p w14:paraId="02EF72EC" w14:textId="77777777" w:rsidR="002A207B" w:rsidRPr="002A207B" w:rsidRDefault="002A207B" w:rsidP="002A207B">
      <w:pPr>
        <w:widowControl w:val="0"/>
        <w:shd w:val="clear" w:color="auto" w:fill="FFFFFF"/>
        <w:rPr>
          <w:rFonts w:ascii="PT Astra Serif" w:hAnsi="PT Astra Serif" w:cs="Times New Roman"/>
          <w:b/>
          <w:szCs w:val="28"/>
        </w:rPr>
      </w:pPr>
      <w:r w:rsidRPr="002A207B">
        <w:rPr>
          <w:rFonts w:ascii="PT Astra Serif" w:hAnsi="PT Astra Serif" w:cs="Times New Roman"/>
          <w:b/>
          <w:szCs w:val="28"/>
        </w:rPr>
        <w:t>на приобретение медицинского оборудования</w:t>
      </w:r>
      <w:r w:rsidRPr="002A207B">
        <w:rPr>
          <w:rFonts w:ascii="PT Astra Serif" w:hAnsi="PT Astra Serif" w:cs="Times New Roman"/>
          <w:szCs w:val="28"/>
        </w:rPr>
        <w:t xml:space="preserve"> </w:t>
      </w:r>
      <w:r w:rsidRPr="002A207B">
        <w:rPr>
          <w:rFonts w:ascii="PT Astra Serif" w:hAnsi="PT Astra Serif" w:cs="Times New Roman"/>
          <w:b/>
          <w:szCs w:val="28"/>
          <w:shd w:val="clear" w:color="auto" w:fill="FFFFFF"/>
        </w:rPr>
        <w:t>(18 единиц)</w:t>
      </w:r>
      <w:r w:rsidRPr="002A207B">
        <w:rPr>
          <w:rFonts w:ascii="PT Astra Serif" w:hAnsi="PT Astra Serif" w:cs="Times New Roman"/>
          <w:b/>
          <w:szCs w:val="28"/>
        </w:rPr>
        <w:t xml:space="preserve"> – </w:t>
      </w:r>
      <w:r w:rsidRPr="002A207B">
        <w:rPr>
          <w:rFonts w:ascii="PT Astra Serif" w:hAnsi="PT Astra Serif" w:cs="Times New Roman"/>
          <w:b/>
          <w:szCs w:val="28"/>
        </w:rPr>
        <w:br/>
        <w:t>33,27 млн рублей, из них:</w:t>
      </w:r>
    </w:p>
    <w:p w14:paraId="37188481"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 xml:space="preserve">ГУЗ «Ульяновская областная клиническая больница» (система ультразвуковой визуализации ручная, для поверхности тела) на сумму </w:t>
      </w:r>
      <w:r w:rsidRPr="002A207B">
        <w:rPr>
          <w:rFonts w:ascii="PT Astra Serif" w:hAnsi="PT Astra Serif" w:cs="Times New Roman"/>
          <w:szCs w:val="28"/>
        </w:rPr>
        <w:br/>
      </w:r>
      <w:r w:rsidRPr="002A207B">
        <w:rPr>
          <w:rFonts w:ascii="PT Astra Serif" w:hAnsi="PT Astra Serif" w:cs="Times New Roman"/>
          <w:b/>
          <w:szCs w:val="28"/>
        </w:rPr>
        <w:t>1,35 млн рублей;</w:t>
      </w:r>
    </w:p>
    <w:p w14:paraId="42A00841"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ГУЗ «Ульяновская областная детская клиническая больница имени политического и общественного деятеля Ю.Ф. Горячева» (</w:t>
      </w:r>
      <w:proofErr w:type="spellStart"/>
      <w:r w:rsidRPr="002A207B">
        <w:rPr>
          <w:rFonts w:ascii="PT Astra Serif" w:hAnsi="PT Astra Serif" w:cs="Times New Roman"/>
          <w:szCs w:val="28"/>
        </w:rPr>
        <w:t>видеогастроскоп</w:t>
      </w:r>
      <w:proofErr w:type="spellEnd"/>
      <w:r w:rsidRPr="002A207B">
        <w:rPr>
          <w:rFonts w:ascii="PT Astra Serif" w:hAnsi="PT Astra Serif" w:cs="Times New Roman"/>
          <w:szCs w:val="28"/>
        </w:rPr>
        <w:t xml:space="preserve"> гибкий, многоразового использования, 2 ед.) на сумму</w:t>
      </w:r>
      <w:r w:rsidRPr="002A207B">
        <w:rPr>
          <w:rFonts w:ascii="PT Astra Serif" w:hAnsi="PT Astra Serif" w:cs="Times New Roman"/>
          <w:b/>
          <w:szCs w:val="28"/>
        </w:rPr>
        <w:t xml:space="preserve"> 4,93 млн рублей;</w:t>
      </w:r>
    </w:p>
    <w:p w14:paraId="106989B9"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 xml:space="preserve">ГУЗ «Городская больница № 2» (система ультразвуковой визуализации универсальная) на сумму </w:t>
      </w:r>
      <w:r w:rsidRPr="002A207B">
        <w:rPr>
          <w:rFonts w:ascii="PT Astra Serif" w:hAnsi="PT Astra Serif" w:cs="Times New Roman"/>
          <w:b/>
          <w:szCs w:val="28"/>
        </w:rPr>
        <w:t>5,96 млн рублей;</w:t>
      </w:r>
    </w:p>
    <w:p w14:paraId="3BD52518"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ГУЗ «</w:t>
      </w:r>
      <w:proofErr w:type="spellStart"/>
      <w:r w:rsidRPr="002A207B">
        <w:rPr>
          <w:rFonts w:ascii="PT Astra Serif" w:hAnsi="PT Astra Serif" w:cs="Times New Roman"/>
          <w:szCs w:val="28"/>
        </w:rPr>
        <w:t>Новоульяновская</w:t>
      </w:r>
      <w:proofErr w:type="spellEnd"/>
      <w:r w:rsidRPr="002A207B">
        <w:rPr>
          <w:rFonts w:ascii="PT Astra Serif" w:hAnsi="PT Astra Serif" w:cs="Times New Roman"/>
          <w:szCs w:val="28"/>
        </w:rPr>
        <w:t xml:space="preserve"> городская больница им. А.Ф. Альберт» (система стоматологическая рентгеновская </w:t>
      </w:r>
      <w:proofErr w:type="spellStart"/>
      <w:r w:rsidRPr="002A207B">
        <w:rPr>
          <w:rFonts w:ascii="PT Astra Serif" w:hAnsi="PT Astra Serif" w:cs="Times New Roman"/>
          <w:szCs w:val="28"/>
        </w:rPr>
        <w:t>интраоральная</w:t>
      </w:r>
      <w:proofErr w:type="spellEnd"/>
      <w:r w:rsidRPr="002A207B">
        <w:rPr>
          <w:rFonts w:ascii="PT Astra Serif" w:hAnsi="PT Astra Serif" w:cs="Times New Roman"/>
          <w:szCs w:val="28"/>
        </w:rPr>
        <w:t xml:space="preserve"> стационарная, цифровая) на сумму </w:t>
      </w:r>
      <w:r w:rsidRPr="002A207B">
        <w:rPr>
          <w:rFonts w:ascii="PT Astra Serif" w:hAnsi="PT Astra Serif" w:cs="Times New Roman"/>
          <w:b/>
          <w:szCs w:val="28"/>
        </w:rPr>
        <w:t>0,24 млн рублей;</w:t>
      </w:r>
    </w:p>
    <w:p w14:paraId="7AFCEDF8"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 xml:space="preserve">ГУЗ «Ульяновская районная больница» (система </w:t>
      </w:r>
      <w:proofErr w:type="spellStart"/>
      <w:r w:rsidRPr="002A207B">
        <w:rPr>
          <w:rFonts w:ascii="PT Astra Serif" w:hAnsi="PT Astra Serif" w:cs="Times New Roman"/>
          <w:szCs w:val="28"/>
        </w:rPr>
        <w:t>флюороскопическая</w:t>
      </w:r>
      <w:proofErr w:type="spellEnd"/>
      <w:r w:rsidRPr="002A207B">
        <w:rPr>
          <w:rFonts w:ascii="PT Astra Serif" w:hAnsi="PT Astra Serif" w:cs="Times New Roman"/>
          <w:szCs w:val="28"/>
        </w:rPr>
        <w:t xml:space="preserve"> рентгеновская общего назначения стационарная, цифровая) – на сумму </w:t>
      </w:r>
      <w:r w:rsidRPr="002A207B">
        <w:rPr>
          <w:rFonts w:ascii="PT Astra Serif" w:hAnsi="PT Astra Serif" w:cs="Times New Roman"/>
          <w:b/>
          <w:szCs w:val="28"/>
        </w:rPr>
        <w:t>4,96 млн</w:t>
      </w:r>
      <w:r w:rsidRPr="002A207B">
        <w:rPr>
          <w:rFonts w:ascii="PT Astra Serif" w:hAnsi="PT Astra Serif" w:cs="Times New Roman"/>
          <w:szCs w:val="28"/>
        </w:rPr>
        <w:t xml:space="preserve"> </w:t>
      </w:r>
      <w:r w:rsidRPr="002A207B">
        <w:rPr>
          <w:rFonts w:ascii="PT Astra Serif" w:hAnsi="PT Astra Serif" w:cs="Times New Roman"/>
          <w:b/>
          <w:szCs w:val="28"/>
        </w:rPr>
        <w:t>рублей;</w:t>
      </w:r>
    </w:p>
    <w:p w14:paraId="544244A5"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ГУЗ «</w:t>
      </w:r>
      <w:proofErr w:type="spellStart"/>
      <w:r w:rsidRPr="002A207B">
        <w:rPr>
          <w:rFonts w:ascii="PT Astra Serif" w:hAnsi="PT Astra Serif" w:cs="Times New Roman"/>
          <w:szCs w:val="28"/>
        </w:rPr>
        <w:t>Тереньгульская</w:t>
      </w:r>
      <w:proofErr w:type="spellEnd"/>
      <w:r w:rsidRPr="002A207B">
        <w:rPr>
          <w:rFonts w:ascii="PT Astra Serif" w:hAnsi="PT Astra Serif" w:cs="Times New Roman"/>
          <w:szCs w:val="28"/>
        </w:rPr>
        <w:t xml:space="preserve"> районная больница» (электрокардиограф, профессиональный, многоканальный, 2 ед.) на </w:t>
      </w:r>
      <w:r w:rsidRPr="002A207B">
        <w:rPr>
          <w:rFonts w:ascii="PT Astra Serif" w:hAnsi="PT Astra Serif" w:cs="Times New Roman"/>
          <w:b/>
          <w:szCs w:val="28"/>
        </w:rPr>
        <w:t>0,46 млн рублей;</w:t>
      </w:r>
    </w:p>
    <w:p w14:paraId="0D504A08"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ГУЗ «</w:t>
      </w:r>
      <w:proofErr w:type="spellStart"/>
      <w:r w:rsidRPr="002A207B">
        <w:rPr>
          <w:rFonts w:ascii="PT Astra Serif" w:hAnsi="PT Astra Serif" w:cs="Times New Roman"/>
          <w:szCs w:val="28"/>
        </w:rPr>
        <w:t>Новомайнская</w:t>
      </w:r>
      <w:proofErr w:type="spellEnd"/>
      <w:r w:rsidRPr="002A207B">
        <w:rPr>
          <w:rFonts w:ascii="PT Astra Serif" w:hAnsi="PT Astra Serif" w:cs="Times New Roman"/>
          <w:szCs w:val="28"/>
        </w:rPr>
        <w:t xml:space="preserve"> районная больница» (система рентгеновская диагностическая стационарная общего назначения) на сумму </w:t>
      </w:r>
      <w:r w:rsidRPr="002A207B">
        <w:rPr>
          <w:rFonts w:ascii="PT Astra Serif" w:hAnsi="PT Astra Serif" w:cs="Times New Roman"/>
          <w:b/>
          <w:szCs w:val="28"/>
        </w:rPr>
        <w:t>9,40 млн рублей;</w:t>
      </w:r>
    </w:p>
    <w:p w14:paraId="5C34D172" w14:textId="77777777" w:rsidR="002A207B" w:rsidRPr="002A207B" w:rsidRDefault="002A207B" w:rsidP="002A207B">
      <w:pPr>
        <w:widowControl w:val="0"/>
        <w:ind w:firstLine="708"/>
        <w:rPr>
          <w:rFonts w:ascii="PT Astra Serif" w:hAnsi="PT Astra Serif" w:cs="Times New Roman"/>
          <w:b/>
          <w:szCs w:val="28"/>
        </w:rPr>
      </w:pPr>
      <w:r w:rsidRPr="002A207B">
        <w:rPr>
          <w:rFonts w:ascii="PT Astra Serif" w:hAnsi="PT Astra Serif" w:cs="Times New Roman"/>
          <w:szCs w:val="28"/>
        </w:rPr>
        <w:t>ГУЗ «</w:t>
      </w:r>
      <w:proofErr w:type="spellStart"/>
      <w:r w:rsidRPr="002A207B">
        <w:rPr>
          <w:rFonts w:ascii="PT Astra Serif" w:hAnsi="PT Astra Serif" w:cs="Times New Roman"/>
          <w:szCs w:val="28"/>
        </w:rPr>
        <w:t>Инзенская</w:t>
      </w:r>
      <w:proofErr w:type="spellEnd"/>
      <w:r w:rsidRPr="002A207B">
        <w:rPr>
          <w:rFonts w:ascii="PT Astra Serif" w:hAnsi="PT Astra Serif" w:cs="Times New Roman"/>
          <w:szCs w:val="28"/>
        </w:rPr>
        <w:t xml:space="preserve"> районная больница» (анализатор ионоселективный ИВД,</w:t>
      </w:r>
      <w:r w:rsidRPr="002A207B">
        <w:rPr>
          <w:rFonts w:cs="Times New Roman"/>
        </w:rPr>
        <w:t xml:space="preserve"> </w:t>
      </w:r>
      <w:r w:rsidRPr="002A207B">
        <w:rPr>
          <w:rFonts w:ascii="PT Astra Serif" w:hAnsi="PT Astra Serif" w:cs="Times New Roman"/>
          <w:szCs w:val="28"/>
        </w:rPr>
        <w:t xml:space="preserve">Машина автоматическая для проявки рентгеновской пленки в темной комнате) на общую сумму </w:t>
      </w:r>
      <w:r w:rsidRPr="002A207B">
        <w:rPr>
          <w:rFonts w:ascii="PT Astra Serif" w:hAnsi="PT Astra Serif" w:cs="Times New Roman"/>
          <w:b/>
          <w:szCs w:val="28"/>
        </w:rPr>
        <w:t>1,25 млн рублей.</w:t>
      </w:r>
    </w:p>
    <w:p w14:paraId="7153F99F" w14:textId="77777777" w:rsidR="002A207B" w:rsidRPr="002A207B" w:rsidRDefault="002A207B" w:rsidP="002A207B">
      <w:pPr>
        <w:widowControl w:val="0"/>
        <w:ind w:firstLine="708"/>
        <w:rPr>
          <w:rFonts w:ascii="PT Astra Serif" w:hAnsi="PT Astra Serif" w:cs="Times New Roman"/>
          <w:szCs w:val="28"/>
        </w:rPr>
      </w:pPr>
      <w:r w:rsidRPr="002A207B">
        <w:rPr>
          <w:rFonts w:ascii="PT Astra Serif" w:hAnsi="PT Astra Serif" w:cs="Times New Roman"/>
          <w:szCs w:val="28"/>
        </w:rPr>
        <w:t>ГУЗ «</w:t>
      </w:r>
      <w:proofErr w:type="spellStart"/>
      <w:r w:rsidRPr="002A207B">
        <w:rPr>
          <w:rFonts w:ascii="PT Astra Serif" w:hAnsi="PT Astra Serif" w:cs="Times New Roman"/>
          <w:szCs w:val="28"/>
        </w:rPr>
        <w:t>Новомалыклинская</w:t>
      </w:r>
      <w:proofErr w:type="spellEnd"/>
      <w:r w:rsidRPr="002A207B">
        <w:rPr>
          <w:rFonts w:ascii="PT Astra Serif" w:hAnsi="PT Astra Serif" w:cs="Times New Roman"/>
          <w:szCs w:val="28"/>
        </w:rPr>
        <w:t xml:space="preserve"> районная больница» (анализатор поля зрения; система электрохирургическая; рефрактометр офтальмологический, автоматический; стол операционный универсальный, электромеханический; лампа щелевая офтальмологическая, смотровая; светильник операционный, </w:t>
      </w:r>
      <w:r w:rsidRPr="002A207B">
        <w:rPr>
          <w:rFonts w:ascii="PT Astra Serif" w:hAnsi="PT Astra Serif" w:cs="Times New Roman"/>
          <w:szCs w:val="28"/>
        </w:rPr>
        <w:br/>
        <w:t xml:space="preserve">2 ед.) на общую сумму </w:t>
      </w:r>
      <w:r w:rsidRPr="002A207B">
        <w:rPr>
          <w:rFonts w:ascii="PT Astra Serif" w:hAnsi="PT Astra Serif" w:cs="Times New Roman"/>
          <w:b/>
          <w:szCs w:val="28"/>
        </w:rPr>
        <w:t>4,72 млн рублей</w:t>
      </w:r>
      <w:r w:rsidRPr="002A207B">
        <w:rPr>
          <w:rFonts w:ascii="PT Astra Serif" w:hAnsi="PT Astra Serif" w:cs="Times New Roman"/>
          <w:szCs w:val="28"/>
        </w:rPr>
        <w:t>.</w:t>
      </w:r>
    </w:p>
    <w:p w14:paraId="3D9C4897"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b/>
          <w:szCs w:val="28"/>
        </w:rPr>
        <w:t>на ремонт медицинского оборудования (1 единица) – 3,80 млн рублей из них:</w:t>
      </w:r>
    </w:p>
    <w:p w14:paraId="2F999E33" w14:textId="77777777" w:rsidR="002A207B" w:rsidRPr="002A207B" w:rsidRDefault="002A207B" w:rsidP="002A207B">
      <w:pPr>
        <w:widowControl w:val="0"/>
        <w:shd w:val="clear" w:color="auto" w:fill="FFFFFF"/>
        <w:rPr>
          <w:rFonts w:ascii="PT Astra Serif" w:hAnsi="PT Astra Serif" w:cs="Times New Roman"/>
          <w:szCs w:val="28"/>
        </w:rPr>
      </w:pPr>
      <w:r w:rsidRPr="002A207B">
        <w:rPr>
          <w:rFonts w:ascii="PT Astra Serif" w:hAnsi="PT Astra Serif" w:cs="Times New Roman"/>
          <w:szCs w:val="28"/>
        </w:rPr>
        <w:t xml:space="preserve">ГУЗ «Ульяновская областная клиническая больница» (томограф рентгеновский компьютерный от 64 срезов с программным обеспечением </w:t>
      </w:r>
      <w:r w:rsidRPr="002A207B">
        <w:rPr>
          <w:rFonts w:ascii="PT Astra Serif" w:hAnsi="PT Astra Serif" w:cs="Times New Roman"/>
          <w:szCs w:val="28"/>
        </w:rPr>
        <w:br/>
        <w:t xml:space="preserve">и сопутствующим оборудованием </w:t>
      </w:r>
      <w:proofErr w:type="spellStart"/>
      <w:r w:rsidRPr="002A207B">
        <w:rPr>
          <w:rFonts w:ascii="PT Astra Serif" w:hAnsi="PT Astra Serif" w:cs="Times New Roman"/>
          <w:szCs w:val="28"/>
        </w:rPr>
        <w:t>Canon</w:t>
      </w:r>
      <w:proofErr w:type="spellEnd"/>
      <w:r w:rsidRPr="002A207B">
        <w:rPr>
          <w:rFonts w:ascii="PT Astra Serif" w:hAnsi="PT Astra Serif" w:cs="Times New Roman"/>
          <w:szCs w:val="28"/>
        </w:rPr>
        <w:t xml:space="preserve"> </w:t>
      </w:r>
      <w:proofErr w:type="spellStart"/>
      <w:r w:rsidRPr="002A207B">
        <w:rPr>
          <w:rFonts w:ascii="PT Astra Serif" w:hAnsi="PT Astra Serif" w:cs="Times New Roman"/>
          <w:szCs w:val="28"/>
        </w:rPr>
        <w:t>Aqulion</w:t>
      </w:r>
      <w:proofErr w:type="spellEnd"/>
      <w:r w:rsidRPr="002A207B">
        <w:rPr>
          <w:rFonts w:ascii="PT Astra Serif" w:hAnsi="PT Astra Serif" w:cs="Times New Roman"/>
          <w:szCs w:val="28"/>
        </w:rPr>
        <w:t xml:space="preserve"> </w:t>
      </w:r>
      <w:proofErr w:type="spellStart"/>
      <w:r w:rsidRPr="002A207B">
        <w:rPr>
          <w:rFonts w:ascii="PT Astra Serif" w:hAnsi="PT Astra Serif" w:cs="Times New Roman"/>
          <w:szCs w:val="28"/>
        </w:rPr>
        <w:t>Prime</w:t>
      </w:r>
      <w:proofErr w:type="spellEnd"/>
      <w:r w:rsidRPr="002A207B">
        <w:rPr>
          <w:rFonts w:ascii="PT Astra Serif" w:hAnsi="PT Astra Serif" w:cs="Times New Roman"/>
          <w:szCs w:val="28"/>
        </w:rPr>
        <w:t xml:space="preserve"> TSX-303A) - на сумму </w:t>
      </w:r>
      <w:r w:rsidRPr="002A207B">
        <w:rPr>
          <w:rFonts w:ascii="PT Astra Serif" w:hAnsi="PT Astra Serif" w:cs="Times New Roman"/>
          <w:b/>
          <w:szCs w:val="28"/>
        </w:rPr>
        <w:t>3,80 млн рублей.</w:t>
      </w:r>
      <w:r w:rsidRPr="002A207B">
        <w:rPr>
          <w:rFonts w:ascii="PT Astra Serif" w:eastAsia="Calibri" w:hAnsi="PT Astra Serif" w:cs="Times New Roman"/>
          <w:b/>
          <w:szCs w:val="28"/>
        </w:rPr>
        <w:t xml:space="preserve"> </w:t>
      </w:r>
    </w:p>
    <w:p w14:paraId="3356E019"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lastRenderedPageBreak/>
        <w:t>В течение текущего периода ТФОМС Ульяновской области анализировал финансовое состояние медицинских организаций, осуществляющих деятельность в сфере обязательного медицинского страхования по выполнению объёмов оказания медицинской помощи, на наличие резервов финансовых средств, остатков на счетах по учету средств ОМС, уровня оплаты труда медицинских сотрудников, кредиторскую задолженность, включая просроченную. Что позволило своевременно внести соответствующие изменения в Тарифное соглашение в системе обязательного медицинского страхования Ульяновской области на 2025 год.</w:t>
      </w:r>
    </w:p>
    <w:p w14:paraId="26DFE332"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Так, с 01.05.2025 пересмотрены в сторону увеличения тарифы на профилактические медицинские осмотры взрослого населения на 10%, детского населения на 5%, на диспансеризацию взрослого населения на 30%, детского населения на 10%.</w:t>
      </w:r>
    </w:p>
    <w:p w14:paraId="761BACE8"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Данные мероприятия позволили более полно «освоить» денежные средства, предусмотренные на финансирование профилактических медицинских осмотров и диспансеризации всего населения на 2025 год.</w:t>
      </w:r>
    </w:p>
    <w:p w14:paraId="1EC545E1"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С 01.06.2025 увеличены коэффициенты специфики для КСГ st02.003 «</w:t>
      </w:r>
      <w:proofErr w:type="spellStart"/>
      <w:r w:rsidRPr="002A207B">
        <w:rPr>
          <w:rFonts w:ascii="PT Astra Serif" w:hAnsi="PT Astra Serif" w:cs="Times New Roman"/>
          <w:szCs w:val="28"/>
        </w:rPr>
        <w:t>Родоразрешение</w:t>
      </w:r>
      <w:proofErr w:type="spellEnd"/>
      <w:r w:rsidRPr="002A207B">
        <w:rPr>
          <w:rFonts w:ascii="PT Astra Serif" w:hAnsi="PT Astra Serif" w:cs="Times New Roman"/>
          <w:szCs w:val="28"/>
        </w:rPr>
        <w:t xml:space="preserve">» и st02.004 «Кесарево сечение» с 0,85 до 1,10, что привело </w:t>
      </w:r>
      <w:r w:rsidRPr="002A207B">
        <w:rPr>
          <w:rFonts w:ascii="PT Astra Serif" w:hAnsi="PT Astra Serif" w:cs="Times New Roman"/>
          <w:szCs w:val="28"/>
        </w:rPr>
        <w:br/>
        <w:t>к увеличению плана финансового обеспечения службы «Родовспоможения» на период июнь – декабрь 2025 года на 43,8 млн рублей.</w:t>
      </w:r>
    </w:p>
    <w:p w14:paraId="11169D7C"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С 01.07.2025 увеличены коэффициенты специфики в круглосуточном стационаре:</w:t>
      </w:r>
    </w:p>
    <w:p w14:paraId="2BA4623C"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для КСГ, у которых прежние значения составляли 0,85 до 0,95; </w:t>
      </w:r>
    </w:p>
    <w:p w14:paraId="5C595683"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для КСГ с прежними значениями 0,8, увеличены до 0,85; </w:t>
      </w:r>
    </w:p>
    <w:p w14:paraId="6A58BAB3"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для КСГ по профилю «Офтальмология» с 0,85 до 1,05. </w:t>
      </w:r>
    </w:p>
    <w:p w14:paraId="68FF606F"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С 01.09.2025 еще раз увеличены коэффициенты специфики </w:t>
      </w:r>
      <w:r w:rsidRPr="002A207B">
        <w:rPr>
          <w:rFonts w:ascii="PT Astra Serif" w:hAnsi="PT Astra Serif" w:cs="Times New Roman"/>
          <w:szCs w:val="28"/>
        </w:rPr>
        <w:br/>
        <w:t>в круглосуточном стационаре:</w:t>
      </w:r>
    </w:p>
    <w:p w14:paraId="28236262"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для КСГ, у которых прежние значения составляли 0,95 до 1,06;</w:t>
      </w:r>
    </w:p>
    <w:p w14:paraId="70821E31"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для КСГ, у которых прежние значения составляли 1,05, до 1,07;</w:t>
      </w:r>
    </w:p>
    <w:p w14:paraId="4ACD40C6"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для КСГ, у которых прежние значения составляли 0,85, до 0,93 (кроме профиля «Сердечно-сосудистая хирургия»);</w:t>
      </w:r>
    </w:p>
    <w:p w14:paraId="3F3AD940"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по профилю «Офтальмология» для всех КСГ, у которых прежние значения составляли 1,05, до 1,07. </w:t>
      </w:r>
    </w:p>
    <w:p w14:paraId="4FAD469D"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Данные мероприятия привели к увеличению плана финансирования стационарной медицинской помощи в целом на период июль – декабрь 2025 года на 628,1 млн рублей.</w:t>
      </w:r>
    </w:p>
    <w:p w14:paraId="457AD11F"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В связи с уменьшением объемов медицинской помощи по оказанию медицинской помощи диализным больным в амбулаторных условиях </w:t>
      </w:r>
      <w:r w:rsidRPr="002A207B">
        <w:rPr>
          <w:rFonts w:ascii="PT Astra Serif" w:hAnsi="PT Astra Serif" w:cs="Times New Roman"/>
          <w:szCs w:val="28"/>
        </w:rPr>
        <w:br/>
        <w:t xml:space="preserve">и уменьшением объемов медицинской помощи по отдельно выделенным услугам «Определению РНК вируса гриппа А и B и РНК вируса Covid-19 методом ИХА и ПЦР» и изменением количества прикрепленного населения </w:t>
      </w:r>
      <w:r w:rsidRPr="002A207B">
        <w:rPr>
          <w:rFonts w:ascii="PT Astra Serif" w:hAnsi="PT Astra Serif" w:cs="Times New Roman"/>
          <w:szCs w:val="28"/>
        </w:rPr>
        <w:br/>
        <w:t xml:space="preserve">к медицинским организациям, осуществлен перерасчет дифференцированных </w:t>
      </w:r>
      <w:proofErr w:type="spellStart"/>
      <w:r w:rsidRPr="002A207B">
        <w:rPr>
          <w:rFonts w:ascii="PT Astra Serif" w:hAnsi="PT Astra Serif" w:cs="Times New Roman"/>
          <w:szCs w:val="28"/>
        </w:rPr>
        <w:t>подушевых</w:t>
      </w:r>
      <w:proofErr w:type="spellEnd"/>
      <w:r w:rsidRPr="002A207B">
        <w:rPr>
          <w:rFonts w:ascii="PT Astra Serif" w:hAnsi="PT Astra Serif" w:cs="Times New Roman"/>
          <w:szCs w:val="28"/>
        </w:rPr>
        <w:t xml:space="preserve"> нормативов финансирования медицинских организаций на прикрепившихся лиц по амбулаторной медицинской помощи. Сумма, предусмотренная на </w:t>
      </w:r>
      <w:proofErr w:type="spellStart"/>
      <w:r w:rsidRPr="002A207B">
        <w:rPr>
          <w:rFonts w:ascii="PT Astra Serif" w:hAnsi="PT Astra Serif" w:cs="Times New Roman"/>
          <w:szCs w:val="28"/>
        </w:rPr>
        <w:t>подушевое</w:t>
      </w:r>
      <w:proofErr w:type="spellEnd"/>
      <w:r w:rsidRPr="002A207B">
        <w:rPr>
          <w:rFonts w:ascii="PT Astra Serif" w:hAnsi="PT Astra Serif" w:cs="Times New Roman"/>
          <w:szCs w:val="28"/>
        </w:rPr>
        <w:t xml:space="preserve"> финансирование медицинских организаций на </w:t>
      </w:r>
      <w:r w:rsidRPr="002A207B">
        <w:rPr>
          <w:rFonts w:ascii="PT Astra Serif" w:hAnsi="PT Astra Serif" w:cs="Times New Roman"/>
          <w:szCs w:val="28"/>
        </w:rPr>
        <w:lastRenderedPageBreak/>
        <w:t>прикрепившихся лиц, увеличилась на 80,2 млн рублей.</w:t>
      </w:r>
    </w:p>
    <w:p w14:paraId="13B5752C"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 xml:space="preserve">Кроме этого, с 01.07.2025 увеличены коэффициенты уровня расходов медицинских организаций, обслуживающих детское население с 1,4994 до 1,60, для увеличения дифференцированных </w:t>
      </w:r>
      <w:proofErr w:type="spellStart"/>
      <w:r w:rsidRPr="002A207B">
        <w:rPr>
          <w:rFonts w:ascii="PT Astra Serif" w:hAnsi="PT Astra Serif" w:cs="Times New Roman"/>
          <w:szCs w:val="28"/>
        </w:rPr>
        <w:t>подушевых</w:t>
      </w:r>
      <w:proofErr w:type="spellEnd"/>
      <w:r w:rsidRPr="002A207B">
        <w:rPr>
          <w:rFonts w:ascii="PT Astra Serif" w:hAnsi="PT Astra Serif" w:cs="Times New Roman"/>
          <w:szCs w:val="28"/>
        </w:rPr>
        <w:t xml:space="preserve"> нормативов финансирования по амбулаторной помощи.</w:t>
      </w:r>
    </w:p>
    <w:p w14:paraId="335CC378" w14:textId="77777777" w:rsidR="002A207B" w:rsidRPr="002A207B" w:rsidRDefault="002A207B" w:rsidP="002A207B">
      <w:pPr>
        <w:widowControl w:val="0"/>
        <w:rPr>
          <w:rFonts w:ascii="PT Astra Serif" w:eastAsia="Times New Roman" w:hAnsi="PT Astra Serif" w:cs="Times New Roman"/>
          <w:i/>
          <w:color w:val="000000"/>
          <w:sz w:val="24"/>
          <w:szCs w:val="24"/>
          <w:lang w:eastAsia="ru-RU"/>
        </w:rPr>
      </w:pPr>
    </w:p>
    <w:p w14:paraId="08C3AC10" w14:textId="77777777" w:rsidR="002A207B" w:rsidRPr="002A207B" w:rsidRDefault="002A207B" w:rsidP="002A207B">
      <w:pPr>
        <w:widowControl w:val="0"/>
        <w:ind w:firstLine="0"/>
        <w:jc w:val="center"/>
        <w:rPr>
          <w:rFonts w:ascii="PT Astra Serif" w:eastAsia="Calibri" w:hAnsi="PT Astra Serif" w:cs="Times New Roman"/>
          <w:b/>
          <w:bCs/>
          <w:szCs w:val="28"/>
        </w:rPr>
      </w:pPr>
      <w:r w:rsidRPr="002A207B">
        <w:rPr>
          <w:rFonts w:ascii="PT Astra Serif" w:eastAsia="Calibri" w:hAnsi="PT Astra Serif" w:cs="Times New Roman"/>
          <w:b/>
          <w:bCs/>
          <w:szCs w:val="28"/>
        </w:rPr>
        <w:t>Медицинская помощь детскому населению</w:t>
      </w:r>
    </w:p>
    <w:p w14:paraId="55AC90A4" w14:textId="77777777" w:rsidR="002A207B" w:rsidRPr="002A207B" w:rsidRDefault="002A207B" w:rsidP="002A207B">
      <w:pPr>
        <w:widowControl w:val="0"/>
        <w:rPr>
          <w:rFonts w:ascii="PT Astra Serif" w:eastAsia="Calibri" w:hAnsi="PT Astra Serif" w:cs="Times New Roman"/>
          <w:bCs/>
          <w:kern w:val="24"/>
          <w:szCs w:val="28"/>
        </w:rPr>
      </w:pPr>
    </w:p>
    <w:p w14:paraId="5835D192" w14:textId="69CA367D"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Специализированная помощь представлена амбулаторным </w:t>
      </w:r>
      <w:r w:rsidR="00605C2A">
        <w:rPr>
          <w:rFonts w:ascii="PT Astra Serif" w:hAnsi="PT Astra Serif" w:cs="Times New Roman"/>
          <w:szCs w:val="28"/>
        </w:rPr>
        <w:br/>
      </w:r>
      <w:r w:rsidRPr="002A207B">
        <w:rPr>
          <w:rFonts w:ascii="PT Astra Serif" w:hAnsi="PT Astra Serif" w:cs="Times New Roman"/>
          <w:szCs w:val="28"/>
        </w:rPr>
        <w:t>и стационарным звеном, трёхуровневой системой.</w:t>
      </w:r>
    </w:p>
    <w:p w14:paraId="23B5C0C2"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Высокотехнологичная медицинская помощь оказывается тремя учреждениями 3-го уровня по 7 профилям: неонатология (ГУЗ «Ульяновская областная детская клиническая больница имени политического </w:t>
      </w:r>
      <w:r w:rsidRPr="002A207B">
        <w:rPr>
          <w:rFonts w:ascii="PT Astra Serif" w:hAnsi="PT Astra Serif" w:cs="Times New Roman"/>
          <w:szCs w:val="28"/>
        </w:rPr>
        <w:br/>
        <w:t>и общественного деятеля Ю.Ф. Горячева», ГУЗ «Ульяновская областная клиническая больница», ГУЗ «Городская клиническая больница святого апостола Андрея Первозванного») травматология, детская хирургия в период новорождённости, абдоминальная хирургия, урология и онкология (ГУЗ «Ульяновская областная детская клиническая больница имени политического и общественного деятеля Ю.Ф. Горячева»), нейрохирургия (ГУЗ «Городская клиническая больница святого апостола Андрея Первозванного»).</w:t>
      </w:r>
    </w:p>
    <w:p w14:paraId="0EB0897A"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На базе ГУЗ «Ульяновская областная детская клиническая больница имени политического и общественного деятеля Ю.Ф. Горячева» и ГУЗ «Детская городская клиническая больница г. Ульяновска» проводится профилактическое лечение инфекций нижних дыхательных путей у глубоко недоношенных детей и у детей с врождёнными пороками сердца </w:t>
      </w:r>
      <w:proofErr w:type="spellStart"/>
      <w:r w:rsidRPr="002A207B">
        <w:rPr>
          <w:rFonts w:ascii="PT Astra Serif" w:hAnsi="PT Astra Serif" w:cs="Times New Roman"/>
          <w:szCs w:val="28"/>
        </w:rPr>
        <w:t>генно</w:t>
      </w:r>
      <w:proofErr w:type="spellEnd"/>
      <w:r w:rsidRPr="002A207B">
        <w:rPr>
          <w:rFonts w:ascii="PT Astra Serif" w:hAnsi="PT Astra Serif" w:cs="Times New Roman"/>
          <w:szCs w:val="28"/>
        </w:rPr>
        <w:t>–инженерным препаратом «</w:t>
      </w:r>
      <w:proofErr w:type="spellStart"/>
      <w:r w:rsidRPr="002A207B">
        <w:rPr>
          <w:rFonts w:ascii="PT Astra Serif" w:hAnsi="PT Astra Serif" w:cs="Times New Roman"/>
          <w:szCs w:val="28"/>
        </w:rPr>
        <w:t>Синагис</w:t>
      </w:r>
      <w:proofErr w:type="spellEnd"/>
      <w:r w:rsidRPr="002A207B">
        <w:rPr>
          <w:rFonts w:ascii="PT Astra Serif" w:hAnsi="PT Astra Serif" w:cs="Times New Roman"/>
          <w:szCs w:val="28"/>
        </w:rPr>
        <w:t>».</w:t>
      </w:r>
    </w:p>
    <w:p w14:paraId="2596CD3C"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области функционируют следующие школы для родителей и детей: Школа диабета, </w:t>
      </w:r>
      <w:proofErr w:type="spellStart"/>
      <w:r w:rsidRPr="002A207B">
        <w:rPr>
          <w:rFonts w:ascii="PT Astra Serif" w:hAnsi="PT Astra Serif" w:cs="Times New Roman"/>
          <w:szCs w:val="28"/>
        </w:rPr>
        <w:t>муковисцидоза</w:t>
      </w:r>
      <w:proofErr w:type="spellEnd"/>
      <w:r w:rsidRPr="002A207B">
        <w:rPr>
          <w:rFonts w:ascii="PT Astra Serif" w:hAnsi="PT Astra Serif" w:cs="Times New Roman"/>
          <w:szCs w:val="28"/>
        </w:rPr>
        <w:t xml:space="preserve">, бронхиальной астмы, проблем роста, детей, рождённых с низкой и экстремально низкой массой тела, беременных, будущих родителей, </w:t>
      </w:r>
      <w:proofErr w:type="spellStart"/>
      <w:r w:rsidRPr="002A207B">
        <w:rPr>
          <w:rFonts w:ascii="PT Astra Serif" w:hAnsi="PT Astra Serif" w:cs="Times New Roman"/>
          <w:szCs w:val="28"/>
        </w:rPr>
        <w:t>фенилкетонурией</w:t>
      </w:r>
      <w:proofErr w:type="spellEnd"/>
      <w:r w:rsidRPr="002A207B">
        <w:rPr>
          <w:rFonts w:ascii="PT Astra Serif" w:hAnsi="PT Astra Serif" w:cs="Times New Roman"/>
          <w:szCs w:val="28"/>
        </w:rPr>
        <w:t xml:space="preserve">, ревматических болезней, здорового образа жизни, где обучаются более 500 семей в год. </w:t>
      </w:r>
    </w:p>
    <w:p w14:paraId="254C4E5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Медицинская помощь </w:t>
      </w:r>
      <w:r w:rsidRPr="002A207B">
        <w:rPr>
          <w:rFonts w:ascii="PT Astra Serif" w:hAnsi="PT Astra Serif" w:cs="Times New Roman"/>
          <w:b/>
          <w:szCs w:val="28"/>
        </w:rPr>
        <w:t>детям с онкологическими заболеваниями</w:t>
      </w:r>
      <w:r w:rsidRPr="002A207B">
        <w:rPr>
          <w:rFonts w:ascii="PT Astra Serif" w:hAnsi="PT Astra Serif" w:cs="Times New Roman"/>
          <w:szCs w:val="28"/>
        </w:rPr>
        <w:t xml:space="preserve"> </w:t>
      </w:r>
      <w:r w:rsidRPr="002A207B">
        <w:rPr>
          <w:rFonts w:ascii="PT Astra Serif" w:hAnsi="PT Astra Serif" w:cs="Times New Roman"/>
          <w:szCs w:val="28"/>
        </w:rPr>
        <w:br/>
        <w:t>в Ульяновской области обеспечивается госпитальным и амбулаторным лечением, в соответствии с разработанными в регионе регламентом и схемой маршрутизации больных.</w:t>
      </w:r>
    </w:p>
    <w:p w14:paraId="7B6532E4" w14:textId="5D0837D6"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Внебольничная помощь оказывается в КДЦ, где ведет прием врач-онколог, осуществляя преемственность между врачами стационара </w:t>
      </w:r>
      <w:r w:rsidR="00605C2A">
        <w:rPr>
          <w:rFonts w:ascii="PT Astra Serif" w:hAnsi="PT Astra Serif" w:cs="Times New Roman"/>
          <w:szCs w:val="28"/>
        </w:rPr>
        <w:br/>
      </w:r>
      <w:r w:rsidRPr="002A207B">
        <w:rPr>
          <w:rFonts w:ascii="PT Astra Serif" w:hAnsi="PT Astra Serif" w:cs="Times New Roman"/>
          <w:szCs w:val="28"/>
        </w:rPr>
        <w:t>и поликлиники.</w:t>
      </w:r>
    </w:p>
    <w:p w14:paraId="745E613E" w14:textId="77777777" w:rsidR="002A207B" w:rsidRPr="00A1044B" w:rsidRDefault="002A207B" w:rsidP="002A207B">
      <w:pPr>
        <w:widowControl w:val="0"/>
        <w:rPr>
          <w:rFonts w:ascii="PT Astra Serif" w:hAnsi="PT Astra Serif" w:cs="Times New Roman"/>
          <w:spacing w:val="-20"/>
          <w:szCs w:val="28"/>
        </w:rPr>
      </w:pPr>
      <w:r w:rsidRPr="002A207B">
        <w:rPr>
          <w:rFonts w:ascii="PT Astra Serif" w:hAnsi="PT Astra Serif" w:cs="Times New Roman"/>
          <w:szCs w:val="28"/>
        </w:rPr>
        <w:t xml:space="preserve">Госпитальная помощь оказывается на базе единственного </w:t>
      </w:r>
      <w:r w:rsidRPr="002A207B">
        <w:rPr>
          <w:rFonts w:ascii="PT Astra Serif" w:hAnsi="PT Astra Serif" w:cs="Times New Roman"/>
          <w:szCs w:val="28"/>
        </w:rPr>
        <w:br/>
        <w:t xml:space="preserve">в Ульяновской области детского специализированного отделения онкологии ГУЗ УОДКБ. Отделение рассчитано на 25 коек: 18 онкологических и 7 гематологических. В отделении получают лечение пациенты со следующими онкологическими заболеваниями: </w:t>
      </w:r>
      <w:proofErr w:type="spellStart"/>
      <w:r w:rsidRPr="002A207B">
        <w:rPr>
          <w:rFonts w:ascii="PT Astra Serif" w:hAnsi="PT Astra Serif" w:cs="Times New Roman"/>
          <w:szCs w:val="28"/>
        </w:rPr>
        <w:t>гемобластозы</w:t>
      </w:r>
      <w:proofErr w:type="spellEnd"/>
      <w:r w:rsidRPr="002A207B">
        <w:rPr>
          <w:rFonts w:ascii="PT Astra Serif" w:hAnsi="PT Astra Serif" w:cs="Times New Roman"/>
          <w:szCs w:val="28"/>
        </w:rPr>
        <w:t xml:space="preserve">, солидные опухоли, опухоли центральной нервной системы. В отделение госпитализируются дети </w:t>
      </w:r>
      <w:r w:rsidRPr="00A1044B">
        <w:rPr>
          <w:rFonts w:ascii="PT Astra Serif" w:hAnsi="PT Astra Serif" w:cs="Times New Roman"/>
          <w:spacing w:val="-20"/>
          <w:szCs w:val="28"/>
        </w:rPr>
        <w:t>до 18 лет.</w:t>
      </w:r>
    </w:p>
    <w:p w14:paraId="63C570A5"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Заболеваемость онкологической патологией детей Ульяновской области </w:t>
      </w:r>
      <w:r w:rsidRPr="002A207B">
        <w:rPr>
          <w:rFonts w:ascii="PT Astra Serif" w:hAnsi="PT Astra Serif" w:cs="Times New Roman"/>
          <w:szCs w:val="28"/>
        </w:rPr>
        <w:lastRenderedPageBreak/>
        <w:t xml:space="preserve">в 2025 году составила 13,4 на 100 тыс. детского населения. Среди нозологических форм 1 месте заняли лейкозы – 8 случаев, на 2-ом месте злокачественные опухоли головного мозга – 4 случая, 3-е место- </w:t>
      </w:r>
      <w:proofErr w:type="spellStart"/>
      <w:r w:rsidRPr="002A207B">
        <w:rPr>
          <w:rFonts w:ascii="PT Astra Serif" w:hAnsi="PT Astra Serif" w:cs="Times New Roman"/>
          <w:szCs w:val="28"/>
        </w:rPr>
        <w:t>нейробластомы</w:t>
      </w:r>
      <w:proofErr w:type="spellEnd"/>
      <w:r w:rsidRPr="002A207B">
        <w:rPr>
          <w:rFonts w:ascii="PT Astra Serif" w:hAnsi="PT Astra Serif" w:cs="Times New Roman"/>
          <w:szCs w:val="28"/>
        </w:rPr>
        <w:t xml:space="preserve"> – 4 случая. </w:t>
      </w:r>
    </w:p>
    <w:p w14:paraId="287F6427"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На конец 2025 года на диспансерном учёте состояло 245 детей </w:t>
      </w:r>
      <w:r w:rsidRPr="002A207B">
        <w:rPr>
          <w:rFonts w:ascii="PT Astra Serif" w:hAnsi="PT Astra Serif" w:cs="Times New Roman"/>
          <w:szCs w:val="28"/>
        </w:rPr>
        <w:br/>
        <w:t>с диагнозом злокачественные новообразования.</w:t>
      </w:r>
    </w:p>
    <w:p w14:paraId="3A31E976"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Дальнейшими перспективами развития онкологической службы региона являются: расширение проведения молекулярно-генетического исследования с поиском мутаций в генах при злокачественных опухолях у детей, применение технологий терапии </w:t>
      </w:r>
      <w:proofErr w:type="spellStart"/>
      <w:r w:rsidRPr="002A207B">
        <w:rPr>
          <w:rFonts w:ascii="PT Astra Serif" w:hAnsi="PT Astra Serif" w:cs="Times New Roman"/>
          <w:szCs w:val="28"/>
        </w:rPr>
        <w:t>таргетными</w:t>
      </w:r>
      <w:proofErr w:type="spellEnd"/>
      <w:r w:rsidRPr="002A207B">
        <w:rPr>
          <w:rFonts w:ascii="PT Astra Serif" w:hAnsi="PT Astra Serif" w:cs="Times New Roman"/>
          <w:szCs w:val="28"/>
        </w:rPr>
        <w:t xml:space="preserve"> препаратами.</w:t>
      </w:r>
    </w:p>
    <w:p w14:paraId="27D61DAC" w14:textId="77777777" w:rsidR="002A207B" w:rsidRPr="002A207B" w:rsidRDefault="002A207B" w:rsidP="002A207B">
      <w:pPr>
        <w:widowControl w:val="0"/>
        <w:rPr>
          <w:rFonts w:ascii="PT Astra Serif" w:hAnsi="PT Astra Serif" w:cs="Times New Roman"/>
          <w:szCs w:val="28"/>
        </w:rPr>
      </w:pPr>
      <w:proofErr w:type="spellStart"/>
      <w:r w:rsidRPr="002A207B">
        <w:rPr>
          <w:rFonts w:ascii="PT Astra Serif" w:hAnsi="PT Astra Serif" w:cs="Times New Roman"/>
          <w:b/>
          <w:szCs w:val="28"/>
        </w:rPr>
        <w:t>Медико</w:t>
      </w:r>
      <w:proofErr w:type="spellEnd"/>
      <w:r w:rsidRPr="002A207B">
        <w:rPr>
          <w:rFonts w:ascii="PT Astra Serif" w:hAnsi="PT Astra Serif" w:cs="Times New Roman"/>
          <w:b/>
          <w:szCs w:val="28"/>
        </w:rPr>
        <w:t>–генетической консультацией</w:t>
      </w:r>
      <w:r w:rsidRPr="002A207B">
        <w:rPr>
          <w:rFonts w:ascii="PT Astra Serif" w:hAnsi="PT Astra Serif" w:cs="Times New Roman"/>
          <w:szCs w:val="28"/>
        </w:rPr>
        <w:t xml:space="preserve"> на базе ГУЗ «Ульяновская областная детская клиническая больница имени политического </w:t>
      </w:r>
      <w:r w:rsidRPr="002A207B">
        <w:rPr>
          <w:rFonts w:ascii="PT Astra Serif" w:hAnsi="PT Astra Serif" w:cs="Times New Roman"/>
          <w:szCs w:val="28"/>
        </w:rPr>
        <w:br/>
        <w:t xml:space="preserve">и общественного деятеля Ю.Ф. Горячева» в 2025 году проведено: </w:t>
      </w:r>
    </w:p>
    <w:p w14:paraId="5C3D261A"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1 159 консультаций детей и 1 628 взрослых, </w:t>
      </w:r>
    </w:p>
    <w:p w14:paraId="30EB8C6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6 344 исследования в рамках проведения пренатальной диагностики (дородовой) диагностики нарушения развития ребёнка, </w:t>
      </w:r>
    </w:p>
    <w:p w14:paraId="57757CBE"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7 202 исследования в рамках проведения неонатального </w:t>
      </w:r>
      <w:r w:rsidRPr="002A207B">
        <w:rPr>
          <w:rFonts w:ascii="PT Astra Serif" w:hAnsi="PT Astra Serif" w:cs="Times New Roman"/>
          <w:szCs w:val="28"/>
        </w:rPr>
        <w:br/>
        <w:t xml:space="preserve">и </w:t>
      </w:r>
      <w:proofErr w:type="spellStart"/>
      <w:r w:rsidRPr="002A207B">
        <w:rPr>
          <w:rFonts w:ascii="PT Astra Serif" w:hAnsi="PT Astra Serif" w:cs="Times New Roman"/>
          <w:szCs w:val="28"/>
        </w:rPr>
        <w:t>аудиологических</w:t>
      </w:r>
      <w:proofErr w:type="spellEnd"/>
      <w:r w:rsidRPr="002A207B">
        <w:rPr>
          <w:rFonts w:ascii="PT Astra Serif" w:hAnsi="PT Astra Serif" w:cs="Times New Roman"/>
          <w:szCs w:val="28"/>
        </w:rPr>
        <w:t xml:space="preserve"> </w:t>
      </w:r>
      <w:proofErr w:type="spellStart"/>
      <w:r w:rsidRPr="002A207B">
        <w:rPr>
          <w:rFonts w:ascii="PT Astra Serif" w:hAnsi="PT Astra Serif" w:cs="Times New Roman"/>
          <w:szCs w:val="28"/>
        </w:rPr>
        <w:t>скринингов</w:t>
      </w:r>
      <w:proofErr w:type="spellEnd"/>
      <w:r w:rsidRPr="002A207B">
        <w:rPr>
          <w:rFonts w:ascii="PT Astra Serif" w:hAnsi="PT Astra Serif" w:cs="Times New Roman"/>
          <w:szCs w:val="28"/>
        </w:rPr>
        <w:t>,</w:t>
      </w:r>
    </w:p>
    <w:p w14:paraId="513F6980"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902 исследования на определение генетических полиморфизмов, ассоциированных с риском </w:t>
      </w:r>
      <w:proofErr w:type="spellStart"/>
      <w:r w:rsidRPr="002A207B">
        <w:rPr>
          <w:rFonts w:ascii="PT Astra Serif" w:hAnsi="PT Astra Serif" w:cs="Times New Roman"/>
          <w:szCs w:val="28"/>
        </w:rPr>
        <w:t>тромбофилии</w:t>
      </w:r>
      <w:proofErr w:type="spellEnd"/>
      <w:r w:rsidRPr="002A207B">
        <w:rPr>
          <w:rFonts w:ascii="PT Astra Serif" w:hAnsi="PT Astra Serif" w:cs="Times New Roman"/>
          <w:szCs w:val="28"/>
        </w:rPr>
        <w:t xml:space="preserve">, нарушением </w:t>
      </w:r>
      <w:proofErr w:type="spellStart"/>
      <w:r w:rsidRPr="002A207B">
        <w:rPr>
          <w:rFonts w:ascii="PT Astra Serif" w:hAnsi="PT Astra Serif" w:cs="Times New Roman"/>
          <w:szCs w:val="28"/>
        </w:rPr>
        <w:t>фолатного</w:t>
      </w:r>
      <w:proofErr w:type="spellEnd"/>
      <w:r w:rsidRPr="002A207B">
        <w:rPr>
          <w:rFonts w:ascii="PT Astra Serif" w:hAnsi="PT Astra Serif" w:cs="Times New Roman"/>
          <w:szCs w:val="28"/>
        </w:rPr>
        <w:t xml:space="preserve"> цикла, </w:t>
      </w:r>
      <w:r w:rsidRPr="002A207B">
        <w:rPr>
          <w:rFonts w:ascii="PT Astra Serif" w:hAnsi="PT Astra Serif" w:cs="Times New Roman"/>
          <w:szCs w:val="28"/>
        </w:rPr>
        <w:br/>
        <w:t xml:space="preserve">и антифосфолипидного синдрома, </w:t>
      </w:r>
    </w:p>
    <w:p w14:paraId="08BF4399"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207 цитологических исследований,</w:t>
      </w:r>
    </w:p>
    <w:p w14:paraId="2C90EDDE"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1 137 молекулярно-цитогенетических исследований.</w:t>
      </w:r>
    </w:p>
    <w:p w14:paraId="4F023AB5" w14:textId="251882C8"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Наличие массовых </w:t>
      </w:r>
      <w:proofErr w:type="spellStart"/>
      <w:r w:rsidRPr="002A207B">
        <w:rPr>
          <w:rFonts w:ascii="PT Astra Serif" w:hAnsi="PT Astra Serif" w:cs="Times New Roman"/>
          <w:szCs w:val="28"/>
        </w:rPr>
        <w:t>скрининговых</w:t>
      </w:r>
      <w:proofErr w:type="spellEnd"/>
      <w:r w:rsidRPr="002A207B">
        <w:rPr>
          <w:rFonts w:ascii="PT Astra Serif" w:hAnsi="PT Astra Serif" w:cs="Times New Roman"/>
          <w:szCs w:val="28"/>
        </w:rPr>
        <w:t xml:space="preserve"> программ приводит снижению детской смертности и инвалидности, увеличению продолжительности </w:t>
      </w:r>
      <w:r w:rsidR="00605C2A">
        <w:rPr>
          <w:rFonts w:ascii="PT Astra Serif" w:hAnsi="PT Astra Serif" w:cs="Times New Roman"/>
          <w:szCs w:val="28"/>
        </w:rPr>
        <w:br/>
      </w:r>
      <w:r w:rsidRPr="002A207B">
        <w:rPr>
          <w:rFonts w:ascii="PT Astra Serif" w:hAnsi="PT Astra Serif" w:cs="Times New Roman"/>
          <w:szCs w:val="28"/>
        </w:rPr>
        <w:t xml:space="preserve">и качества жизни, а также социальной адаптации в обществе. </w:t>
      </w:r>
    </w:p>
    <w:p w14:paraId="23932286" w14:textId="4FE21533" w:rsidR="002A207B" w:rsidRPr="00605C2A" w:rsidRDefault="002A207B" w:rsidP="002A207B">
      <w:pPr>
        <w:widowControl w:val="0"/>
        <w:rPr>
          <w:rFonts w:ascii="PT Astra Serif" w:hAnsi="PT Astra Serif" w:cs="Times New Roman"/>
          <w:spacing w:val="-18"/>
          <w:szCs w:val="28"/>
        </w:rPr>
      </w:pPr>
      <w:r w:rsidRPr="002A207B">
        <w:rPr>
          <w:rFonts w:ascii="PT Astra Serif" w:hAnsi="PT Astra Serif" w:cs="Times New Roman"/>
          <w:szCs w:val="28"/>
        </w:rPr>
        <w:t>Финансирование программы «Обеспечение расширенного неонатального скрининга на территории Ульяновской области» в 2025 году составило 28 718,13 тыс. руб</w:t>
      </w:r>
      <w:r w:rsidR="00605C2A">
        <w:rPr>
          <w:rFonts w:ascii="PT Astra Serif" w:hAnsi="PT Astra Serif" w:cs="Times New Roman"/>
          <w:szCs w:val="28"/>
        </w:rPr>
        <w:t>лей</w:t>
      </w:r>
      <w:r w:rsidRPr="002A207B">
        <w:rPr>
          <w:rFonts w:ascii="PT Astra Serif" w:hAnsi="PT Astra Serif" w:cs="Times New Roman"/>
          <w:szCs w:val="28"/>
        </w:rPr>
        <w:t xml:space="preserve">, из них 22 974,5 тыс. </w:t>
      </w:r>
      <w:r w:rsidR="00605C2A" w:rsidRPr="002A207B">
        <w:rPr>
          <w:rFonts w:ascii="PT Astra Serif" w:hAnsi="PT Astra Serif" w:cs="Times New Roman"/>
          <w:szCs w:val="28"/>
        </w:rPr>
        <w:t>руб</w:t>
      </w:r>
      <w:r w:rsidR="00605C2A">
        <w:rPr>
          <w:rFonts w:ascii="PT Astra Serif" w:hAnsi="PT Astra Serif" w:cs="Times New Roman"/>
          <w:szCs w:val="28"/>
        </w:rPr>
        <w:t>лей</w:t>
      </w:r>
      <w:r w:rsidRPr="002A207B">
        <w:rPr>
          <w:rFonts w:ascii="PT Astra Serif" w:hAnsi="PT Astra Serif" w:cs="Times New Roman"/>
          <w:szCs w:val="28"/>
        </w:rPr>
        <w:t xml:space="preserve"> из федерального бюджета, 5 743,63 тыс. </w:t>
      </w:r>
      <w:r w:rsidR="00605C2A" w:rsidRPr="002A207B">
        <w:rPr>
          <w:rFonts w:ascii="PT Astra Serif" w:hAnsi="PT Astra Serif" w:cs="Times New Roman"/>
          <w:szCs w:val="28"/>
        </w:rPr>
        <w:t>руб</w:t>
      </w:r>
      <w:r w:rsidR="00605C2A">
        <w:rPr>
          <w:rFonts w:ascii="PT Astra Serif" w:hAnsi="PT Astra Serif" w:cs="Times New Roman"/>
          <w:szCs w:val="28"/>
        </w:rPr>
        <w:t>лей</w:t>
      </w:r>
      <w:r w:rsidRPr="002A207B">
        <w:rPr>
          <w:rFonts w:ascii="PT Astra Serif" w:hAnsi="PT Astra Serif" w:cs="Times New Roman"/>
          <w:szCs w:val="28"/>
        </w:rPr>
        <w:t xml:space="preserve"> – средства областного бюджета</w:t>
      </w:r>
      <w:r w:rsidRPr="00605C2A">
        <w:rPr>
          <w:rFonts w:ascii="PT Astra Serif" w:hAnsi="PT Astra Serif" w:cs="Times New Roman"/>
          <w:spacing w:val="-18"/>
          <w:szCs w:val="28"/>
        </w:rPr>
        <w:t xml:space="preserve">. </w:t>
      </w:r>
    </w:p>
    <w:p w14:paraId="5EA0305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все новорожденные </w:t>
      </w:r>
      <w:r w:rsidRPr="002A207B">
        <w:rPr>
          <w:rFonts w:ascii="PT Astra Serif" w:hAnsi="PT Astra Serif" w:cs="Times New Roman"/>
          <w:b/>
          <w:szCs w:val="28"/>
        </w:rPr>
        <w:t xml:space="preserve">недоношенные дети с тяжелым заболеванием сетчатки – </w:t>
      </w:r>
      <w:proofErr w:type="spellStart"/>
      <w:r w:rsidRPr="002A207B">
        <w:rPr>
          <w:rFonts w:ascii="PT Astra Serif" w:hAnsi="PT Astra Serif" w:cs="Times New Roman"/>
          <w:b/>
          <w:szCs w:val="28"/>
        </w:rPr>
        <w:t>ретинопатией</w:t>
      </w:r>
      <w:proofErr w:type="spellEnd"/>
      <w:r w:rsidRPr="002A207B">
        <w:rPr>
          <w:rFonts w:ascii="PT Astra Serif" w:hAnsi="PT Astra Serif" w:cs="Times New Roman"/>
          <w:b/>
          <w:szCs w:val="28"/>
        </w:rPr>
        <w:t xml:space="preserve"> недоношенного</w:t>
      </w:r>
      <w:r w:rsidRPr="002A207B">
        <w:rPr>
          <w:rFonts w:ascii="PT Astra Serif" w:hAnsi="PT Astra Serif" w:cs="Times New Roman"/>
          <w:szCs w:val="28"/>
        </w:rPr>
        <w:t xml:space="preserve"> – получили необходимое хирургическое лечение – </w:t>
      </w:r>
      <w:proofErr w:type="spellStart"/>
      <w:r w:rsidRPr="002A207B">
        <w:rPr>
          <w:rFonts w:ascii="PT Astra Serif" w:hAnsi="PT Astra Serif" w:cs="Times New Roman"/>
          <w:szCs w:val="28"/>
        </w:rPr>
        <w:t>интравитреальное</w:t>
      </w:r>
      <w:proofErr w:type="spellEnd"/>
      <w:r w:rsidRPr="002A207B">
        <w:rPr>
          <w:rFonts w:ascii="PT Astra Serif" w:hAnsi="PT Astra Serif" w:cs="Times New Roman"/>
          <w:szCs w:val="28"/>
        </w:rPr>
        <w:t xml:space="preserve"> введение лекарственных препаратов: прооперировано 9 новорожденных (18 глаз) на базе ГУЗ «Ульяновская областная детская клиническая больница имени политического и общественного деятеля Ю.Ф. Горячева». Это позволило предотвратить отслойку сетчатки и сохранить зрение малышей, снизив, тем самым показатели инвалидности по зрению. С 2024 года внедрено проведение консервативной терапии тяжёлой </w:t>
      </w:r>
      <w:proofErr w:type="spellStart"/>
      <w:r w:rsidRPr="002A207B">
        <w:rPr>
          <w:rFonts w:ascii="PT Astra Serif" w:hAnsi="PT Astra Serif" w:cs="Times New Roman"/>
          <w:szCs w:val="28"/>
        </w:rPr>
        <w:t>ретинопатии</w:t>
      </w:r>
      <w:proofErr w:type="spellEnd"/>
      <w:r w:rsidRPr="002A207B">
        <w:rPr>
          <w:rFonts w:ascii="PT Astra Serif" w:hAnsi="PT Astra Serif" w:cs="Times New Roman"/>
          <w:szCs w:val="28"/>
        </w:rPr>
        <w:t xml:space="preserve"> недоношенных ингибитором </w:t>
      </w:r>
      <w:proofErr w:type="spellStart"/>
      <w:r w:rsidRPr="002A207B">
        <w:rPr>
          <w:rFonts w:ascii="PT Astra Serif" w:hAnsi="PT Astra Serif" w:cs="Times New Roman"/>
          <w:szCs w:val="28"/>
        </w:rPr>
        <w:t>вазопролиферативного</w:t>
      </w:r>
      <w:proofErr w:type="spellEnd"/>
      <w:r w:rsidRPr="002A207B">
        <w:rPr>
          <w:rFonts w:ascii="PT Astra Serif" w:hAnsi="PT Astra Serif" w:cs="Times New Roman"/>
          <w:szCs w:val="28"/>
        </w:rPr>
        <w:t xml:space="preserve"> фактора.</w:t>
      </w:r>
    </w:p>
    <w:p w14:paraId="426A71C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увеличено проведение малоинвазивных операций под УЗИ контролем, до 20 операций, </w:t>
      </w:r>
      <w:proofErr w:type="spellStart"/>
      <w:r w:rsidRPr="002A207B">
        <w:rPr>
          <w:rFonts w:ascii="PT Astra Serif" w:hAnsi="PT Astra Serif" w:cs="Times New Roman"/>
          <w:szCs w:val="28"/>
        </w:rPr>
        <w:t>лапароскописческих</w:t>
      </w:r>
      <w:proofErr w:type="spellEnd"/>
      <w:r w:rsidRPr="002A207B">
        <w:rPr>
          <w:rFonts w:ascii="PT Astra Serif" w:hAnsi="PT Astra Serif" w:cs="Times New Roman"/>
          <w:szCs w:val="28"/>
        </w:rPr>
        <w:t xml:space="preserve"> операций до 430 Ультразвуковое наведение инструмента минимизировало операционные риски, уменьшило размер операционных ран (разрезов), сократило время операции и ускорило процесс выздоровления детей. Также увеличено </w:t>
      </w:r>
      <w:r w:rsidRPr="002A207B">
        <w:rPr>
          <w:rFonts w:ascii="PT Astra Serif" w:hAnsi="PT Astra Serif" w:cs="Times New Roman"/>
          <w:szCs w:val="28"/>
        </w:rPr>
        <w:lastRenderedPageBreak/>
        <w:t xml:space="preserve">проведение малоинвазивных постановок эндоскопических </w:t>
      </w:r>
      <w:proofErr w:type="spellStart"/>
      <w:r w:rsidRPr="002A207B">
        <w:rPr>
          <w:rFonts w:ascii="PT Astra Serif" w:hAnsi="PT Astra Serif" w:cs="Times New Roman"/>
          <w:szCs w:val="28"/>
        </w:rPr>
        <w:t>гастростом</w:t>
      </w:r>
      <w:proofErr w:type="spellEnd"/>
      <w:r w:rsidRPr="002A207B">
        <w:rPr>
          <w:rFonts w:ascii="PT Astra Serif" w:hAnsi="PT Astra Serif" w:cs="Times New Roman"/>
          <w:szCs w:val="28"/>
        </w:rPr>
        <w:t xml:space="preserve"> при оказании паллиативной помощи детям инвалидам.</w:t>
      </w:r>
    </w:p>
    <w:p w14:paraId="089B139E" w14:textId="77777777" w:rsidR="002A207B" w:rsidRPr="002A207B" w:rsidRDefault="002A207B" w:rsidP="00A1044B">
      <w:pPr>
        <w:widowControl w:val="0"/>
        <w:ind w:firstLine="0"/>
        <w:jc w:val="center"/>
        <w:rPr>
          <w:rFonts w:ascii="PT Astra Serif" w:hAnsi="PT Astra Serif" w:cs="Times New Roman"/>
          <w:bCs/>
          <w:szCs w:val="28"/>
        </w:rPr>
      </w:pPr>
    </w:p>
    <w:p w14:paraId="404C5CB4" w14:textId="77777777" w:rsidR="002A207B" w:rsidRPr="002A207B" w:rsidRDefault="002A207B" w:rsidP="00A1044B">
      <w:pPr>
        <w:widowControl w:val="0"/>
        <w:ind w:firstLine="0"/>
        <w:jc w:val="center"/>
        <w:rPr>
          <w:rFonts w:ascii="PT Astra Serif" w:hAnsi="PT Astra Serif" w:cs="Times New Roman"/>
          <w:b/>
          <w:bCs/>
          <w:szCs w:val="28"/>
        </w:rPr>
      </w:pPr>
      <w:r w:rsidRPr="002A207B">
        <w:rPr>
          <w:rFonts w:ascii="PT Astra Serif" w:hAnsi="PT Astra Serif" w:cs="Times New Roman"/>
          <w:b/>
          <w:bCs/>
          <w:szCs w:val="28"/>
        </w:rPr>
        <w:t>Развитие службы родовспоможения</w:t>
      </w:r>
    </w:p>
    <w:p w14:paraId="4C8D4A18" w14:textId="77777777" w:rsidR="002A207B" w:rsidRPr="002A207B" w:rsidRDefault="002A207B" w:rsidP="00A1044B">
      <w:pPr>
        <w:widowControl w:val="0"/>
        <w:ind w:firstLine="0"/>
        <w:jc w:val="center"/>
        <w:rPr>
          <w:rFonts w:ascii="PT Astra Serif" w:hAnsi="PT Astra Serif" w:cs="Times New Roman"/>
          <w:bCs/>
          <w:szCs w:val="28"/>
        </w:rPr>
      </w:pPr>
    </w:p>
    <w:p w14:paraId="6360595A" w14:textId="77777777" w:rsidR="002A207B" w:rsidRPr="002A207B" w:rsidRDefault="002A207B" w:rsidP="002A207B">
      <w:pPr>
        <w:widowControl w:val="0"/>
        <w:rPr>
          <w:rFonts w:ascii="PT Astra Serif" w:hAnsi="PT Astra Serif" w:cs="Times New Roman"/>
          <w:b/>
          <w:szCs w:val="28"/>
        </w:rPr>
      </w:pPr>
      <w:r w:rsidRPr="002A207B">
        <w:rPr>
          <w:rFonts w:ascii="PT Astra Serif" w:hAnsi="PT Astra Serif" w:cs="Times New Roman"/>
          <w:b/>
          <w:szCs w:val="28"/>
        </w:rPr>
        <w:t>Численность женского населения на территории Ульяновской области на 01.01.2025 составляет 630 653 человек.</w:t>
      </w:r>
    </w:p>
    <w:p w14:paraId="0250BB59"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2025 году численность женского населения сократилась на 3 512 человек. В структуре населения региона доля женского населения составляет 54,1%.</w:t>
      </w:r>
    </w:p>
    <w:p w14:paraId="6E2FFD27"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b/>
          <w:szCs w:val="28"/>
        </w:rPr>
        <w:t>Численность детского населения</w:t>
      </w:r>
      <w:r w:rsidRPr="002A207B">
        <w:rPr>
          <w:rFonts w:ascii="PT Astra Serif" w:hAnsi="PT Astra Serif" w:cs="Times New Roman"/>
          <w:szCs w:val="28"/>
        </w:rPr>
        <w:t xml:space="preserve"> в 2024 году уменьшилась на 2 384 человек и </w:t>
      </w:r>
      <w:r w:rsidRPr="002A207B">
        <w:rPr>
          <w:rFonts w:ascii="PT Astra Serif" w:hAnsi="PT Astra Serif" w:cs="Times New Roman"/>
          <w:b/>
          <w:szCs w:val="28"/>
        </w:rPr>
        <w:t>составила 217 593 тыс. человек.</w:t>
      </w:r>
      <w:r w:rsidRPr="002A207B">
        <w:rPr>
          <w:rFonts w:ascii="PT Astra Serif" w:hAnsi="PT Astra Serif" w:cs="Times New Roman"/>
          <w:szCs w:val="28"/>
        </w:rPr>
        <w:t xml:space="preserve"> Доля детского населения </w:t>
      </w:r>
      <w:r w:rsidRPr="002A207B">
        <w:rPr>
          <w:rFonts w:ascii="PT Astra Serif" w:hAnsi="PT Astra Serif" w:cs="Times New Roman"/>
          <w:szCs w:val="28"/>
        </w:rPr>
        <w:br/>
        <w:t>в структуре населения региона составляет 18,67%.</w:t>
      </w:r>
    </w:p>
    <w:p w14:paraId="420FA75F" w14:textId="40566BBE"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Охват профилактическими медицинскими осмотрами подростков </w:t>
      </w:r>
      <w:r w:rsidRPr="002A207B">
        <w:rPr>
          <w:rFonts w:ascii="PT Astra Serif" w:hAnsi="PT Astra Serif" w:cs="Times New Roman"/>
          <w:szCs w:val="28"/>
        </w:rPr>
        <w:br/>
        <w:t xml:space="preserve">в возрасте 15-17 лет с целью охраны репродуктивного здоровья несовершеннолетних (в том числе мальчиков врачами урологами, девочек – врачами акушерами-гинекологами) в 2025 году составил 100 %. </w:t>
      </w:r>
    </w:p>
    <w:p w14:paraId="6D94CF2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Для планирования рождения здорового ребёнка организовано проведение </w:t>
      </w:r>
      <w:proofErr w:type="spellStart"/>
      <w:r w:rsidRPr="002A207B">
        <w:rPr>
          <w:rFonts w:ascii="PT Astra Serif" w:hAnsi="PT Astra Serif" w:cs="Times New Roman"/>
          <w:szCs w:val="28"/>
        </w:rPr>
        <w:t>прегравидарной</w:t>
      </w:r>
      <w:proofErr w:type="spellEnd"/>
      <w:r w:rsidRPr="002A207B">
        <w:rPr>
          <w:rFonts w:ascii="PT Astra Serif" w:hAnsi="PT Astra Serif" w:cs="Times New Roman"/>
          <w:szCs w:val="28"/>
        </w:rPr>
        <w:t xml:space="preserve"> подготовки к беременности, ранняя диспансеризация в женской консультации, консультирование узкими специалистами, что позволяет диагностировать все имеющиеся заболевания </w:t>
      </w:r>
      <w:r w:rsidRPr="002A207B">
        <w:rPr>
          <w:rFonts w:ascii="PT Astra Serif" w:hAnsi="PT Astra Serif" w:cs="Times New Roman"/>
          <w:szCs w:val="28"/>
        </w:rPr>
        <w:br/>
        <w:t>и провести своевременные диагностические и лечебные мероприятия.</w:t>
      </w:r>
    </w:p>
    <w:p w14:paraId="00DB539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Под диспансерное наблюдение женских консультаций с января по декабрь 2025 года поступило 7 107 беременных женщин (учитывается </w:t>
      </w:r>
      <w:r w:rsidRPr="002A207B">
        <w:rPr>
          <w:rFonts w:ascii="PT Astra Serif" w:hAnsi="PT Astra Serif" w:cs="Times New Roman"/>
          <w:szCs w:val="28"/>
        </w:rPr>
        <w:br/>
        <w:t xml:space="preserve">с г. Димитровград), на 547 человек меньше АППГ (7 654 человек). </w:t>
      </w:r>
    </w:p>
    <w:p w14:paraId="7921EA9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Показатель ранней постановки на диспансерное наблюдение за данный период 2025 года остаётся на прежнем уровне и составляет 93,5%.</w:t>
      </w:r>
    </w:p>
    <w:p w14:paraId="2530B769"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Охват беременных женщин </w:t>
      </w:r>
      <w:proofErr w:type="spellStart"/>
      <w:r w:rsidRPr="002A207B">
        <w:rPr>
          <w:rFonts w:ascii="PT Astra Serif" w:hAnsi="PT Astra Serif" w:cs="Times New Roman"/>
          <w:szCs w:val="28"/>
        </w:rPr>
        <w:t>пренатальным</w:t>
      </w:r>
      <w:proofErr w:type="spellEnd"/>
      <w:r w:rsidRPr="002A207B">
        <w:rPr>
          <w:rFonts w:ascii="PT Astra Serif" w:hAnsi="PT Astra Serif" w:cs="Times New Roman"/>
          <w:szCs w:val="28"/>
        </w:rPr>
        <w:t xml:space="preserve"> скринингом за 2025 год составил 98,8% (за 2024 год составил 98,4%).</w:t>
      </w:r>
    </w:p>
    <w:p w14:paraId="58F90A63"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Отмечается снижение общего числа родов на территории Ульяновской области на 7,1%, с 7 880 родов в 2024 году до 7 323 в 2025 году. </w:t>
      </w:r>
    </w:p>
    <w:p w14:paraId="65107099"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Доля родов в перинатальном центре от всех родов в учреждениях родовспоможения региона осталась на прежнем уровне по сравнению </w:t>
      </w:r>
      <w:r w:rsidRPr="002A207B">
        <w:rPr>
          <w:rFonts w:ascii="PT Astra Serif" w:hAnsi="PT Astra Serif" w:cs="Times New Roman"/>
          <w:szCs w:val="28"/>
        </w:rPr>
        <w:br/>
        <w:t>с АППГ и составила 35%.</w:t>
      </w:r>
    </w:p>
    <w:p w14:paraId="42BC885B"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По данным за 12 месяцев 2025 года отмечается рост</w:t>
      </w:r>
      <w:r w:rsidRPr="002A207B">
        <w:rPr>
          <w:rFonts w:ascii="PT Astra Serif" w:hAnsi="PT Astra Serif" w:cs="Times New Roman"/>
          <w:b/>
          <w:szCs w:val="28"/>
        </w:rPr>
        <w:t xml:space="preserve"> </w:t>
      </w:r>
      <w:r w:rsidRPr="002A207B">
        <w:rPr>
          <w:rFonts w:ascii="PT Astra Serif" w:hAnsi="PT Astra Serif" w:cs="Times New Roman"/>
          <w:szCs w:val="28"/>
        </w:rPr>
        <w:t xml:space="preserve">показателя младенческой смертности по сравнению с аналогичным периодом 2024 года </w:t>
      </w:r>
      <w:r w:rsidRPr="002A207B">
        <w:rPr>
          <w:rFonts w:ascii="PT Astra Serif" w:hAnsi="PT Astra Serif" w:cs="Times New Roman"/>
          <w:szCs w:val="28"/>
        </w:rPr>
        <w:br/>
        <w:t>и составил 4,9% (2024 год – 4,4%).</w:t>
      </w:r>
    </w:p>
    <w:p w14:paraId="55C7DEAD"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За 2025 год в возрасте до 1 года умерло 38 детей, что на 1 ребенка больше, чем за 2024 год (37 детей).</w:t>
      </w:r>
    </w:p>
    <w:p w14:paraId="6FB687F5"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В 2025 году случаев материнской смертности не зарегистрировано. </w:t>
      </w:r>
      <w:r w:rsidRPr="002A207B">
        <w:rPr>
          <w:rFonts w:ascii="PT Astra Serif" w:hAnsi="PT Astra Serif" w:cs="Times New Roman"/>
          <w:szCs w:val="28"/>
        </w:rPr>
        <w:br/>
        <w:t>В 2024 году зарегистрировано 4 случая материнской смертности. Показатель материнской смертности составил 48,6 на 100 тыс. рожденных живыми детей.</w:t>
      </w:r>
    </w:p>
    <w:p w14:paraId="488ABE89"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Демографическая ситуация в области характеризуется снижением численности женщин репродуктивного возраста и составляет в 2025 году 230 989 женщин (в 2024 году 250 948 женщин).</w:t>
      </w:r>
    </w:p>
    <w:p w14:paraId="0DBC636A"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lastRenderedPageBreak/>
        <w:t>По оперативным данным за 2025 год родился 7 331 ребенок, что на 573 ребенка меньше, чем за аналогичный период 2024 года (7 904 человек).</w:t>
      </w:r>
    </w:p>
    <w:p w14:paraId="713CE87A" w14:textId="7372BBBF"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Одним из резервов повышения рождаемости является снижение числа абортов. Из числа женщин, обратившихся в медицинскую организацию </w:t>
      </w:r>
      <w:r w:rsidR="00E57F26">
        <w:rPr>
          <w:rFonts w:ascii="PT Astra Serif" w:hAnsi="PT Astra Serif" w:cs="Times New Roman"/>
          <w:szCs w:val="28"/>
        </w:rPr>
        <w:br/>
      </w:r>
      <w:r w:rsidRPr="002A207B">
        <w:rPr>
          <w:rFonts w:ascii="PT Astra Serif" w:hAnsi="PT Astra Serif" w:cs="Times New Roman"/>
          <w:szCs w:val="28"/>
        </w:rPr>
        <w:t>с желанием прервать беременность (515 человек) получили консультации специалистов кабинета (центра) медико-социальной поддержки беременных женщин – 515 женщин, из них отказались от искусственного прерывания беременности и взяты под диспансерное наблюдение по беременности – 178 женщин (34,6%), АПГГ – 35,1%.</w:t>
      </w:r>
    </w:p>
    <w:p w14:paraId="48AF964B"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По данным в государственных учреждениях здравоохранения зарегистрировано 1 646 прерываний беременности, что на 14,2% меньше по сравнению с аналогичным периодом прошлого года (в 2024 году – 1 918), из них искусственных прерываний беременности по желанию женщины - 340, что на 84 прерывания (19,8%) меньше по сравнению с аналогичным периодом прошлого года (в 2024 году - 424). </w:t>
      </w:r>
    </w:p>
    <w:p w14:paraId="13258C66"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структуре прерывания беременности доля искусственного прерывания беременности по желанию женщины занимает третье место, составляет 20,7%, снизилась на 6,3% по отношению к АПГГ.</w:t>
      </w:r>
    </w:p>
    <w:p w14:paraId="2287CDAB"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11 негосударственных медицинских организациях с начала 2025 года выполнено 1146 абортов, что на 20,6% меньше по сравнению</w:t>
      </w:r>
      <w:r w:rsidRPr="002A207B">
        <w:rPr>
          <w:rFonts w:ascii="PT Astra Serif" w:hAnsi="PT Astra Serif" w:cs="Times New Roman"/>
          <w:szCs w:val="28"/>
        </w:rPr>
        <w:br/>
        <w:t xml:space="preserve"> с аналогичным периодом прошлого года (1 444).</w:t>
      </w:r>
    </w:p>
    <w:p w14:paraId="4EE9DDD4"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В 2025 году в структуре беременных женщин, желающих прервать беременность, отмечается снижение во всех возрастах, в 2024 году отмечался рост в возрастной группе 30 - 39 лет. Третью и последующую беременность прерывают 70,6% женщин, вторую – 25,8%, первую – 3,6%.</w:t>
      </w:r>
    </w:p>
    <w:p w14:paraId="7CEFFD81"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С целью повышения рождаемости в регионе выстроена система оказания медицинской помощи женщинам при бесплодии и </w:t>
      </w:r>
      <w:proofErr w:type="spellStart"/>
      <w:r w:rsidRPr="002A207B">
        <w:rPr>
          <w:rFonts w:ascii="PT Astra Serif" w:hAnsi="PT Astra Serif" w:cs="Times New Roman"/>
          <w:szCs w:val="28"/>
        </w:rPr>
        <w:t>невынашивании</w:t>
      </w:r>
      <w:proofErr w:type="spellEnd"/>
      <w:r w:rsidRPr="002A207B">
        <w:rPr>
          <w:rFonts w:ascii="PT Astra Serif" w:hAnsi="PT Astra Serif" w:cs="Times New Roman"/>
          <w:szCs w:val="28"/>
        </w:rPr>
        <w:t xml:space="preserve"> беременности. </w:t>
      </w:r>
    </w:p>
    <w:p w14:paraId="1DDD48DC" w14:textId="77777777" w:rsidR="002A207B" w:rsidRPr="00605C2A" w:rsidRDefault="002A207B" w:rsidP="002A207B">
      <w:pPr>
        <w:widowControl w:val="0"/>
        <w:rPr>
          <w:rFonts w:ascii="PT Astra Serif" w:hAnsi="PT Astra Serif" w:cs="Times New Roman"/>
          <w:szCs w:val="28"/>
        </w:rPr>
      </w:pPr>
      <w:r w:rsidRPr="002A207B">
        <w:rPr>
          <w:rFonts w:ascii="PT Astra Serif" w:hAnsi="PT Astra Serif" w:cs="Times New Roman"/>
          <w:szCs w:val="28"/>
        </w:rPr>
        <w:t xml:space="preserve">За отчётный период года выдано 724 направления (в 2024 году – 800) как </w:t>
      </w:r>
      <w:r w:rsidRPr="00605C2A">
        <w:rPr>
          <w:rFonts w:ascii="PT Astra Serif" w:hAnsi="PT Astra Serif" w:cs="Times New Roman"/>
          <w:szCs w:val="28"/>
        </w:rPr>
        <w:t>в клиники Ульяновской области ООО «</w:t>
      </w:r>
      <w:proofErr w:type="spellStart"/>
      <w:r w:rsidRPr="00605C2A">
        <w:rPr>
          <w:rFonts w:ascii="PT Astra Serif" w:hAnsi="PT Astra Serif" w:cs="Times New Roman"/>
          <w:szCs w:val="28"/>
        </w:rPr>
        <w:t>АльянсКлиник</w:t>
      </w:r>
      <w:proofErr w:type="spellEnd"/>
      <w:r w:rsidRPr="00605C2A">
        <w:rPr>
          <w:rFonts w:ascii="PT Astra Serif" w:hAnsi="PT Astra Serif" w:cs="Times New Roman"/>
          <w:szCs w:val="28"/>
        </w:rPr>
        <w:t>» и ООО «Центр ЭКО», так и за пределы региона, в том числе в федеральные медицинские учреждения. Проведено 604 процедуры ЭКО за счёт средств ОМС (2024 год - 706). Взято на учёт по беременности 87 женщин (2024 год - 143), зарегистрировано 111 (2024 год -116) родов с рождением 115 детей (2024 год - 124), многоплодных родов – 2 (2024 год - 4).</w:t>
      </w:r>
    </w:p>
    <w:p w14:paraId="4D40D14D" w14:textId="77777777" w:rsidR="002A207B" w:rsidRPr="00605C2A" w:rsidRDefault="002A207B" w:rsidP="002A207B">
      <w:pPr>
        <w:widowControl w:val="0"/>
        <w:rPr>
          <w:rFonts w:ascii="PT Astra Serif" w:hAnsi="PT Astra Serif" w:cs="Times New Roman"/>
          <w:szCs w:val="28"/>
        </w:rPr>
      </w:pPr>
    </w:p>
    <w:p w14:paraId="4AAA4559" w14:textId="77777777" w:rsidR="002A207B" w:rsidRPr="00605C2A" w:rsidRDefault="002A207B" w:rsidP="002A207B">
      <w:pPr>
        <w:widowControl w:val="0"/>
        <w:ind w:firstLine="0"/>
        <w:jc w:val="center"/>
        <w:rPr>
          <w:rFonts w:ascii="PT Astra Serif" w:eastAsia="Calibri" w:hAnsi="PT Astra Serif" w:cs="Times New Roman"/>
          <w:b/>
        </w:rPr>
      </w:pPr>
      <w:r w:rsidRPr="00605C2A">
        <w:rPr>
          <w:rFonts w:ascii="PT Astra Serif" w:eastAsia="Calibri" w:hAnsi="PT Astra Serif" w:cs="Times New Roman"/>
          <w:b/>
        </w:rPr>
        <w:t>Цифровая трансформация здравоохранения Ульяновской области</w:t>
      </w:r>
    </w:p>
    <w:p w14:paraId="01334106" w14:textId="77777777" w:rsidR="002A207B" w:rsidRPr="00605C2A" w:rsidRDefault="002A207B" w:rsidP="002A207B">
      <w:pPr>
        <w:widowControl w:val="0"/>
        <w:shd w:val="clear" w:color="auto" w:fill="FFFFFF"/>
        <w:rPr>
          <w:rFonts w:ascii="PT Astra Serif" w:eastAsia="Times New Roman" w:hAnsi="PT Astra Serif" w:cs="Times New Roman"/>
          <w:color w:val="000000"/>
          <w:szCs w:val="28"/>
          <w:lang w:eastAsia="ru-RU"/>
        </w:rPr>
      </w:pPr>
    </w:p>
    <w:p w14:paraId="3D7760A4" w14:textId="59A02A10" w:rsidR="002A207B" w:rsidRPr="00605C2A" w:rsidRDefault="002A207B" w:rsidP="002A207B">
      <w:pPr>
        <w:widowControl w:val="0"/>
        <w:rPr>
          <w:rFonts w:ascii="PT Astra Serif" w:eastAsia="Times New Roman" w:hAnsi="PT Astra Serif" w:cs="Times New Roman"/>
          <w:color w:val="000000"/>
          <w:szCs w:val="28"/>
          <w:lang w:eastAsia="ru-RU"/>
        </w:rPr>
      </w:pPr>
      <w:r w:rsidRPr="00605C2A">
        <w:rPr>
          <w:rFonts w:ascii="PT Astra Serif" w:eastAsia="Times New Roman" w:hAnsi="PT Astra Serif" w:cs="Times New Roman"/>
          <w:color w:val="000000"/>
          <w:szCs w:val="28"/>
          <w:lang w:eastAsia="ru-RU"/>
        </w:rPr>
        <w:t>Цифровая трансформация здравоохранения является частью национальных целей развития Российской Федерации. По итогам реализации мероприятий 2025 года достигнуты следующие показатели и результаты.</w:t>
      </w:r>
    </w:p>
    <w:p w14:paraId="27C34C8F" w14:textId="07B5A430" w:rsidR="002A207B" w:rsidRPr="002A207B" w:rsidRDefault="002A207B" w:rsidP="002A207B">
      <w:pPr>
        <w:widowControl w:val="0"/>
        <w:rPr>
          <w:rFonts w:ascii="PT Astra Serif" w:eastAsia="Times New Roman" w:hAnsi="PT Astra Serif" w:cs="Times New Roman"/>
          <w:color w:val="000000"/>
          <w:szCs w:val="28"/>
          <w:lang w:eastAsia="ru-RU"/>
        </w:rPr>
      </w:pPr>
      <w:r w:rsidRPr="00605C2A">
        <w:rPr>
          <w:rFonts w:ascii="PT Astra Serif" w:eastAsia="Times New Roman" w:hAnsi="PT Astra Serif" w:cs="Times New Roman"/>
          <w:color w:val="000000"/>
          <w:szCs w:val="28"/>
          <w:lang w:eastAsia="ru-RU"/>
        </w:rPr>
        <w:t>В части достижения</w:t>
      </w:r>
      <w:r w:rsidRPr="002A207B">
        <w:rPr>
          <w:rFonts w:ascii="PT Astra Serif" w:eastAsia="Times New Roman" w:hAnsi="PT Astra Serif" w:cs="Times New Roman"/>
          <w:color w:val="000000"/>
          <w:szCs w:val="28"/>
          <w:lang w:eastAsia="ru-RU"/>
        </w:rPr>
        <w:t xml:space="preserve"> показателей «цифровой зрелости» отрасли «Здравоохранение», установленных постановлением Правительства РФ от 28.01.2025 № 58 «Об утверждении методик расчета показателей для оценки эффективности деятельности высших должностных лиц субъектов </w:t>
      </w:r>
      <w:r w:rsidRPr="002A207B">
        <w:rPr>
          <w:rFonts w:ascii="PT Astra Serif" w:eastAsia="Times New Roman" w:hAnsi="PT Astra Serif" w:cs="Times New Roman"/>
          <w:color w:val="000000"/>
          <w:szCs w:val="28"/>
          <w:lang w:eastAsia="ru-RU"/>
        </w:rPr>
        <w:lastRenderedPageBreak/>
        <w:t>Российской Федерации и деятельности исполнительных органов субъектов Российской Федерации»:</w:t>
      </w:r>
    </w:p>
    <w:p w14:paraId="0A5CC4FF"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100% (план – 100%) территориально-выделенных структурных подразделений медицинских организаций региона используют Региональную медицинскую информационную систему (далее – РМИС), соответствующую всем современным требованиями к государственным информационным системам в сфере здравоохранения и требованиям информационной безопасности, и обеспечивают взаимодействие с Единой государственной информационной системой здравоохранения (далее – ЕГИСЗ);</w:t>
      </w:r>
    </w:p>
    <w:p w14:paraId="23FE2336"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281,6% (план – 100%) случаев оказания медицинской помощи, по которым представлены электронные медицинские документы в подсистемы ЕГИСЗ;</w:t>
      </w:r>
    </w:p>
    <w:p w14:paraId="67998769"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94,2% (план 85%) гражданам, являющихся пользователями ЕПГУ, доступны электронные медицинские документы по факту оказания медицинской помощи;</w:t>
      </w:r>
    </w:p>
    <w:p w14:paraId="07ECBB36"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100% (план 100%) медицинских организаций обеспечивают централизованную обработку и хранение в электронном виде результатов диагностических исследований;</w:t>
      </w:r>
    </w:p>
    <w:p w14:paraId="1FD6C7F5"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79,6% (план 64%) записей на прием к врачу было совершено гражданами дистанционно.</w:t>
      </w:r>
    </w:p>
    <w:p w14:paraId="0DC1C478" w14:textId="77777777" w:rsidR="002A207B" w:rsidRPr="002A207B" w:rsidRDefault="002A207B" w:rsidP="002A207B">
      <w:pPr>
        <w:widowControl w:val="0"/>
        <w:rPr>
          <w:rFonts w:ascii="PT Astra Serif" w:eastAsia="Times New Roman" w:hAnsi="PT Astra Serif" w:cs="Times New Roman"/>
          <w:b/>
          <w:color w:val="000000"/>
          <w:szCs w:val="28"/>
          <w:lang w:eastAsia="ru-RU"/>
        </w:rPr>
      </w:pPr>
      <w:r w:rsidRPr="002A207B">
        <w:rPr>
          <w:rFonts w:ascii="PT Astra Serif" w:eastAsia="Times New Roman" w:hAnsi="PT Astra Serif" w:cs="Times New Roman"/>
          <w:b/>
          <w:color w:val="000000"/>
          <w:szCs w:val="28"/>
          <w:lang w:eastAsia="ru-RU"/>
        </w:rPr>
        <w:t>«Цифровая зрелость» по отрасли «Здравоохранение» по итогам 2025 года составила 97,5%.</w:t>
      </w:r>
    </w:p>
    <w:p w14:paraId="5D9AE77D"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 xml:space="preserve">В части достижения показателей стратегического направления </w:t>
      </w:r>
      <w:r w:rsidRPr="002A207B">
        <w:rPr>
          <w:rFonts w:ascii="PT Astra Serif" w:eastAsia="Times New Roman" w:hAnsi="PT Astra Serif" w:cs="Times New Roman"/>
          <w:color w:val="000000"/>
          <w:szCs w:val="28"/>
          <w:lang w:eastAsia="ru-RU"/>
        </w:rPr>
        <w:br/>
        <w:t xml:space="preserve">в области цифровой трансформации здравоохранения, утвержденного распоряжением Правительства Российской Федерации от 17.04.2024 № 959-р «Об утверждении стратегического направления в области цифровой трансформации здравоохранения» применяются 6 медицинских изделий </w:t>
      </w:r>
      <w:r w:rsidRPr="002A207B">
        <w:rPr>
          <w:rFonts w:ascii="PT Astra Serif" w:eastAsia="Times New Roman" w:hAnsi="PT Astra Serif" w:cs="Times New Roman"/>
          <w:color w:val="000000"/>
          <w:szCs w:val="28"/>
          <w:lang w:eastAsia="ru-RU"/>
        </w:rPr>
        <w:br/>
        <w:t xml:space="preserve">с технологией искусственного интеллекта (не менее 4 – план на 2025 год) </w:t>
      </w:r>
      <w:r w:rsidRPr="002A207B">
        <w:rPr>
          <w:rFonts w:ascii="PT Astra Serif" w:eastAsia="Times New Roman" w:hAnsi="PT Astra Serif" w:cs="Times New Roman"/>
          <w:color w:val="000000"/>
          <w:szCs w:val="28"/>
          <w:lang w:eastAsia="ru-RU"/>
        </w:rPr>
        <w:br/>
        <w:t xml:space="preserve">в государственной информационной системе в сфере здравоохранения региона. </w:t>
      </w:r>
    </w:p>
    <w:p w14:paraId="1AAF9395"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 xml:space="preserve">Интеграция РМИС с ЕГИСЗ позволяет не только осуществлять взаимодействие в части обмена медицинскими данными в цифровом контуре, но и обеспечивать предоставление пациентам доступа к цифровым сервисам здравоохранения: на ЕПГУ пациенту предоставляется возможность записи на прием к врачу, проверки полиса ОМС, получения цифрового полиса, прикрепления к поликлинике в режиме онлайн, вызова врача на дом, записи на диспансеризацию и профилактический осмотр, запись на </w:t>
      </w:r>
      <w:proofErr w:type="spellStart"/>
      <w:r w:rsidRPr="002A207B">
        <w:rPr>
          <w:rFonts w:ascii="PT Astra Serif" w:eastAsia="Times New Roman" w:hAnsi="PT Astra Serif" w:cs="Times New Roman"/>
          <w:color w:val="000000"/>
          <w:szCs w:val="28"/>
          <w:lang w:eastAsia="ru-RU"/>
        </w:rPr>
        <w:t>донацию</w:t>
      </w:r>
      <w:proofErr w:type="spellEnd"/>
      <w:r w:rsidRPr="002A207B">
        <w:rPr>
          <w:rFonts w:ascii="PT Astra Serif" w:eastAsia="Times New Roman" w:hAnsi="PT Astra Serif" w:cs="Times New Roman"/>
          <w:color w:val="000000"/>
          <w:szCs w:val="28"/>
          <w:lang w:eastAsia="ru-RU"/>
        </w:rPr>
        <w:t xml:space="preserve">, доступ к 31 виду юридически значимых медицинских электронных документов </w:t>
      </w:r>
      <w:r w:rsidRPr="002A207B">
        <w:rPr>
          <w:rFonts w:ascii="PT Astra Serif" w:eastAsia="Times New Roman" w:hAnsi="PT Astra Serif" w:cs="Times New Roman"/>
          <w:color w:val="000000"/>
          <w:szCs w:val="28"/>
          <w:lang w:eastAsia="ru-RU"/>
        </w:rPr>
        <w:br/>
        <w:t xml:space="preserve">(в 2024 году – 20 видов), получение сведений об оказанных медицинских услугах. </w:t>
      </w:r>
    </w:p>
    <w:p w14:paraId="5CBD878E"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 xml:space="preserve">В конце года начата реализация медицинских сервисов в национальном мессенджере MAX. Запись на прием, телемедицинские консультации, в том числе и для закрытия листов нетрудоспособности онлайн, доступ </w:t>
      </w:r>
      <w:r w:rsidRPr="002A207B">
        <w:rPr>
          <w:rFonts w:ascii="PT Astra Serif" w:eastAsia="Times New Roman" w:hAnsi="PT Astra Serif" w:cs="Times New Roman"/>
          <w:color w:val="000000"/>
          <w:szCs w:val="28"/>
          <w:lang w:eastAsia="ru-RU"/>
        </w:rPr>
        <w:br/>
        <w:t xml:space="preserve">к электронным медицинским документам, управление согласиями будут доступны гражданам в еще более удобной форме. </w:t>
      </w:r>
    </w:p>
    <w:p w14:paraId="6E0636EA" w14:textId="77777777" w:rsidR="002A207B" w:rsidRPr="002A207B" w:rsidRDefault="002A207B" w:rsidP="002A207B">
      <w:pPr>
        <w:widowControl w:val="0"/>
        <w:rPr>
          <w:rFonts w:ascii="PT Astra Serif" w:eastAsia="Times New Roman" w:hAnsi="PT Astra Serif" w:cs="Times New Roman"/>
          <w:b/>
          <w:color w:val="000000"/>
          <w:szCs w:val="28"/>
          <w:lang w:eastAsia="ru-RU"/>
        </w:rPr>
      </w:pPr>
      <w:r w:rsidRPr="002A207B">
        <w:rPr>
          <w:rFonts w:ascii="PT Astra Serif" w:eastAsia="Times New Roman" w:hAnsi="PT Astra Serif" w:cs="Times New Roman"/>
          <w:color w:val="000000"/>
          <w:szCs w:val="28"/>
          <w:lang w:eastAsia="ru-RU"/>
        </w:rPr>
        <w:lastRenderedPageBreak/>
        <w:t xml:space="preserve">В 2025 году осуществлены следующие </w:t>
      </w:r>
      <w:r w:rsidRPr="002A207B">
        <w:rPr>
          <w:rFonts w:ascii="PT Astra Serif" w:eastAsia="Times New Roman" w:hAnsi="PT Astra Serif" w:cs="Times New Roman"/>
          <w:b/>
          <w:color w:val="000000"/>
          <w:szCs w:val="28"/>
          <w:lang w:eastAsia="ru-RU"/>
        </w:rPr>
        <w:t>мероприятия по цифровизации отрасли:</w:t>
      </w:r>
    </w:p>
    <w:p w14:paraId="7F759129" w14:textId="083E5356"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развитие систем с искусственным интеллектом: переход на обновленный функционал Системы поддержки принятия врачебных решений «</w:t>
      </w:r>
      <w:proofErr w:type="spellStart"/>
      <w:r w:rsidRPr="002A207B">
        <w:rPr>
          <w:rFonts w:ascii="PT Astra Serif" w:eastAsia="Times New Roman" w:hAnsi="PT Astra Serif" w:cs="Times New Roman"/>
          <w:color w:val="000000"/>
          <w:szCs w:val="28"/>
          <w:lang w:eastAsia="ru-RU"/>
        </w:rPr>
        <w:t>Webiomed</w:t>
      </w:r>
      <w:proofErr w:type="spellEnd"/>
      <w:r w:rsidRPr="002A207B">
        <w:rPr>
          <w:rFonts w:ascii="PT Astra Serif" w:eastAsia="Times New Roman" w:hAnsi="PT Astra Serif" w:cs="Times New Roman"/>
          <w:color w:val="000000"/>
          <w:szCs w:val="28"/>
          <w:lang w:eastAsia="ru-RU"/>
        </w:rPr>
        <w:t>» и подключение новых организаций к платформе сервисов для обработки медицинских изображений на основе искусственного интеллекта «</w:t>
      </w:r>
      <w:proofErr w:type="spellStart"/>
      <w:r w:rsidRPr="002A207B">
        <w:rPr>
          <w:rFonts w:ascii="PT Astra Serif" w:eastAsia="Times New Roman" w:hAnsi="PT Astra Serif" w:cs="Times New Roman"/>
          <w:color w:val="000000"/>
          <w:szCs w:val="28"/>
          <w:lang w:eastAsia="ru-RU"/>
        </w:rPr>
        <w:t>МосМедИИ</w:t>
      </w:r>
      <w:proofErr w:type="spellEnd"/>
      <w:r w:rsidRPr="002A207B">
        <w:rPr>
          <w:rFonts w:ascii="PT Astra Serif" w:eastAsia="Times New Roman" w:hAnsi="PT Astra Serif" w:cs="Times New Roman"/>
          <w:color w:val="000000"/>
          <w:szCs w:val="28"/>
          <w:lang w:eastAsia="ru-RU"/>
        </w:rPr>
        <w:t xml:space="preserve">» (всего на конец года 10 ГУЗ, из них 9 ГУЗ первичного звена, </w:t>
      </w:r>
      <w:r w:rsidR="00605C2A">
        <w:rPr>
          <w:rFonts w:ascii="PT Astra Serif" w:eastAsia="Times New Roman" w:hAnsi="PT Astra Serif" w:cs="Times New Roman"/>
          <w:color w:val="000000"/>
          <w:szCs w:val="28"/>
          <w:lang w:eastAsia="ru-RU"/>
        </w:rPr>
        <w:br/>
      </w:r>
      <w:r w:rsidRPr="002A207B">
        <w:rPr>
          <w:rFonts w:ascii="PT Astra Serif" w:eastAsia="Times New Roman" w:hAnsi="PT Astra Serif" w:cs="Times New Roman"/>
          <w:color w:val="000000"/>
          <w:szCs w:val="28"/>
          <w:lang w:eastAsia="ru-RU"/>
        </w:rPr>
        <w:t>в которых проводится диспансеризация и периодические медицинские осмотры);</w:t>
      </w:r>
    </w:p>
    <w:p w14:paraId="5C4ED04C"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 xml:space="preserve">развитие централизованных подсистем: управление скорой медицинской помощью (в том числе санитарной авиацией), управление льготным лекарственным обеспечением; управление потоками пациентов, телемедицинские консультации, лабораторные исследования, электронное расписание, запись на диспансеризацию и </w:t>
      </w:r>
      <w:proofErr w:type="spellStart"/>
      <w:r w:rsidRPr="002A207B">
        <w:rPr>
          <w:rFonts w:ascii="PT Astra Serif" w:eastAsia="Times New Roman" w:hAnsi="PT Astra Serif" w:cs="Times New Roman"/>
          <w:color w:val="000000"/>
          <w:szCs w:val="28"/>
          <w:lang w:eastAsia="ru-RU"/>
        </w:rPr>
        <w:t>профосмотры</w:t>
      </w:r>
      <w:proofErr w:type="spellEnd"/>
      <w:r w:rsidRPr="002A207B">
        <w:rPr>
          <w:rFonts w:ascii="PT Astra Serif" w:eastAsia="Times New Roman" w:hAnsi="PT Astra Serif" w:cs="Times New Roman"/>
          <w:color w:val="000000"/>
          <w:szCs w:val="28"/>
          <w:lang w:eastAsia="ru-RU"/>
        </w:rPr>
        <w:t>, запись по направлению, вызов врача на дом, электронные медицинские карты, автоматическое формирование реестра счетов в ТФОМС, создание юридически значимых электронных медицинских документов;</w:t>
      </w:r>
    </w:p>
    <w:p w14:paraId="5699DDEE" w14:textId="77777777" w:rsidR="002A207B" w:rsidRPr="002A207B" w:rsidRDefault="002A207B" w:rsidP="002A207B">
      <w:pPr>
        <w:widowControl w:val="0"/>
        <w:rPr>
          <w:rFonts w:ascii="PT Astra Serif" w:eastAsia="Times New Roman" w:hAnsi="PT Astra Serif" w:cs="Times New Roman"/>
          <w:color w:val="000000"/>
          <w:szCs w:val="28"/>
          <w:lang w:eastAsia="ru-RU"/>
        </w:rPr>
      </w:pPr>
      <w:r w:rsidRPr="002A207B">
        <w:rPr>
          <w:rFonts w:ascii="PT Astra Serif" w:eastAsia="Times New Roman" w:hAnsi="PT Astra Serif" w:cs="Times New Roman"/>
          <w:color w:val="000000"/>
          <w:szCs w:val="28"/>
          <w:lang w:eastAsia="ru-RU"/>
        </w:rPr>
        <w:t xml:space="preserve">реализация межведомственного взаимодействие: с фондом социального страхования, с бюро медико-социальной экспертизы, с </w:t>
      </w:r>
      <w:proofErr w:type="spellStart"/>
      <w:r w:rsidRPr="002A207B">
        <w:rPr>
          <w:rFonts w:ascii="PT Astra Serif" w:eastAsia="Times New Roman" w:hAnsi="PT Astra Serif" w:cs="Times New Roman"/>
          <w:color w:val="000000"/>
          <w:szCs w:val="28"/>
          <w:lang w:eastAsia="ru-RU"/>
        </w:rPr>
        <w:t>Росгвардией</w:t>
      </w:r>
      <w:proofErr w:type="spellEnd"/>
      <w:r w:rsidRPr="002A207B">
        <w:rPr>
          <w:rFonts w:ascii="PT Astra Serif" w:eastAsia="Times New Roman" w:hAnsi="PT Astra Serif" w:cs="Times New Roman"/>
          <w:color w:val="000000"/>
          <w:szCs w:val="28"/>
          <w:lang w:eastAsia="ru-RU"/>
        </w:rPr>
        <w:t xml:space="preserve">, </w:t>
      </w:r>
      <w:r w:rsidRPr="002A207B">
        <w:rPr>
          <w:rFonts w:ascii="PT Astra Serif" w:eastAsia="Times New Roman" w:hAnsi="PT Astra Serif" w:cs="Times New Roman"/>
          <w:color w:val="000000"/>
          <w:szCs w:val="28"/>
          <w:lang w:eastAsia="ru-RU"/>
        </w:rPr>
        <w:br/>
        <w:t xml:space="preserve">с </w:t>
      </w:r>
      <w:proofErr w:type="spellStart"/>
      <w:r w:rsidRPr="002A207B">
        <w:rPr>
          <w:rFonts w:ascii="PT Astra Serif" w:eastAsia="Times New Roman" w:hAnsi="PT Astra Serif" w:cs="Times New Roman"/>
          <w:color w:val="000000"/>
          <w:szCs w:val="28"/>
          <w:lang w:eastAsia="ru-RU"/>
        </w:rPr>
        <w:t>Роспотребнадзором</w:t>
      </w:r>
      <w:proofErr w:type="spellEnd"/>
      <w:r w:rsidRPr="002A207B">
        <w:rPr>
          <w:rFonts w:ascii="PT Astra Serif" w:eastAsia="Times New Roman" w:hAnsi="PT Astra Serif" w:cs="Times New Roman"/>
          <w:color w:val="000000"/>
          <w:szCs w:val="28"/>
          <w:lang w:eastAsia="ru-RU"/>
        </w:rPr>
        <w:t>, с ЕГР ЗАГС;</w:t>
      </w:r>
    </w:p>
    <w:p w14:paraId="67E3E9FF" w14:textId="77777777" w:rsidR="002A207B" w:rsidRPr="002A207B" w:rsidRDefault="002A207B" w:rsidP="002A207B">
      <w:pPr>
        <w:widowControl w:val="0"/>
        <w:rPr>
          <w:rFonts w:ascii="PT Astra Serif" w:eastAsia="Times New Roman" w:hAnsi="PT Astra Serif" w:cs="Times New Roman"/>
          <w:b/>
          <w:color w:val="000000"/>
          <w:kern w:val="2"/>
          <w:sz w:val="22"/>
          <w:szCs w:val="28"/>
          <w:lang w:eastAsia="ru-RU"/>
          <w14:ligatures w14:val="standardContextual"/>
        </w:rPr>
      </w:pPr>
      <w:r w:rsidRPr="002A207B">
        <w:rPr>
          <w:rFonts w:ascii="PT Astra Serif" w:eastAsia="Times New Roman" w:hAnsi="PT Astra Serif" w:cs="Times New Roman"/>
          <w:color w:val="000000"/>
          <w:szCs w:val="28"/>
          <w:lang w:eastAsia="ru-RU"/>
        </w:rPr>
        <w:t xml:space="preserve">развитие вертикально интегрированных медицинских информационных систем, позволяющих управлять качеством медицинской помощи на всех уровнях, по оказанию медицинской помощи больным онкологическими </w:t>
      </w:r>
      <w:r w:rsidRPr="002A207B">
        <w:rPr>
          <w:rFonts w:ascii="PT Astra Serif" w:eastAsia="Times New Roman" w:hAnsi="PT Astra Serif" w:cs="Times New Roman"/>
          <w:color w:val="000000"/>
          <w:szCs w:val="28"/>
          <w:lang w:eastAsia="ru-RU"/>
        </w:rPr>
        <w:br/>
        <w:t xml:space="preserve">и сердечно-сосудистыми заболеваниями, диспансерному наблюдению </w:t>
      </w:r>
      <w:r w:rsidRPr="002A207B">
        <w:rPr>
          <w:rFonts w:ascii="PT Astra Serif" w:eastAsia="Times New Roman" w:hAnsi="PT Astra Serif" w:cs="Times New Roman"/>
          <w:color w:val="000000"/>
          <w:szCs w:val="28"/>
          <w:lang w:eastAsia="ru-RU"/>
        </w:rPr>
        <w:br/>
        <w:t>и профилактике, акушерству и неонатологии.</w:t>
      </w:r>
    </w:p>
    <w:p w14:paraId="2D94C31D" w14:textId="77777777" w:rsidR="002A207B" w:rsidRPr="002A207B" w:rsidRDefault="002A207B" w:rsidP="002A207B">
      <w:pPr>
        <w:widowControl w:val="0"/>
        <w:ind w:firstLine="0"/>
        <w:jc w:val="center"/>
        <w:rPr>
          <w:rFonts w:ascii="PT Astra Serif" w:eastAsia="Times New Roman" w:hAnsi="PT Astra Serif" w:cs="Times New Roman"/>
          <w:b/>
          <w:color w:val="000000"/>
          <w:sz w:val="22"/>
          <w:szCs w:val="28"/>
          <w:lang w:eastAsia="ru-RU"/>
        </w:rPr>
      </w:pPr>
    </w:p>
    <w:p w14:paraId="3F0E0375" w14:textId="77777777" w:rsidR="002A207B" w:rsidRPr="002A207B" w:rsidRDefault="002A207B" w:rsidP="002A207B">
      <w:pPr>
        <w:widowControl w:val="0"/>
        <w:ind w:firstLine="0"/>
        <w:jc w:val="center"/>
        <w:rPr>
          <w:rFonts w:ascii="PT Astra Serif" w:eastAsia="Times New Roman" w:hAnsi="PT Astra Serif" w:cs="Times New Roman"/>
          <w:b/>
          <w:color w:val="000000"/>
          <w:szCs w:val="28"/>
          <w:lang w:eastAsia="ru-RU"/>
        </w:rPr>
      </w:pPr>
      <w:r w:rsidRPr="002A207B">
        <w:rPr>
          <w:rFonts w:ascii="PT Astra Serif" w:eastAsia="Times New Roman" w:hAnsi="PT Astra Serif" w:cs="Times New Roman"/>
          <w:b/>
          <w:color w:val="000000"/>
          <w:szCs w:val="28"/>
          <w:lang w:eastAsia="ru-RU"/>
        </w:rPr>
        <w:t>Основные задачи и риски 2026 года</w:t>
      </w:r>
    </w:p>
    <w:p w14:paraId="17A763C4" w14:textId="77777777" w:rsidR="002A207B" w:rsidRPr="002A207B" w:rsidRDefault="002A207B" w:rsidP="002A207B">
      <w:pPr>
        <w:widowControl w:val="0"/>
        <w:ind w:firstLine="0"/>
        <w:jc w:val="left"/>
        <w:rPr>
          <w:rFonts w:ascii="PT Astra Serif" w:eastAsia="Times New Roman" w:hAnsi="PT Astra Serif" w:cs="Times New Roman"/>
          <w:color w:val="000000"/>
          <w:sz w:val="22"/>
          <w:szCs w:val="28"/>
          <w:lang w:eastAsia="ru-RU"/>
        </w:rPr>
      </w:pPr>
    </w:p>
    <w:p w14:paraId="0BAB1BE4" w14:textId="77777777" w:rsidR="002A207B" w:rsidRPr="002A207B" w:rsidRDefault="002A207B" w:rsidP="002A207B">
      <w:pPr>
        <w:widowControl w:val="0"/>
        <w:autoSpaceDE w:val="0"/>
        <w:autoSpaceDN w:val="0"/>
        <w:adjustRightInd w:val="0"/>
        <w:rPr>
          <w:rFonts w:ascii="PT Astra Serif" w:hAnsi="PT Astra Serif" w:cs="Times New Roman"/>
          <w:szCs w:val="28"/>
        </w:rPr>
      </w:pPr>
      <w:r w:rsidRPr="002A207B">
        <w:rPr>
          <w:rFonts w:ascii="PT Astra Serif" w:hAnsi="PT Astra Serif" w:cs="Times New Roman"/>
          <w:szCs w:val="28"/>
        </w:rPr>
        <w:t>Ключевая роль здравоохранения Ульяновской области в обеспечении устойчивого развития общества через укрепление здоровья граждан, повышение доступности и качества медицинской помощи, а также формирование культуры здорового образа жизни.</w:t>
      </w:r>
    </w:p>
    <w:p w14:paraId="3E59AA75" w14:textId="77777777" w:rsidR="002A207B" w:rsidRPr="002A207B" w:rsidRDefault="002A207B" w:rsidP="002A207B">
      <w:pPr>
        <w:widowControl w:val="0"/>
        <w:autoSpaceDE w:val="0"/>
        <w:autoSpaceDN w:val="0"/>
        <w:adjustRightInd w:val="0"/>
        <w:rPr>
          <w:rFonts w:ascii="PT Astra Serif" w:hAnsi="PT Astra Serif" w:cs="Times New Roman"/>
          <w:szCs w:val="28"/>
          <w:lang w:eastAsia="ru-RU"/>
        </w:rPr>
      </w:pPr>
      <w:r w:rsidRPr="002A207B">
        <w:rPr>
          <w:rFonts w:ascii="PT Astra Serif" w:hAnsi="PT Astra Serif" w:cs="Times New Roman"/>
          <w:b/>
          <w:szCs w:val="28"/>
        </w:rPr>
        <w:t>Основной целью</w:t>
      </w:r>
      <w:r w:rsidRPr="002A207B">
        <w:rPr>
          <w:rFonts w:ascii="PT Astra Serif" w:hAnsi="PT Astra Serif" w:cs="Times New Roman"/>
          <w:szCs w:val="28"/>
        </w:rPr>
        <w:t xml:space="preserve"> в 2026 году является</w:t>
      </w:r>
      <w:r w:rsidRPr="002A207B">
        <w:rPr>
          <w:rFonts w:ascii="PT Astra Serif" w:hAnsi="PT Astra Serif" w:cs="Times New Roman"/>
          <w:b/>
          <w:szCs w:val="28"/>
        </w:rPr>
        <w:t xml:space="preserve"> </w:t>
      </w:r>
      <w:r w:rsidRPr="002A207B">
        <w:rPr>
          <w:rFonts w:ascii="PT Astra Serif" w:hAnsi="PT Astra Serif" w:cs="Times New Roman"/>
          <w:szCs w:val="28"/>
          <w:lang w:eastAsia="ru-RU"/>
        </w:rPr>
        <w:t>сбережение населения путем повышения ожидаемой продолжительности жизни.</w:t>
      </w:r>
    </w:p>
    <w:p w14:paraId="10ED1FED" w14:textId="77777777" w:rsidR="002A207B" w:rsidRPr="002A207B" w:rsidRDefault="002A207B" w:rsidP="002A207B">
      <w:pPr>
        <w:widowControl w:val="0"/>
        <w:autoSpaceDE w:val="0"/>
        <w:autoSpaceDN w:val="0"/>
        <w:adjustRightInd w:val="0"/>
        <w:rPr>
          <w:rFonts w:ascii="PT Astra Serif" w:hAnsi="PT Astra Serif" w:cs="Times New Roman"/>
          <w:szCs w:val="28"/>
          <w:lang w:eastAsia="ru-RU"/>
        </w:rPr>
      </w:pPr>
      <w:r w:rsidRPr="002A207B">
        <w:rPr>
          <w:rFonts w:ascii="PT Astra Serif" w:hAnsi="PT Astra Serif" w:cs="Times New Roman"/>
          <w:b/>
          <w:szCs w:val="28"/>
          <w:lang w:eastAsia="ru-RU"/>
        </w:rPr>
        <w:t xml:space="preserve">Основные задачи </w:t>
      </w:r>
      <w:r w:rsidRPr="002A207B">
        <w:rPr>
          <w:rFonts w:ascii="PT Astra Serif" w:hAnsi="PT Astra Serif" w:cs="Times New Roman"/>
          <w:szCs w:val="28"/>
          <w:lang w:eastAsia="ru-RU"/>
        </w:rPr>
        <w:t xml:space="preserve">- снижение смертности, модернизация </w:t>
      </w:r>
      <w:r w:rsidRPr="002A207B">
        <w:rPr>
          <w:rFonts w:ascii="PT Astra Serif" w:hAnsi="PT Astra Serif" w:cs="Times New Roman"/>
          <w:szCs w:val="28"/>
          <w:lang w:eastAsia="ru-RU"/>
        </w:rPr>
        <w:br/>
        <w:t xml:space="preserve">и строительство новых медицинских учреждений, обеспеченность лекарственными средствами отдельных категорий граждан, цифровизация системы здравоохранения, повышение качества и доступности медицинской помощи. </w:t>
      </w:r>
    </w:p>
    <w:p w14:paraId="73EE7D45" w14:textId="77777777" w:rsidR="002A207B" w:rsidRPr="002A207B" w:rsidRDefault="002A207B" w:rsidP="002A207B">
      <w:pPr>
        <w:widowControl w:val="0"/>
        <w:autoSpaceDE w:val="0"/>
        <w:autoSpaceDN w:val="0"/>
        <w:adjustRightInd w:val="0"/>
        <w:rPr>
          <w:rFonts w:ascii="PT Astra Serif" w:hAnsi="PT Astra Serif" w:cs="Times New Roman"/>
          <w:szCs w:val="28"/>
          <w:lang w:eastAsia="ru-RU"/>
        </w:rPr>
      </w:pPr>
      <w:r w:rsidRPr="002A207B">
        <w:rPr>
          <w:rFonts w:ascii="PT Astra Serif" w:hAnsi="PT Astra Serif" w:cs="Times New Roman"/>
          <w:b/>
          <w:szCs w:val="28"/>
          <w:lang w:eastAsia="ru-RU"/>
        </w:rPr>
        <w:t>Основные мероприятия</w:t>
      </w:r>
      <w:r w:rsidRPr="002A207B">
        <w:rPr>
          <w:rFonts w:ascii="PT Astra Serif" w:hAnsi="PT Astra Serif" w:cs="Times New Roman"/>
          <w:szCs w:val="28"/>
          <w:lang w:eastAsia="ru-RU"/>
        </w:rPr>
        <w:t xml:space="preserve"> концентрируются на следующих направлениях.</w:t>
      </w:r>
    </w:p>
    <w:p w14:paraId="1F48A66C" w14:textId="77777777" w:rsidR="002A207B" w:rsidRPr="002A207B" w:rsidRDefault="002A207B" w:rsidP="002A207B">
      <w:pPr>
        <w:widowControl w:val="0"/>
        <w:autoSpaceDE w:val="0"/>
        <w:autoSpaceDN w:val="0"/>
        <w:adjustRightInd w:val="0"/>
        <w:rPr>
          <w:rFonts w:ascii="PT Astra Serif" w:hAnsi="PT Astra Serif" w:cs="Times New Roman"/>
          <w:szCs w:val="28"/>
          <w:lang w:eastAsia="ru-RU"/>
        </w:rPr>
      </w:pPr>
      <w:r w:rsidRPr="002A207B">
        <w:rPr>
          <w:rFonts w:ascii="PT Astra Serif" w:hAnsi="PT Astra Serif" w:cs="Times New Roman"/>
          <w:szCs w:val="28"/>
        </w:rPr>
        <w:t>Увеличение рождаемости и сокращение смертности населения</w:t>
      </w:r>
      <w:r w:rsidRPr="002A207B">
        <w:rPr>
          <w:rFonts w:ascii="PT Astra Serif" w:hAnsi="PT Astra Serif" w:cs="Times New Roman"/>
          <w:szCs w:val="28"/>
          <w:lang w:eastAsia="ru-RU"/>
        </w:rPr>
        <w:t xml:space="preserve"> за счёт своевременного выявления, диспансерного наблюдения и лечения заболевания, доступности и качества медицинской, в том числе при помощи посредством реализации новых региональных проектов национальных </w:t>
      </w:r>
      <w:r w:rsidRPr="002A207B">
        <w:rPr>
          <w:rFonts w:ascii="PT Astra Serif" w:hAnsi="PT Astra Serif" w:cs="Times New Roman"/>
          <w:szCs w:val="28"/>
          <w:lang w:eastAsia="ru-RU"/>
        </w:rPr>
        <w:lastRenderedPageBreak/>
        <w:t>проектов «Продолжительная и активная жизнь» и «Семья». Это подразумевает развитие первичной медико-санитарной помощи, за счёт модернизации первичного звена здравоохранения, в том числе в малых населенных пунктах, а также специализированной, в том числе высокотехнологичной, медицинской помощи.</w:t>
      </w:r>
    </w:p>
    <w:p w14:paraId="41253581"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 xml:space="preserve">В 2026 году ГУЗ «Новоспасская районная больница» примет участие </w:t>
      </w:r>
      <w:r w:rsidRPr="002A207B">
        <w:rPr>
          <w:rFonts w:ascii="PT Astra Serif" w:eastAsia="Calibri" w:hAnsi="PT Astra Serif" w:cs="Times New Roman"/>
          <w:bCs/>
          <w:szCs w:val="28"/>
        </w:rPr>
        <w:br/>
        <w:t>в Федеральном проекте «Современный облик сельских территорий», реализуемом в рамках государственной программы «Комплексное развитие сельских территорий». В рамках указанной программы планируется произвести капитальный ремонт главного корпуса ГУЗ «Новоспасская районная больница» (2 этап), расположенного по адресу Ульяновская область Новоспасский район, с. Новоспасское, пл. Семашко, 10.</w:t>
      </w:r>
    </w:p>
    <w:p w14:paraId="4B827F83"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При реализации данного мероприятия планируется ремонт терапевтического отделения, педиатрического отделения, пищеблока, хирургического отделения с операционной, клинической лаборатории, фасада, крыши и коридора между отделениями ГУЗ «Новоспасская районная больница».</w:t>
      </w:r>
    </w:p>
    <w:p w14:paraId="6862A2C6"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Будет продолжена реализация мероприятий региональных проектов:</w:t>
      </w:r>
    </w:p>
    <w:p w14:paraId="2B0B6C22" w14:textId="77777777" w:rsidR="002A207B" w:rsidRPr="002A207B" w:rsidRDefault="002A207B" w:rsidP="002A207B">
      <w:pPr>
        <w:widowControl w:val="0"/>
        <w:autoSpaceDE w:val="0"/>
        <w:autoSpaceDN w:val="0"/>
        <w:adjustRightInd w:val="0"/>
        <w:rPr>
          <w:rFonts w:ascii="PT Astra Serif" w:hAnsi="PT Astra Serif" w:cs="Times New Roman"/>
          <w:szCs w:val="28"/>
          <w:lang w:eastAsia="ru-RU"/>
        </w:rPr>
      </w:pPr>
      <w:r w:rsidRPr="002A207B">
        <w:rPr>
          <w:rFonts w:cs="Times New Roman"/>
          <w:bCs/>
        </w:rPr>
        <w:t xml:space="preserve">1. </w:t>
      </w:r>
      <w:r w:rsidRPr="002A207B">
        <w:rPr>
          <w:rFonts w:ascii="PT Astra Serif" w:hAnsi="PT Astra Serif" w:cs="Times New Roman"/>
          <w:szCs w:val="28"/>
          <w:lang w:eastAsia="ru-RU"/>
        </w:rPr>
        <w:t xml:space="preserve">«Модернизация первичного звена здравоохранения» - запланировано создание 18 новых современных объектов первичного звена здравоохранения на сумму 248,61 млн рублей, предусмотрено проведение капитального ремонта поликлиники </w:t>
      </w:r>
      <w:proofErr w:type="spellStart"/>
      <w:r w:rsidRPr="002A207B">
        <w:rPr>
          <w:rFonts w:ascii="PT Astra Serif" w:hAnsi="PT Astra Serif" w:cs="Times New Roman"/>
          <w:szCs w:val="28"/>
          <w:lang w:eastAsia="ru-RU"/>
        </w:rPr>
        <w:t>Тереньгульской</w:t>
      </w:r>
      <w:proofErr w:type="spellEnd"/>
      <w:r w:rsidRPr="002A207B">
        <w:rPr>
          <w:rFonts w:ascii="PT Astra Serif" w:hAnsi="PT Astra Serif" w:cs="Times New Roman"/>
          <w:szCs w:val="28"/>
          <w:lang w:eastAsia="ru-RU"/>
        </w:rPr>
        <w:t xml:space="preserve"> районной больницы на сумму 25,93 млн рублей и приобретение 4 единиц медицинского оборудования на сумму 213,27 млн рублей.</w:t>
      </w:r>
    </w:p>
    <w:p w14:paraId="704024E6"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2. «Совершенствование экстренной медицинской помощи»:</w:t>
      </w:r>
    </w:p>
    <w:p w14:paraId="67D46F82"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продолжится развитие санитарной авиации;</w:t>
      </w:r>
    </w:p>
    <w:p w14:paraId="5BC6B40E"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 xml:space="preserve">создание современной инфраструктуры приемных отделений </w:t>
      </w:r>
      <w:r w:rsidRPr="002A207B">
        <w:rPr>
          <w:rFonts w:ascii="PT Astra Serif" w:eastAsia="Calibri" w:hAnsi="PT Astra Serif" w:cs="Times New Roman"/>
          <w:szCs w:val="28"/>
        </w:rPr>
        <w:br/>
        <w:t xml:space="preserve">с использованием модульных конструкций для оказания экстренной медицинской помощи больным с </w:t>
      </w:r>
      <w:proofErr w:type="spellStart"/>
      <w:r w:rsidRPr="002A207B">
        <w:rPr>
          <w:rFonts w:ascii="PT Astra Serif" w:eastAsia="Calibri" w:hAnsi="PT Astra Serif" w:cs="Times New Roman"/>
          <w:szCs w:val="28"/>
        </w:rPr>
        <w:t>жизнеугрожающими</w:t>
      </w:r>
      <w:proofErr w:type="spellEnd"/>
      <w:r w:rsidRPr="002A207B">
        <w:rPr>
          <w:rFonts w:ascii="PT Astra Serif" w:eastAsia="Calibri" w:hAnsi="PT Astra Serif" w:cs="Times New Roman"/>
          <w:szCs w:val="28"/>
        </w:rPr>
        <w:t xml:space="preserve"> состояниями. Такое приемное отделение запланировано на базе ГУЗ «Ульяновский областной клинический центр специализированных видов медицинской помощи им. Е.М. </w:t>
      </w:r>
      <w:proofErr w:type="spellStart"/>
      <w:r w:rsidRPr="002A207B">
        <w:rPr>
          <w:rFonts w:ascii="PT Astra Serif" w:eastAsia="Calibri" w:hAnsi="PT Astra Serif" w:cs="Times New Roman"/>
          <w:szCs w:val="28"/>
        </w:rPr>
        <w:t>Чучкалова</w:t>
      </w:r>
      <w:proofErr w:type="spellEnd"/>
      <w:r w:rsidRPr="002A207B">
        <w:rPr>
          <w:rFonts w:ascii="PT Astra Serif" w:eastAsia="Calibri" w:hAnsi="PT Astra Serif" w:cs="Times New Roman"/>
          <w:szCs w:val="28"/>
        </w:rPr>
        <w:t xml:space="preserve">». </w:t>
      </w:r>
    </w:p>
    <w:p w14:paraId="70F65127"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szCs w:val="28"/>
        </w:rPr>
        <w:t>3. «Борьба с сердечно-сосудистыми заболеваниями» - о</w:t>
      </w:r>
      <w:r w:rsidRPr="002A207B">
        <w:rPr>
          <w:rFonts w:ascii="PT Astra Serif" w:eastAsia="Calibri" w:hAnsi="PT Astra Serif" w:cs="Times New Roman"/>
          <w:bCs/>
          <w:szCs w:val="28"/>
        </w:rPr>
        <w:t xml:space="preserve">беспечение профилактики развития сердечно-сосудистых заболеваний и сердечно-сосудистых осложнений у пациентов высокого риска, находящихся на диспансерном наблюдении. </w:t>
      </w:r>
    </w:p>
    <w:p w14:paraId="34943DBB"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bCs/>
          <w:szCs w:val="28"/>
        </w:rPr>
        <w:t>Так же будет сделан упор на усиление работы в направлении ранней диагностики сердечно-сосудистой патологии, как одного из механизмов снижения смертности населения.</w:t>
      </w:r>
      <w:r w:rsidRPr="002A207B">
        <w:rPr>
          <w:rFonts w:ascii="PT Astra Serif" w:eastAsia="Calibri" w:hAnsi="PT Astra Serif" w:cs="Times New Roman"/>
          <w:szCs w:val="28"/>
        </w:rPr>
        <w:t xml:space="preserve"> </w:t>
      </w:r>
    </w:p>
    <w:p w14:paraId="3610EC73"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4. «Борьба с онкологическими заболеваниями»:</w:t>
      </w:r>
    </w:p>
    <w:p w14:paraId="424BD67D" w14:textId="77777777" w:rsidR="002A207B" w:rsidRPr="002A207B" w:rsidRDefault="002A207B" w:rsidP="002A207B">
      <w:pPr>
        <w:widowControl w:val="0"/>
        <w:rPr>
          <w:rFonts w:ascii="PT Astra Serif" w:eastAsia="Calibri" w:hAnsi="PT Astra Serif" w:cs="Times New Roman"/>
          <w:szCs w:val="28"/>
        </w:rPr>
      </w:pPr>
      <w:r w:rsidRPr="002A207B">
        <w:rPr>
          <w:rFonts w:ascii="PT Astra Serif" w:eastAsia="Calibri" w:hAnsi="PT Astra Serif" w:cs="Times New Roman"/>
          <w:szCs w:val="28"/>
        </w:rPr>
        <w:t>увеличение доли злокачественных новообразований визуальных локализаций, выявленных на первой стадии и снижение одногодичной летальности со злокачественными новообразованиями, умерших в течение первого года с момента постановки диагноза;</w:t>
      </w:r>
    </w:p>
    <w:p w14:paraId="727043A9"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 xml:space="preserve">в рамках мероприятия «Модернизированы, дооснащены или </w:t>
      </w:r>
      <w:r w:rsidRPr="002A207B">
        <w:rPr>
          <w:rFonts w:ascii="PT Astra Serif" w:eastAsia="Calibri" w:hAnsi="PT Astra Serif" w:cs="Times New Roman"/>
          <w:bCs/>
          <w:szCs w:val="28"/>
        </w:rPr>
        <w:lastRenderedPageBreak/>
        <w:t xml:space="preserve">переоснащены медицинским оборудованием существующие и/или новые (организуемые) структурные подразделения региональных медицинских организаций, оказывающих медицинскую помощь с применением радиологических методов диагностики и/или терапии) планируется приобрести однофотонный эмиссионный компьютерный томограф, совмещенный с рентгеновским компьютерным томографом (ОФЭКТ/КТ) для ГУЗ Областной клинический онкологический диспансер (отделение </w:t>
      </w:r>
      <w:proofErr w:type="spellStart"/>
      <w:r w:rsidRPr="002A207B">
        <w:rPr>
          <w:rFonts w:ascii="PT Astra Serif" w:eastAsia="Calibri" w:hAnsi="PT Astra Serif" w:cs="Times New Roman"/>
          <w:bCs/>
          <w:szCs w:val="28"/>
        </w:rPr>
        <w:t>радионуклидной</w:t>
      </w:r>
      <w:proofErr w:type="spellEnd"/>
      <w:r w:rsidRPr="002A207B">
        <w:rPr>
          <w:rFonts w:ascii="PT Astra Serif" w:eastAsia="Calibri" w:hAnsi="PT Astra Serif" w:cs="Times New Roman"/>
          <w:bCs/>
          <w:szCs w:val="28"/>
        </w:rPr>
        <w:t xml:space="preserve"> диагностики).</w:t>
      </w:r>
    </w:p>
    <w:p w14:paraId="57E0AAD2" w14:textId="77777777" w:rsidR="002A207B" w:rsidRPr="002A207B" w:rsidRDefault="002A207B" w:rsidP="002A207B">
      <w:pPr>
        <w:widowControl w:val="0"/>
        <w:rPr>
          <w:rFonts w:ascii="PT Astra Serif" w:eastAsia="Calibri" w:hAnsi="PT Astra Serif" w:cs="Times New Roman"/>
          <w:bCs/>
          <w:szCs w:val="28"/>
        </w:rPr>
      </w:pPr>
      <w:r w:rsidRPr="002A207B">
        <w:rPr>
          <w:rFonts w:ascii="PT Astra Serif" w:eastAsia="Calibri" w:hAnsi="PT Astra Serif" w:cs="Times New Roman"/>
          <w:bCs/>
          <w:szCs w:val="28"/>
        </w:rPr>
        <w:t xml:space="preserve">5. «Охрана материнства и детства». Запланировано приобретение мобильного медицинского оборудования в 4 детские поликлиники (отделения) для проведения выездных мероприятий, в том числе с целью профилактических медицинских осмотров, диспансеризации </w:t>
      </w:r>
      <w:r w:rsidRPr="002A207B">
        <w:rPr>
          <w:rFonts w:ascii="PT Astra Serif" w:eastAsia="Calibri" w:hAnsi="PT Astra Serif" w:cs="Times New Roman"/>
          <w:bCs/>
          <w:szCs w:val="28"/>
        </w:rPr>
        <w:br/>
        <w:t xml:space="preserve">и диспансерного наблюдения детского населения (ГУЗ ДГКБ г. Ульяновска, ГУЗ Ульяновская районная больница, ГУЗ Николаевская районная больница, ГУЗ Городская клиническая больница имени святого апостола Андрея Первозванного); </w:t>
      </w:r>
    </w:p>
    <w:p w14:paraId="61062104" w14:textId="77777777" w:rsidR="002A207B" w:rsidRPr="002A207B" w:rsidRDefault="002A207B" w:rsidP="002A207B">
      <w:pPr>
        <w:widowControl w:val="0"/>
        <w:rPr>
          <w:rFonts w:ascii="PT Astra Serif" w:hAnsi="PT Astra Serif" w:cs="Times New Roman"/>
          <w:bCs/>
          <w:szCs w:val="27"/>
        </w:rPr>
      </w:pPr>
      <w:r w:rsidRPr="002A207B">
        <w:rPr>
          <w:rFonts w:ascii="PT Astra Serif" w:hAnsi="PT Astra Serif" w:cs="Times New Roman"/>
          <w:bCs/>
          <w:szCs w:val="27"/>
        </w:rPr>
        <w:t>6. «Борьба с гепатитом С». Основная задача - достигнуть устойчивый вирусологический ответ у пациентов с хроническим вирусным гепатитом С, завершивших курс противовирусной терапии;</w:t>
      </w:r>
    </w:p>
    <w:p w14:paraId="432D716B" w14:textId="77777777" w:rsidR="002A207B" w:rsidRPr="002A207B" w:rsidRDefault="002A207B" w:rsidP="002A207B">
      <w:pPr>
        <w:widowControl w:val="0"/>
        <w:rPr>
          <w:rFonts w:ascii="PT Astra Serif" w:hAnsi="PT Astra Serif" w:cs="Times New Roman"/>
          <w:bCs/>
          <w:szCs w:val="27"/>
        </w:rPr>
      </w:pPr>
      <w:r w:rsidRPr="002A207B">
        <w:rPr>
          <w:rFonts w:ascii="PT Astra Serif" w:hAnsi="PT Astra Serif" w:cs="Times New Roman"/>
          <w:bCs/>
          <w:szCs w:val="27"/>
        </w:rPr>
        <w:t>7. «Борьба с сахарным диабетом»:</w:t>
      </w:r>
    </w:p>
    <w:p w14:paraId="4164DCFA" w14:textId="77777777" w:rsidR="002A207B" w:rsidRPr="002A207B" w:rsidRDefault="002A207B" w:rsidP="002A207B">
      <w:pPr>
        <w:widowControl w:val="0"/>
        <w:ind w:firstLine="708"/>
        <w:rPr>
          <w:rFonts w:ascii="PT Astra Serif" w:hAnsi="PT Astra Serif" w:cs="Times New Roman"/>
          <w:bCs/>
          <w:szCs w:val="27"/>
        </w:rPr>
      </w:pPr>
      <w:r w:rsidRPr="002A207B">
        <w:rPr>
          <w:rFonts w:ascii="PT Astra Serif" w:hAnsi="PT Astra Serif" w:cs="Times New Roman"/>
          <w:bCs/>
          <w:szCs w:val="27"/>
        </w:rPr>
        <w:t>обеспечить детей с сахарным диабетом 1 типа в возрасте от 2-х до 17 лет включительно и беременных женщин, страдающих сахарным диабетом системами непрерывного мониторинга глюкозы, в том числе российского производства.;</w:t>
      </w:r>
    </w:p>
    <w:p w14:paraId="557E4B1F" w14:textId="77777777" w:rsidR="002A207B" w:rsidRPr="002A207B" w:rsidRDefault="002A207B" w:rsidP="002A207B">
      <w:pPr>
        <w:widowControl w:val="0"/>
        <w:ind w:firstLine="708"/>
        <w:rPr>
          <w:rFonts w:ascii="PT Astra Serif" w:hAnsi="PT Astra Serif" w:cs="Times New Roman"/>
          <w:bCs/>
          <w:szCs w:val="27"/>
        </w:rPr>
      </w:pPr>
      <w:r w:rsidRPr="002A207B">
        <w:rPr>
          <w:rFonts w:ascii="PT Astra Serif" w:hAnsi="PT Astra Serif" w:cs="Times New Roman"/>
          <w:bCs/>
          <w:szCs w:val="27"/>
        </w:rPr>
        <w:t xml:space="preserve">оснастить региональные, межрайонные (районные) центры, оказывающие медицинскую помощь больным с нарушениями углеводного обмена и сахарным диабетом. В рамках проекта планируется оснастить </w:t>
      </w:r>
      <w:r w:rsidRPr="002A207B">
        <w:rPr>
          <w:rFonts w:ascii="PT Astra Serif" w:hAnsi="PT Astra Serif" w:cs="Times New Roman"/>
          <w:bCs/>
          <w:szCs w:val="27"/>
        </w:rPr>
        <w:br/>
        <w:t>1 центр, оказывающий медицинскую помощь больным с нарушениями углеводного обмена и сахарным диабетом на базе «ГУЗ ГП№ 4». К закупке определено 8 единиц оборудования;</w:t>
      </w:r>
    </w:p>
    <w:p w14:paraId="6914B81B" w14:textId="77777777" w:rsidR="002A207B" w:rsidRPr="002A207B" w:rsidRDefault="002A207B" w:rsidP="002A207B">
      <w:pPr>
        <w:widowControl w:val="0"/>
        <w:rPr>
          <w:rFonts w:ascii="PT Astra Serif" w:hAnsi="PT Astra Serif" w:cs="Times New Roman"/>
          <w:bCs/>
          <w:szCs w:val="27"/>
        </w:rPr>
      </w:pPr>
      <w:r w:rsidRPr="002A207B">
        <w:rPr>
          <w:rFonts w:ascii="PT Astra Serif" w:hAnsi="PT Astra Serif" w:cs="Times New Roman"/>
          <w:bCs/>
          <w:szCs w:val="27"/>
        </w:rPr>
        <w:t xml:space="preserve">8. «Оптимальная для восстановления здоровья медицинская реабилитация» - обеспечить обновление реабилитационного оборудования </w:t>
      </w:r>
      <w:r w:rsidRPr="002A207B">
        <w:rPr>
          <w:rFonts w:ascii="PT Astra Serif" w:hAnsi="PT Astra Serif" w:cs="Times New Roman"/>
          <w:bCs/>
          <w:szCs w:val="27"/>
        </w:rPr>
        <w:br/>
        <w:t>в 2-ух медицинских организациях (ГУЗ «Ульяновская областная клиническая больница», ГУЗ «Городская поликлиника № 4»).</w:t>
      </w:r>
    </w:p>
    <w:p w14:paraId="5AE7C776"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bCs/>
          <w:szCs w:val="27"/>
        </w:rPr>
        <w:t xml:space="preserve">9. </w:t>
      </w:r>
      <w:r w:rsidRPr="002A207B">
        <w:rPr>
          <w:rFonts w:ascii="PT Astra Serif" w:hAnsi="PT Astra Serif" w:cs="Times New Roman"/>
          <w:szCs w:val="28"/>
        </w:rPr>
        <w:t>«Здоровье для каждого»:</w:t>
      </w:r>
    </w:p>
    <w:p w14:paraId="08DBEA0A"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приобретение оборудования для выявления и коррекции факторов риска развития хронических неинфекционных заболеваний в центр здоровья на базе ГУЗ «Городская поликлиника №5»;</w:t>
      </w:r>
    </w:p>
    <w:p w14:paraId="77AE31E2" w14:textId="77777777" w:rsidR="002A207B" w:rsidRPr="002A207B" w:rsidRDefault="002A207B" w:rsidP="002A207B">
      <w:pPr>
        <w:widowControl w:val="0"/>
        <w:rPr>
          <w:rFonts w:ascii="PT Astra Serif" w:hAnsi="PT Astra Serif" w:cs="Times New Roman"/>
          <w:szCs w:val="28"/>
        </w:rPr>
      </w:pPr>
      <w:r w:rsidRPr="002A207B">
        <w:rPr>
          <w:rFonts w:ascii="PT Astra Serif" w:hAnsi="PT Astra Serif" w:cs="Times New Roman"/>
          <w:szCs w:val="28"/>
        </w:rPr>
        <w:t>снижение распространённости курения табака в возрасте 18 лет и более до 13,63% от общего числа курящих.</w:t>
      </w:r>
    </w:p>
    <w:p w14:paraId="70BCAA67"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10. «Медицинские кадры»:</w:t>
      </w:r>
    </w:p>
    <w:p w14:paraId="10E222A3" w14:textId="77777777" w:rsidR="002A207B" w:rsidRPr="002A207B" w:rsidRDefault="002A207B" w:rsidP="002A207B">
      <w:pPr>
        <w:widowControl w:val="0"/>
        <w:rPr>
          <w:rFonts w:ascii="PT Astra Serif" w:hAnsi="PT Astra Serif" w:cs="Times New Roman"/>
          <w:bCs/>
          <w:szCs w:val="28"/>
        </w:rPr>
      </w:pPr>
      <w:r w:rsidRPr="002A207B">
        <w:rPr>
          <w:rFonts w:ascii="PT Astra Serif" w:hAnsi="PT Astra Serif" w:cs="Times New Roman"/>
          <w:bCs/>
          <w:szCs w:val="28"/>
        </w:rPr>
        <w:t>не допустить повышение уровня дефицита врачей в государственных учреждениях по результатам 2025 года;</w:t>
      </w:r>
    </w:p>
    <w:p w14:paraId="5E1E1558" w14:textId="58DEA8B0" w:rsidR="003F165B" w:rsidRPr="00E57F26" w:rsidRDefault="002A207B" w:rsidP="00605C2A">
      <w:pPr>
        <w:widowControl w:val="0"/>
        <w:rPr>
          <w:rFonts w:ascii="PT Astra Serif" w:hAnsi="PT Astra Serif"/>
          <w:spacing w:val="-18"/>
          <w:highlight w:val="yellow"/>
        </w:rPr>
      </w:pPr>
      <w:r w:rsidRPr="00E57F26">
        <w:rPr>
          <w:rFonts w:ascii="PT Astra Serif" w:hAnsi="PT Astra Serif" w:cs="Times New Roman"/>
          <w:bCs/>
          <w:szCs w:val="28"/>
        </w:rPr>
        <w:t>продолжить обучение медицинских работников по программе повышения квалификации.</w:t>
      </w:r>
      <w:r w:rsidR="003F165B" w:rsidRPr="00E57F26">
        <w:rPr>
          <w:rFonts w:ascii="PT Astra Serif" w:eastAsiaTheme="majorEastAsia" w:hAnsi="PT Astra Serif" w:cstheme="majorBidi"/>
          <w:b/>
          <w:color w:val="000000" w:themeColor="text1"/>
          <w:spacing w:val="-18"/>
          <w:szCs w:val="28"/>
          <w:highlight w:val="yellow"/>
        </w:rPr>
        <w:br w:type="page"/>
      </w:r>
    </w:p>
    <w:p w14:paraId="4325AC88" w14:textId="10610DE8" w:rsidR="003F165B" w:rsidRPr="00956398" w:rsidRDefault="00956398" w:rsidP="0076482B">
      <w:pPr>
        <w:pStyle w:val="1ff0"/>
        <w:widowControl w:val="0"/>
      </w:pPr>
      <w:bookmarkStart w:id="6" w:name="_Toc226016699"/>
      <w:r w:rsidRPr="00956398">
        <w:rPr>
          <w:lang w:val="ru-RU"/>
        </w:rPr>
        <w:lastRenderedPageBreak/>
        <w:t>СОЦИАЛЬНАЯ ПОДДЕРЖКА НАСЕЛЕНИЯ</w:t>
      </w:r>
      <w:bookmarkEnd w:id="6"/>
    </w:p>
    <w:p w14:paraId="1758B5E6" w14:textId="77A0DE47" w:rsidR="003F165B" w:rsidRDefault="003F165B" w:rsidP="0076482B">
      <w:pPr>
        <w:pStyle w:val="afffff4"/>
        <w:widowControl w:val="0"/>
        <w:rPr>
          <w:color w:val="000000" w:themeColor="text1"/>
          <w:highlight w:val="yellow"/>
        </w:rPr>
      </w:pPr>
    </w:p>
    <w:p w14:paraId="5DEC81EB"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Система социальной защиты населения представляет собой самостоятельную, разветвлённую, многопрофильную отрасль, объёмы работы которой за последние годы значительно возрастают. </w:t>
      </w:r>
    </w:p>
    <w:p w14:paraId="554100B7" w14:textId="77777777" w:rsidR="001034DA" w:rsidRPr="001034DA" w:rsidRDefault="001034DA" w:rsidP="001034DA">
      <w:pPr>
        <w:widowControl w:val="0"/>
        <w:rPr>
          <w:rFonts w:ascii="PT Astra Serif" w:eastAsia="Calibri" w:hAnsi="PT Astra Serif" w:cs="Times New Roman"/>
          <w:b/>
          <w:szCs w:val="28"/>
        </w:rPr>
      </w:pPr>
      <w:r w:rsidRPr="001034DA">
        <w:rPr>
          <w:rFonts w:ascii="PT Astra Serif" w:eastAsia="Calibri" w:hAnsi="PT Astra Serif" w:cs="Times New Roman"/>
          <w:szCs w:val="28"/>
        </w:rPr>
        <w:t xml:space="preserve">Финансирование отрасли «Социальная политика» является приоритетным направлением, объём выделенных средств составляет </w:t>
      </w:r>
      <w:r w:rsidRPr="001034DA">
        <w:rPr>
          <w:rFonts w:ascii="PT Astra Serif" w:eastAsia="Calibri" w:hAnsi="PT Astra Serif" w:cs="Times New Roman"/>
          <w:b/>
          <w:szCs w:val="28"/>
        </w:rPr>
        <w:t>20,6% всего бюджета Ульяновской области.</w:t>
      </w:r>
    </w:p>
    <w:p w14:paraId="39C55F59" w14:textId="47ACC05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Областной бюджет Ульяновской области на 2025 год в полном объёме сформирован в «программном» формате в увязке с целями государственной политики, с учётом возможностей областного бюджета Ульяновской области. Финансирование отрасли осуществляется через Государственную программу «Социальная поддержка и защита населения на территории Ульяновской области», в рамках которой, реализуются мероприятия, направленные на выполнение полномочий Министерства социального развития Ульяновской области</w:t>
      </w:r>
      <w:r w:rsidR="002D3A60">
        <w:rPr>
          <w:rFonts w:ascii="PT Astra Serif" w:eastAsia="Calibri" w:hAnsi="PT Astra Serif" w:cs="Times New Roman"/>
          <w:szCs w:val="28"/>
        </w:rPr>
        <w:t xml:space="preserve"> (</w:t>
      </w:r>
      <w:proofErr w:type="spellStart"/>
      <w:r w:rsidR="002D3A60">
        <w:rPr>
          <w:rFonts w:ascii="PT Astra Serif" w:eastAsia="Calibri" w:hAnsi="PT Astra Serif" w:cs="Times New Roman"/>
          <w:szCs w:val="28"/>
        </w:rPr>
        <w:t>далеее</w:t>
      </w:r>
      <w:proofErr w:type="spellEnd"/>
      <w:r w:rsidR="002D3A60">
        <w:rPr>
          <w:rFonts w:ascii="PT Astra Serif" w:eastAsia="Calibri" w:hAnsi="PT Astra Serif" w:cs="Times New Roman"/>
          <w:szCs w:val="28"/>
        </w:rPr>
        <w:t xml:space="preserve"> – </w:t>
      </w:r>
      <w:proofErr w:type="spellStart"/>
      <w:r w:rsidR="002D3A60">
        <w:rPr>
          <w:rFonts w:ascii="PT Astra Serif" w:eastAsia="Calibri" w:hAnsi="PT Astra Serif" w:cs="Times New Roman"/>
          <w:szCs w:val="28"/>
        </w:rPr>
        <w:t>Министерсво</w:t>
      </w:r>
      <w:proofErr w:type="spellEnd"/>
      <w:r w:rsidR="002D3A60">
        <w:rPr>
          <w:rFonts w:ascii="PT Astra Serif" w:eastAsia="Calibri" w:hAnsi="PT Astra Serif" w:cs="Times New Roman"/>
          <w:szCs w:val="28"/>
        </w:rPr>
        <w:t>)</w:t>
      </w:r>
      <w:r w:rsidRPr="001034DA">
        <w:rPr>
          <w:rFonts w:ascii="PT Astra Serif" w:eastAsia="Calibri" w:hAnsi="PT Astra Serif" w:cs="Times New Roman"/>
          <w:szCs w:val="28"/>
        </w:rPr>
        <w:t>. Сумма предусмотренных средств в 2025 году составила 17 522,7 млн рублей (в том числе областной бюджет в сумме 15 277,7 млн. рублей, федеральный бюджет 2 244,9 млн рублей), что на 2 098,6 млн рублей больше первоначально запланированных средств в размере 15 424,1 млн рублей.</w:t>
      </w:r>
    </w:p>
    <w:p w14:paraId="63E79E44" w14:textId="4F5142FA" w:rsidR="001034DA" w:rsidRPr="001034DA" w:rsidRDefault="001034DA" w:rsidP="001034DA">
      <w:pPr>
        <w:widowControl w:val="0"/>
        <w:rPr>
          <w:rFonts w:ascii="PT Astra Serif" w:eastAsia="Calibri" w:hAnsi="PT Astra Serif" w:cs="Times New Roman"/>
          <w:b/>
          <w:szCs w:val="28"/>
        </w:rPr>
      </w:pPr>
      <w:r w:rsidRPr="001034DA">
        <w:rPr>
          <w:rFonts w:ascii="PT Astra Serif" w:eastAsia="Calibri" w:hAnsi="PT Astra Serif" w:cs="Times New Roman"/>
          <w:szCs w:val="28"/>
        </w:rPr>
        <w:t xml:space="preserve">Кроме того, Министерством реализуются </w:t>
      </w:r>
      <w:r w:rsidRPr="001034DA">
        <w:rPr>
          <w:rFonts w:ascii="PT Astra Serif" w:eastAsia="Calibri" w:hAnsi="PT Astra Serif" w:cs="Times New Roman"/>
          <w:b/>
          <w:szCs w:val="28"/>
        </w:rPr>
        <w:t>внепрограммные мероприятия</w:t>
      </w:r>
      <w:r w:rsidRPr="001034DA">
        <w:rPr>
          <w:rFonts w:ascii="PT Astra Serif" w:eastAsia="Calibri" w:hAnsi="PT Astra Serif" w:cs="Times New Roman"/>
          <w:szCs w:val="28"/>
        </w:rPr>
        <w:t xml:space="preserve">, на реализацию которых были предусмотрены средства областного бюджета </w:t>
      </w:r>
      <w:r w:rsidRPr="001034DA">
        <w:rPr>
          <w:rFonts w:ascii="PT Astra Serif" w:eastAsia="Calibri" w:hAnsi="PT Astra Serif" w:cs="Times New Roman"/>
          <w:b/>
          <w:szCs w:val="28"/>
        </w:rPr>
        <w:t>в сумме 6 275,5 млн. рублей.</w:t>
      </w:r>
    </w:p>
    <w:p w14:paraId="47AF74BD" w14:textId="5D7BA700"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Таким образом, </w:t>
      </w:r>
      <w:r w:rsidRPr="001034DA">
        <w:rPr>
          <w:rFonts w:ascii="PT Astra Serif" w:eastAsia="Calibri" w:hAnsi="PT Astra Serif" w:cs="Times New Roman"/>
          <w:b/>
          <w:szCs w:val="28"/>
        </w:rPr>
        <w:t>бюджет отрасли</w:t>
      </w:r>
      <w:r w:rsidRPr="001034DA">
        <w:rPr>
          <w:rFonts w:ascii="PT Astra Serif" w:eastAsia="Calibri" w:hAnsi="PT Astra Serif" w:cs="Times New Roman"/>
          <w:szCs w:val="28"/>
        </w:rPr>
        <w:t xml:space="preserve"> на 2025 год </w:t>
      </w:r>
      <w:r w:rsidRPr="001034DA">
        <w:rPr>
          <w:rFonts w:ascii="PT Astra Serif" w:eastAsia="Calibri" w:hAnsi="PT Astra Serif" w:cs="Times New Roman"/>
          <w:b/>
          <w:szCs w:val="28"/>
        </w:rPr>
        <w:t>составил 23 798,2 млн рублей</w:t>
      </w:r>
      <w:r w:rsidRPr="001034DA">
        <w:rPr>
          <w:rFonts w:ascii="PT Astra Serif" w:eastAsia="Calibri" w:hAnsi="PT Astra Serif" w:cs="Times New Roman"/>
          <w:szCs w:val="28"/>
        </w:rPr>
        <w:t xml:space="preserve"> (что на 5 068,8 млн рублей больше уровня 2024 года - 18 729,4 млн рублей), из которых:</w:t>
      </w:r>
    </w:p>
    <w:p w14:paraId="311E4EED" w14:textId="772DF6B0"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средства областного бюджета 21 553,3 млн рублей (2024 год - </w:t>
      </w:r>
      <w:r w:rsidRPr="001034DA">
        <w:rPr>
          <w:rFonts w:ascii="PT Astra Serif" w:eastAsia="Calibri" w:hAnsi="PT Astra Serif" w:cs="Times New Roman"/>
          <w:szCs w:val="28"/>
        </w:rPr>
        <w:br/>
        <w:t>16 862,2 млн рублей);</w:t>
      </w:r>
    </w:p>
    <w:p w14:paraId="72C6B2E3" w14:textId="11D4702B"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средства федерального бюджета 2 244,9 млн рублей (2024 год - </w:t>
      </w:r>
      <w:r w:rsidRPr="001034DA">
        <w:rPr>
          <w:rFonts w:ascii="PT Astra Serif" w:eastAsia="Calibri" w:hAnsi="PT Astra Serif" w:cs="Times New Roman"/>
          <w:szCs w:val="28"/>
        </w:rPr>
        <w:br/>
        <w:t>1 867,2 млн рублей).</w:t>
      </w:r>
    </w:p>
    <w:p w14:paraId="4BC991AB"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В 2025 году выделялось дополнительное финансирование из </w:t>
      </w:r>
      <w:r w:rsidRPr="001034DA">
        <w:rPr>
          <w:rFonts w:ascii="PT Astra Serif" w:eastAsia="Calibri" w:hAnsi="PT Astra Serif" w:cs="Times New Roman"/>
          <w:b/>
          <w:szCs w:val="28"/>
        </w:rPr>
        <w:t>средств резервного фонда Правительства Российской Федерации</w:t>
      </w:r>
      <w:r w:rsidRPr="001034DA">
        <w:rPr>
          <w:rFonts w:ascii="PT Astra Serif" w:eastAsia="Calibri" w:hAnsi="PT Astra Serif" w:cs="Times New Roman"/>
          <w:szCs w:val="28"/>
        </w:rPr>
        <w:t xml:space="preserve"> в рамках исполнения государственной программы Ульяновской области «Социальная поддержка и защита населения на территории Ульяновской области» на реализацию мероприятия «Предоставление мер социальной поддержки отдельным категориям граждан» на оплату жилищно-коммунальных услуг отдельным категориям граждан» в размере </w:t>
      </w:r>
      <w:r w:rsidRPr="001034DA">
        <w:rPr>
          <w:rFonts w:ascii="PT Astra Serif" w:eastAsia="Calibri" w:hAnsi="PT Astra Serif" w:cs="Times New Roman"/>
          <w:b/>
          <w:szCs w:val="28"/>
        </w:rPr>
        <w:t>203,2 млн рублей</w:t>
      </w:r>
      <w:r w:rsidRPr="001034DA">
        <w:rPr>
          <w:rFonts w:ascii="PT Astra Serif" w:eastAsia="Calibri" w:hAnsi="PT Astra Serif" w:cs="Times New Roman"/>
          <w:szCs w:val="28"/>
        </w:rPr>
        <w:t>.</w:t>
      </w:r>
    </w:p>
    <w:p w14:paraId="0EE639D8"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В рамках реализации национального проекта «Семья» были предусмотрены средства в сумме 991,8 млн рублей, в том числе:</w:t>
      </w:r>
    </w:p>
    <w:p w14:paraId="3145DC73"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по мероприятию «Региональная программа по повышению рождаемости в субъектах Российской Федерации, в которых суммарный коэффициент рождаемости ниже среднероссийского уровня» - 199,1 млн рублей (средства областного бюджета – 5,9 млн рублей, средства федерального бюджета – 193,2 млн рублей);</w:t>
      </w:r>
    </w:p>
    <w:p w14:paraId="6026FE78"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по мероприятию «Оказание государственной социальной помощи на </w:t>
      </w:r>
      <w:r w:rsidRPr="001034DA">
        <w:rPr>
          <w:rFonts w:ascii="PT Astra Serif" w:eastAsia="Calibri" w:hAnsi="PT Astra Serif" w:cs="Times New Roman"/>
          <w:szCs w:val="28"/>
        </w:rPr>
        <w:lastRenderedPageBreak/>
        <w:t>основании социального контракта отдельным категориям граждан» - 557,4 млн рублей (средства областного бюджета – 89,2 млн рублей, средства федерального бюджета – 468,2 млн рублей);</w:t>
      </w:r>
    </w:p>
    <w:p w14:paraId="52FD2180"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по мероприятию «Создание системы долговременного ухода за гражданами пожилого возраста и инвалидами на территории Ульяновской области» - 235,3 (средства областного бюджета – 7,1 млн рублей, средства федерального бюджета – 228,2 млн рублей).</w:t>
      </w:r>
    </w:p>
    <w:p w14:paraId="53FB1885" w14:textId="77777777" w:rsidR="001034DA" w:rsidRPr="001034DA" w:rsidRDefault="001034DA" w:rsidP="001034DA">
      <w:pPr>
        <w:widowControl w:val="0"/>
        <w:rPr>
          <w:rFonts w:ascii="PT Astra Serif" w:eastAsia="Calibri" w:hAnsi="PT Astra Serif" w:cs="Times New Roman"/>
          <w:b/>
          <w:szCs w:val="28"/>
        </w:rPr>
      </w:pPr>
      <w:r w:rsidRPr="001034DA">
        <w:rPr>
          <w:rFonts w:ascii="PT Astra Serif" w:eastAsia="Calibri" w:hAnsi="PT Astra Serif" w:cs="Times New Roman"/>
          <w:b/>
          <w:szCs w:val="28"/>
        </w:rPr>
        <w:t xml:space="preserve">В 2025 году реализовывались мероприятия, связанные </w:t>
      </w:r>
      <w:r w:rsidRPr="001034DA">
        <w:rPr>
          <w:rFonts w:ascii="PT Astra Serif" w:eastAsia="Calibri" w:hAnsi="PT Astra Serif" w:cs="Times New Roman"/>
          <w:b/>
          <w:szCs w:val="28"/>
        </w:rPr>
        <w:br/>
        <w:t xml:space="preserve">с предотвращением влияния ухудшения геополитической </w:t>
      </w:r>
      <w:r w:rsidRPr="001034DA">
        <w:rPr>
          <w:rFonts w:ascii="PT Astra Serif" w:eastAsia="Calibri" w:hAnsi="PT Astra Serif" w:cs="Times New Roman"/>
          <w:b/>
          <w:szCs w:val="28"/>
        </w:rPr>
        <w:br/>
        <w:t>и экономической ситуации, на сумму 6 260,9 млн рублей, в том числе:</w:t>
      </w:r>
    </w:p>
    <w:p w14:paraId="62E88B2B"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на предоставление единовременной выплаты отдельным категориям граждан Российской Федерации, заключившим контракт о прохождении военной службы в 2025 году предусмотрены средства в сумме 5 792,0 млн рублей, в том числе 200,0 млн рублей за счёт средств резервного фонда Правительства Ульяновской области;</w:t>
      </w:r>
    </w:p>
    <w:p w14:paraId="0E2FDD3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на предоставление единовременной выплаты членам семей граждан, призванных на военную службу по мобилизации в Вооружённые Силы Российской Федерации предусмотрены средства в 2025 году в сумме 1,9 млн рублей;</w:t>
      </w:r>
    </w:p>
    <w:p w14:paraId="5D458235"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на предоставление членам семей участников специальной военной операции ежегодной денежной компенсации расходов на оплату приобретаемого твердого топлива предусмотрены средства в размере 6,8 млн рублей;</w:t>
      </w:r>
    </w:p>
    <w:p w14:paraId="4EA10A30"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на предоставление дополнительной меры социальной поддержки гражданам Российской Федерации, оказавшим содействие в привлечении граждан Российской Федерации к заключению контракта о прохождении военной службы в Вооружённых Силах Российской Федерации предусмотрены средства в размере 460,2 млн рублей, в том числе 50 млн рублей за счёт средства резервного фонда Правительства Ульяновской области.</w:t>
      </w:r>
    </w:p>
    <w:p w14:paraId="1310B299" w14:textId="77777777" w:rsidR="001034DA" w:rsidRPr="001034DA" w:rsidRDefault="001034DA" w:rsidP="001034DA">
      <w:pPr>
        <w:widowControl w:val="0"/>
        <w:rPr>
          <w:rFonts w:ascii="PT Astra Serif" w:eastAsia="Calibri" w:hAnsi="PT Astra Serif" w:cs="Times New Roman"/>
          <w:szCs w:val="28"/>
        </w:rPr>
      </w:pPr>
    </w:p>
    <w:p w14:paraId="02A06549" w14:textId="4EF5F34F" w:rsidR="001034DA" w:rsidRPr="001034DA" w:rsidRDefault="001034DA" w:rsidP="001034DA">
      <w:pPr>
        <w:widowControl w:val="0"/>
        <w:ind w:firstLine="0"/>
        <w:jc w:val="center"/>
        <w:rPr>
          <w:rFonts w:ascii="PT Astra Serif" w:eastAsia="Calibri" w:hAnsi="PT Astra Serif" w:cs="Times New Roman"/>
          <w:b/>
          <w:bCs/>
          <w:spacing w:val="-4"/>
          <w:szCs w:val="28"/>
        </w:rPr>
      </w:pPr>
      <w:r w:rsidRPr="001034DA">
        <w:rPr>
          <w:rFonts w:ascii="PT Astra Serif" w:eastAsia="Calibri" w:hAnsi="PT Astra Serif" w:cs="Times New Roman"/>
          <w:b/>
          <w:bCs/>
          <w:spacing w:val="-4"/>
          <w:szCs w:val="28"/>
        </w:rPr>
        <w:t>Основные агрегированные показатели деятельности, позиции Ульяновской области в окружных, всероссийских и международных рейтингах</w:t>
      </w:r>
    </w:p>
    <w:p w14:paraId="5E5A62DB" w14:textId="77777777" w:rsidR="001034DA" w:rsidRPr="001034DA" w:rsidRDefault="001034DA" w:rsidP="001034DA">
      <w:pPr>
        <w:widowControl w:val="0"/>
        <w:ind w:firstLine="0"/>
        <w:jc w:val="center"/>
        <w:rPr>
          <w:rFonts w:ascii="PT Astra Serif" w:eastAsia="Calibri" w:hAnsi="PT Astra Serif" w:cs="Times New Roman"/>
          <w:b/>
          <w:bCs/>
          <w:spacing w:val="-4"/>
          <w:szCs w:val="28"/>
        </w:rPr>
      </w:pPr>
    </w:p>
    <w:p w14:paraId="4C8F5463" w14:textId="77777777" w:rsidR="001034DA" w:rsidRPr="001034DA" w:rsidRDefault="001034DA" w:rsidP="001034DA">
      <w:pPr>
        <w:widowControl w:val="0"/>
        <w:rPr>
          <w:rFonts w:ascii="PT Astra Serif" w:eastAsia="Calibri" w:hAnsi="PT Astra Serif" w:cs="Times New Roman"/>
          <w:b/>
          <w:bCs/>
          <w:i/>
          <w:spacing w:val="-4"/>
          <w:szCs w:val="28"/>
        </w:rPr>
      </w:pPr>
      <w:r w:rsidRPr="001034DA">
        <w:rPr>
          <w:rFonts w:ascii="PT Astra Serif" w:eastAsia="Calibri" w:hAnsi="PT Astra Serif" w:cs="Times New Roman"/>
          <w:b/>
          <w:bCs/>
          <w:i/>
          <w:spacing w:val="-4"/>
          <w:szCs w:val="28"/>
        </w:rPr>
        <w:t>Численность населения Ульяновской области.</w:t>
      </w:r>
    </w:p>
    <w:p w14:paraId="31A528DE" w14:textId="4CBACD5A" w:rsidR="001034DA" w:rsidRPr="001034DA" w:rsidRDefault="001034DA" w:rsidP="001034DA">
      <w:pPr>
        <w:widowControl w:val="0"/>
        <w:rPr>
          <w:rFonts w:ascii="PT Astra Serif" w:eastAsia="Calibri" w:hAnsi="PT Astra Serif" w:cs="Times New Roman"/>
          <w:bCs/>
          <w:spacing w:val="-4"/>
          <w:szCs w:val="28"/>
        </w:rPr>
      </w:pPr>
      <w:proofErr w:type="gramStart"/>
      <w:r w:rsidRPr="001034DA">
        <w:rPr>
          <w:rFonts w:ascii="PT Astra Serif" w:eastAsia="Calibri" w:hAnsi="PT Astra Serif" w:cs="Times New Roman"/>
          <w:bCs/>
          <w:spacing w:val="-4"/>
          <w:szCs w:val="28"/>
        </w:rPr>
        <w:t xml:space="preserve">По предварительной оценке </w:t>
      </w:r>
      <w:proofErr w:type="gramEnd"/>
      <w:r w:rsidRPr="001034DA">
        <w:rPr>
          <w:rFonts w:ascii="PT Astra Serif" w:eastAsia="Calibri" w:hAnsi="PT Astra Serif" w:cs="Times New Roman"/>
          <w:bCs/>
          <w:spacing w:val="-4"/>
          <w:szCs w:val="28"/>
        </w:rPr>
        <w:t xml:space="preserve">Росстата численность постоянного населения Ульяновской области на 01.01.2025 года составила 1 165,3 тыс. человек. По сравнению с аналогичным периодом прошлого года численность населения региона сократилась на 0,6% (на 01.01.2024 - 1 172,8 человека). По численности населения Ульяновская область в Приволжском Федеральном округе занимает 10 место </w:t>
      </w:r>
      <w:r w:rsidRPr="001034DA">
        <w:rPr>
          <w:rFonts w:ascii="PT Astra Serif" w:eastAsia="Calibri" w:hAnsi="PT Astra Serif" w:cs="Times New Roman"/>
          <w:bCs/>
          <w:i/>
          <w:spacing w:val="-4"/>
          <w:szCs w:val="28"/>
        </w:rPr>
        <w:t>(1 место: Республика Башкортостан (4 042 377 человек), 14 место: Республика Марий Эл (666 202 человека)</w:t>
      </w:r>
      <w:r w:rsidRPr="001034DA">
        <w:rPr>
          <w:rFonts w:ascii="PT Astra Serif" w:eastAsia="Calibri" w:hAnsi="PT Astra Serif" w:cs="Times New Roman"/>
          <w:bCs/>
          <w:spacing w:val="-4"/>
          <w:szCs w:val="28"/>
        </w:rPr>
        <w:t>.</w:t>
      </w:r>
    </w:p>
    <w:p w14:paraId="281D8A64" w14:textId="771E4800" w:rsidR="001034DA" w:rsidRPr="001034DA" w:rsidRDefault="001034DA" w:rsidP="001034DA">
      <w:pPr>
        <w:widowControl w:val="0"/>
        <w:rPr>
          <w:rFonts w:ascii="PT Astra Serif" w:eastAsia="Calibri" w:hAnsi="PT Astra Serif" w:cs="Times New Roman"/>
        </w:rPr>
      </w:pPr>
      <w:r w:rsidRPr="001034DA">
        <w:rPr>
          <w:rFonts w:ascii="PT Astra Serif" w:eastAsia="Calibri" w:hAnsi="PT Astra Serif" w:cs="Times New Roman"/>
        </w:rPr>
        <w:t xml:space="preserve">Суммарный коэффициент рождаемости в Ульяновской области по данным Росстата в декабре 2025 года составил 1,234. Темпы снижения </w:t>
      </w:r>
      <w:r w:rsidRPr="001034DA">
        <w:rPr>
          <w:rFonts w:ascii="PT Astra Serif" w:eastAsia="Calibri" w:hAnsi="PT Astra Serif" w:cs="Times New Roman"/>
        </w:rPr>
        <w:lastRenderedPageBreak/>
        <w:t>суммарного коэффициента рождаемости (далее – СКР) в январе</w:t>
      </w:r>
      <w:r w:rsidR="00EB6C68">
        <w:rPr>
          <w:rFonts w:ascii="PT Astra Serif" w:eastAsia="Calibri" w:hAnsi="PT Astra Serif" w:cs="Times New Roman"/>
        </w:rPr>
        <w:t xml:space="preserve"> </w:t>
      </w:r>
      <w:r w:rsidRPr="001034DA">
        <w:rPr>
          <w:rFonts w:ascii="PT Astra Serif" w:eastAsia="Calibri" w:hAnsi="PT Astra Serif" w:cs="Times New Roman"/>
        </w:rPr>
        <w:t>-</w:t>
      </w:r>
      <w:r w:rsidR="00EB6C68">
        <w:rPr>
          <w:rFonts w:ascii="PT Astra Serif" w:eastAsia="Calibri" w:hAnsi="PT Astra Serif" w:cs="Times New Roman"/>
        </w:rPr>
        <w:t xml:space="preserve"> </w:t>
      </w:r>
      <w:r w:rsidRPr="001034DA">
        <w:rPr>
          <w:rFonts w:ascii="PT Astra Serif" w:eastAsia="Calibri" w:hAnsi="PT Astra Serif" w:cs="Times New Roman"/>
        </w:rPr>
        <w:t xml:space="preserve">декабре 2025 года в Ульяновской области составили – 0,041 пункта или – 3%, что выше общероссийской динамики (– 0,025 пункта или – 2%). В целом по Приволжскому федеральному округу снижение СКР за 2025 год составило – 0,021 пункт или –2%. </w:t>
      </w:r>
    </w:p>
    <w:p w14:paraId="1052EB95" w14:textId="77777777" w:rsidR="001034DA" w:rsidRPr="001034DA" w:rsidRDefault="001034DA" w:rsidP="001034DA">
      <w:pPr>
        <w:widowControl w:val="0"/>
        <w:rPr>
          <w:rFonts w:ascii="PT Astra Serif" w:eastAsia="Calibri" w:hAnsi="PT Astra Serif" w:cs="Times New Roman"/>
        </w:rPr>
      </w:pPr>
      <w:r w:rsidRPr="001034DA">
        <w:rPr>
          <w:rFonts w:ascii="PT Astra Serif" w:eastAsia="Calibri" w:hAnsi="PT Astra Serif" w:cs="Times New Roman"/>
        </w:rPr>
        <w:t xml:space="preserve">Суммарный коэффициент рождаемости третьих и последующих детей (далее – СКР третьих и последующих детей) в Ульяновской области </w:t>
      </w:r>
      <w:r w:rsidRPr="001034DA">
        <w:rPr>
          <w:rFonts w:ascii="PT Astra Serif" w:eastAsia="Calibri" w:hAnsi="PT Astra Serif" w:cs="Times New Roman"/>
        </w:rPr>
        <w:br/>
        <w:t xml:space="preserve">в декабре 2025 года составил 0,296. СКР третьих и последующих детей </w:t>
      </w:r>
      <w:r w:rsidRPr="001034DA">
        <w:rPr>
          <w:rFonts w:ascii="PT Astra Serif" w:eastAsia="Calibri" w:hAnsi="PT Astra Serif" w:cs="Times New Roman"/>
        </w:rPr>
        <w:br/>
        <w:t xml:space="preserve">в регионе с начала года снизился на 0,019 пункта или 6%. Снижение данного показателя на уровне Российской Федерации составило – 0,013 пунктов или –3%. Более быстрое снижение СКР третьих и последующих детей связано </w:t>
      </w:r>
      <w:r w:rsidRPr="001034DA">
        <w:rPr>
          <w:rFonts w:ascii="PT Astra Serif" w:eastAsia="Calibri" w:hAnsi="PT Astra Serif" w:cs="Times New Roman"/>
        </w:rPr>
        <w:br/>
        <w:t xml:space="preserve">с тем, что большинство мер поддержки многодетных семей действуют на территории региона более 5 лет и не могут оказать существенного влияния на решение семьи стать многодетной. </w:t>
      </w:r>
      <w:r w:rsidRPr="001034DA">
        <w:rPr>
          <w:rFonts w:ascii="PT Astra Serif" w:eastAsia="Calibri" w:hAnsi="PT Astra Serif" w:cs="Times New Roman"/>
          <w:szCs w:val="28"/>
        </w:rPr>
        <w:t xml:space="preserve">Вместе с тем, в 2025 году в рамках НП «Семья» введены 2 дополнительные меры поддержки многодетных семей – компенсация части стоимости обучения детей и единовременная выплата </w:t>
      </w:r>
      <w:r w:rsidRPr="001034DA">
        <w:rPr>
          <w:rFonts w:ascii="PT Astra Serif" w:eastAsia="Calibri" w:hAnsi="PT Astra Serif" w:cs="Times New Roman"/>
          <w:szCs w:val="28"/>
        </w:rPr>
        <w:br/>
        <w:t>в размере 300 тыс. рублей при рождении 3 ребенка.</w:t>
      </w:r>
    </w:p>
    <w:p w14:paraId="58247105" w14:textId="77777777" w:rsidR="001034DA" w:rsidRPr="001034DA" w:rsidRDefault="001034DA" w:rsidP="001034DA">
      <w:pPr>
        <w:widowControl w:val="0"/>
        <w:rPr>
          <w:rFonts w:ascii="PT Astra Serif" w:eastAsia="Calibri" w:hAnsi="PT Astra Serif" w:cs="Times New Roman"/>
        </w:rPr>
      </w:pPr>
      <w:r w:rsidRPr="001034DA">
        <w:rPr>
          <w:rFonts w:ascii="PT Astra Serif" w:eastAsia="Calibri" w:hAnsi="PT Astra Serif" w:cs="Times New Roman"/>
        </w:rPr>
        <w:t xml:space="preserve">Численность женщин фертильного возраста в Ульяновской области по данным Федеральной службы государственной статистики на 01.01.2024 составляла 250 948 человек. Для региона характерно более быстрое сокращение численности женщин фертильного возраста. В 2018 году по данным Росстата доля женщин фертильного возраста в Ульяновской области составляла 41,1% от общей численности населения, в ПФО – 43,0% </w:t>
      </w:r>
      <w:r w:rsidRPr="001034DA">
        <w:rPr>
          <w:rFonts w:ascii="PT Astra Serif" w:eastAsia="Calibri" w:hAnsi="PT Astra Serif" w:cs="Times New Roman"/>
        </w:rPr>
        <w:br/>
        <w:t>и в Российской Федерации – 44,4%. В 2023 году процент женщин в регионе составил 39,8%, в ПФО – 42,4% и в Российской Федерации – 43,8%.</w:t>
      </w:r>
    </w:p>
    <w:p w14:paraId="0910A802" w14:textId="77777777" w:rsidR="001034DA" w:rsidRPr="001034DA" w:rsidRDefault="001034DA" w:rsidP="001034DA">
      <w:pPr>
        <w:widowControl w:val="0"/>
        <w:rPr>
          <w:rFonts w:ascii="PT Astra Serif" w:eastAsia="Calibri" w:hAnsi="PT Astra Serif" w:cs="Times New Roman"/>
        </w:rPr>
      </w:pPr>
      <w:r w:rsidRPr="001034DA">
        <w:rPr>
          <w:rFonts w:ascii="PT Astra Serif" w:eastAsia="Calibri" w:hAnsi="PT Astra Serif" w:cs="Times New Roman"/>
        </w:rPr>
        <w:t xml:space="preserve">В Ульяновской области помимо сокращения численности женщин фертильного возраста, в том числе основной возрастной группы 25 - 37 лет, отмечается отток беременных женщин в другие субъекты Российской Федерации и сохранение весомой доли рождений женщин, зарегистрированных за пределами Ульяновской области. Также в 2025 году </w:t>
      </w:r>
      <w:r w:rsidRPr="001034DA">
        <w:rPr>
          <w:rFonts w:ascii="PT Astra Serif" w:eastAsia="Calibri" w:hAnsi="PT Astra Serif" w:cs="Times New Roman"/>
        </w:rPr>
        <w:br/>
        <w:t>в медицинских организациях Ульяновской области зарегистрировано 3% от общего числа рождений у женщин, которые зарегистрированы в других субъектах, но проживают в регионе. Указанные случаи рождения детей, согласно данным Федеральной службы государственной статистики, не будут включены в региональный показатель «число родившихся».</w:t>
      </w:r>
    </w:p>
    <w:p w14:paraId="5F0A0A60" w14:textId="77777777" w:rsidR="001034DA" w:rsidRPr="001034DA" w:rsidRDefault="001034DA" w:rsidP="001034DA">
      <w:pPr>
        <w:widowControl w:val="0"/>
        <w:rPr>
          <w:rFonts w:ascii="PT Astra Serif" w:eastAsia="Calibri" w:hAnsi="PT Astra Serif" w:cs="Times New Roman"/>
          <w:bCs/>
          <w:spacing w:val="-4"/>
          <w:sz w:val="40"/>
          <w:szCs w:val="28"/>
        </w:rPr>
      </w:pPr>
    </w:p>
    <w:p w14:paraId="1F3CE0D0" w14:textId="77777777" w:rsidR="001034DA" w:rsidRPr="001034DA" w:rsidRDefault="001034DA" w:rsidP="001034DA">
      <w:pPr>
        <w:widowControl w:val="0"/>
        <w:rPr>
          <w:rFonts w:ascii="PT Astra Serif" w:eastAsia="Calibri" w:hAnsi="PT Astra Serif" w:cs="Times New Roman"/>
          <w:b/>
          <w:bCs/>
          <w:i/>
          <w:spacing w:val="-4"/>
          <w:szCs w:val="28"/>
        </w:rPr>
      </w:pPr>
      <w:r w:rsidRPr="001034DA">
        <w:rPr>
          <w:rFonts w:ascii="PT Astra Serif" w:eastAsia="Calibri" w:hAnsi="PT Astra Serif" w:cs="Times New Roman"/>
          <w:b/>
          <w:bCs/>
          <w:i/>
          <w:spacing w:val="-4"/>
          <w:szCs w:val="28"/>
        </w:rPr>
        <w:t xml:space="preserve">Доля населения с </w:t>
      </w:r>
      <w:r w:rsidRPr="001034DA">
        <w:rPr>
          <w:rFonts w:ascii="PT Astra Serif" w:eastAsia="Calibri" w:hAnsi="PT Astra Serif" w:cs="Times New Roman"/>
          <w:b/>
          <w:i/>
          <w:szCs w:val="28"/>
        </w:rPr>
        <w:t>денежными доходами ниже величины прожиточного минимума.</w:t>
      </w:r>
    </w:p>
    <w:p w14:paraId="1A491A80" w14:textId="4C608B29"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По итогам 2024 года доля населения с денежными доходами ниже величины прожиточного минимума в Ульяновской области составила 9,3% </w:t>
      </w:r>
      <w:r w:rsidRPr="001034DA">
        <w:rPr>
          <w:rFonts w:ascii="PT Astra Serif" w:eastAsia="Calibri" w:hAnsi="PT Astra Serif" w:cs="Times New Roman"/>
          <w:szCs w:val="28"/>
        </w:rPr>
        <w:br/>
        <w:t>к общей численности населения</w:t>
      </w:r>
      <w:r w:rsidR="00EB6C68">
        <w:rPr>
          <w:rFonts w:ascii="PT Astra Serif" w:eastAsia="Calibri" w:hAnsi="PT Astra Serif" w:cs="Times New Roman"/>
          <w:szCs w:val="28"/>
        </w:rPr>
        <w:t xml:space="preserve">. </w:t>
      </w:r>
      <w:r w:rsidRPr="001034DA">
        <w:rPr>
          <w:rFonts w:ascii="PT Astra Serif" w:eastAsia="Calibri" w:hAnsi="PT Astra Serif" w:cs="Times New Roman"/>
          <w:szCs w:val="28"/>
        </w:rPr>
        <w:t xml:space="preserve">Среди регионов ПФО по уровню бедности </w:t>
      </w:r>
      <w:r w:rsidR="002D3A60">
        <w:rPr>
          <w:rFonts w:ascii="PT Astra Serif" w:eastAsia="Calibri" w:hAnsi="PT Astra Serif" w:cs="Times New Roman"/>
          <w:szCs w:val="28"/>
        </w:rPr>
        <w:br/>
      </w:r>
      <w:r w:rsidRPr="001034DA">
        <w:rPr>
          <w:rFonts w:ascii="PT Astra Serif" w:eastAsia="Calibri" w:hAnsi="PT Astra Serif" w:cs="Times New Roman"/>
          <w:szCs w:val="28"/>
        </w:rPr>
        <w:t xml:space="preserve">в 2024 году Ульяновская область заняла 10 место. Самые низкие показатели </w:t>
      </w:r>
      <w:r w:rsidR="002D3A60">
        <w:rPr>
          <w:rFonts w:ascii="PT Astra Serif" w:eastAsia="Calibri" w:hAnsi="PT Astra Serif" w:cs="Times New Roman"/>
          <w:szCs w:val="28"/>
        </w:rPr>
        <w:br/>
      </w:r>
      <w:r w:rsidRPr="001034DA">
        <w:rPr>
          <w:rFonts w:ascii="PT Astra Serif" w:eastAsia="Calibri" w:hAnsi="PT Astra Serif" w:cs="Times New Roman"/>
          <w:szCs w:val="28"/>
        </w:rPr>
        <w:t xml:space="preserve">в Республике Татарстан (3,7% – 1 место), в Нижегородской области (5,6% - </w:t>
      </w:r>
      <w:r w:rsidR="002D3A60">
        <w:rPr>
          <w:rFonts w:ascii="PT Astra Serif" w:eastAsia="Calibri" w:hAnsi="PT Astra Serif" w:cs="Times New Roman"/>
          <w:szCs w:val="28"/>
        </w:rPr>
        <w:br/>
      </w:r>
      <w:r w:rsidRPr="001034DA">
        <w:rPr>
          <w:rFonts w:ascii="PT Astra Serif" w:eastAsia="Calibri" w:hAnsi="PT Astra Serif" w:cs="Times New Roman"/>
          <w:szCs w:val="28"/>
        </w:rPr>
        <w:t xml:space="preserve">2 место). Наиболее высокие показатели в Республике Марий Эл (12,4% - </w:t>
      </w:r>
      <w:r w:rsidR="002D3A60">
        <w:rPr>
          <w:rFonts w:ascii="PT Astra Serif" w:eastAsia="Calibri" w:hAnsi="PT Astra Serif" w:cs="Times New Roman"/>
          <w:szCs w:val="28"/>
        </w:rPr>
        <w:br/>
      </w:r>
      <w:r w:rsidRPr="001034DA">
        <w:rPr>
          <w:rFonts w:ascii="PT Astra Serif" w:eastAsia="Calibri" w:hAnsi="PT Astra Serif" w:cs="Times New Roman"/>
          <w:szCs w:val="28"/>
        </w:rPr>
        <w:lastRenderedPageBreak/>
        <w:t xml:space="preserve">14 место), в Саратовской области (10,6% - 13 место). </w:t>
      </w:r>
    </w:p>
    <w:p w14:paraId="329C314E" w14:textId="77777777" w:rsidR="001034DA" w:rsidRPr="001034DA" w:rsidRDefault="001034DA" w:rsidP="001034DA">
      <w:pPr>
        <w:widowControl w:val="0"/>
        <w:rPr>
          <w:rFonts w:ascii="PT Astra Serif" w:eastAsia="Calibri" w:hAnsi="PT Astra Serif" w:cs="Times New Roman"/>
          <w:b/>
          <w:bCs/>
          <w:i/>
          <w:spacing w:val="-4"/>
          <w:szCs w:val="28"/>
        </w:rPr>
      </w:pPr>
      <w:r w:rsidRPr="001034DA">
        <w:rPr>
          <w:rFonts w:ascii="PT Astra Serif" w:eastAsia="Calibri" w:hAnsi="PT Astra Serif" w:cs="Times New Roman"/>
          <w:b/>
          <w:bCs/>
          <w:i/>
          <w:spacing w:val="-4"/>
          <w:szCs w:val="28"/>
        </w:rPr>
        <w:t xml:space="preserve">Число занятых в отрасли. Характеристика подведомственной сети </w:t>
      </w:r>
      <w:r w:rsidRPr="001034DA">
        <w:rPr>
          <w:rFonts w:ascii="PT Astra Serif" w:eastAsia="Calibri" w:hAnsi="PT Astra Serif" w:cs="Times New Roman"/>
          <w:b/>
          <w:bCs/>
          <w:i/>
          <w:spacing w:val="-4"/>
          <w:szCs w:val="28"/>
        </w:rPr>
        <w:br/>
        <w:t>с учетом динамики, по сравнению с 2024 годом</w:t>
      </w:r>
      <w:r w:rsidRPr="001034DA">
        <w:rPr>
          <w:rFonts w:ascii="PT Astra Serif" w:eastAsia="Calibri" w:hAnsi="PT Astra Serif" w:cs="Times New Roman"/>
          <w:b/>
          <w:i/>
          <w:spacing w:val="-4"/>
          <w:szCs w:val="28"/>
        </w:rPr>
        <w:t xml:space="preserve"> </w:t>
      </w:r>
      <w:r w:rsidRPr="001034DA">
        <w:rPr>
          <w:rFonts w:ascii="PT Astra Serif" w:eastAsia="Calibri" w:hAnsi="PT Astra Serif" w:cs="Times New Roman"/>
          <w:b/>
          <w:bCs/>
          <w:i/>
          <w:spacing w:val="-4"/>
          <w:szCs w:val="28"/>
        </w:rPr>
        <w:t>(при наличии).</w:t>
      </w:r>
    </w:p>
    <w:p w14:paraId="2D1C43B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Количество занятых штатных единиц составляет – 6 029,252 единиц, </w:t>
      </w:r>
      <w:r w:rsidRPr="001034DA">
        <w:rPr>
          <w:rFonts w:ascii="PT Astra Serif" w:eastAsia="Calibri" w:hAnsi="PT Astra Serif" w:cs="Times New Roman"/>
          <w:szCs w:val="28"/>
        </w:rPr>
        <w:br/>
        <w:t>в том числе:</w:t>
      </w:r>
    </w:p>
    <w:p w14:paraId="305DD826"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категория руководители (директор учреждения, заместитель руководителя, главный бухгалтер, заведующий отделением) – занято 296,5 штатных;</w:t>
      </w:r>
    </w:p>
    <w:p w14:paraId="1B39E8C9"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медицинский персонал (врач, средний и младший медицинский персонал) – занято 1 258,25 штатных единиц;</w:t>
      </w:r>
    </w:p>
    <w:p w14:paraId="17A420FB"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педагогический персонал (воспитатель, педагог, педагог-психолог </w:t>
      </w:r>
      <w:r w:rsidRPr="001034DA">
        <w:rPr>
          <w:rFonts w:ascii="PT Astra Serif" w:eastAsia="Calibri" w:hAnsi="PT Astra Serif" w:cs="Times New Roman"/>
          <w:szCs w:val="28"/>
        </w:rPr>
        <w:br/>
        <w:t>и прочий педагогический персонал) – занято 847,75 штатных единиц;</w:t>
      </w:r>
    </w:p>
    <w:p w14:paraId="0E91F0A0"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специалисты в области социальной работы (социальный работник, специалист по социальной работе, сиделка) – занято 950,5 штатных единиц;</w:t>
      </w:r>
    </w:p>
    <w:p w14:paraId="0FC8E52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административный персонал (секретарь, делопроизводитель, специалист отдела кадров, экспедитор и другие) – занято 1 229,25 штатных единиц;</w:t>
      </w:r>
    </w:p>
    <w:p w14:paraId="290B119F"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кухонные работники, обслуживающий персонал (сторож, ремонтник, дворник, электрик, водитель и др.) – занято 1 447,0 штатных единиц.</w:t>
      </w:r>
    </w:p>
    <w:p w14:paraId="28AFCECD"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Во исполнение Указа Президента РФ в 2025 году велась работа по повышению заработной платы работников сферы.</w:t>
      </w:r>
    </w:p>
    <w:p w14:paraId="7B9D5BFC"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По итогам 2025 года средняя заработная плата в системе социальной защиты населения составила:</w:t>
      </w:r>
    </w:p>
    <w:p w14:paraId="5EDEBC02" w14:textId="22272B6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социальных работников – 52 112,7 руб</w:t>
      </w:r>
      <w:r w:rsidR="002906CA">
        <w:rPr>
          <w:rFonts w:ascii="PT Astra Serif" w:eastAsia="Times New Roman" w:hAnsi="PT Astra Serif" w:cs="Times New Roman"/>
          <w:szCs w:val="28"/>
          <w:lang w:eastAsia="ru-RU"/>
        </w:rPr>
        <w:t>лей</w:t>
      </w:r>
      <w:r w:rsidRPr="001034DA">
        <w:rPr>
          <w:rFonts w:ascii="PT Astra Serif" w:eastAsia="Times New Roman" w:hAnsi="PT Astra Serif" w:cs="Times New Roman"/>
          <w:szCs w:val="28"/>
          <w:lang w:eastAsia="ru-RU"/>
        </w:rPr>
        <w:t xml:space="preserve"> или 101,8% от целевого показателя; </w:t>
      </w:r>
    </w:p>
    <w:p w14:paraId="21DF78B6" w14:textId="116B872F"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среднего медицинского персонала – 48 565,8 руб</w:t>
      </w:r>
      <w:r w:rsidR="002906CA">
        <w:rPr>
          <w:rFonts w:ascii="PT Astra Serif" w:eastAsia="Times New Roman" w:hAnsi="PT Astra Serif" w:cs="Times New Roman"/>
          <w:szCs w:val="28"/>
          <w:lang w:eastAsia="ru-RU"/>
        </w:rPr>
        <w:t>лей</w:t>
      </w:r>
      <w:r w:rsidRPr="001034DA">
        <w:rPr>
          <w:rFonts w:ascii="PT Astra Serif" w:eastAsia="Times New Roman" w:hAnsi="PT Astra Serif" w:cs="Times New Roman"/>
          <w:szCs w:val="28"/>
          <w:lang w:eastAsia="ru-RU"/>
        </w:rPr>
        <w:t xml:space="preserve"> или 94,9% от целевого показателя;</w:t>
      </w:r>
    </w:p>
    <w:p w14:paraId="1526ABBF" w14:textId="482B46C2"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младшего медицинского персонала – 47 752,4 руб</w:t>
      </w:r>
      <w:r w:rsidR="002906CA">
        <w:rPr>
          <w:rFonts w:ascii="PT Astra Serif" w:eastAsia="Times New Roman" w:hAnsi="PT Astra Serif" w:cs="Times New Roman"/>
          <w:szCs w:val="28"/>
          <w:lang w:eastAsia="ru-RU"/>
        </w:rPr>
        <w:t>лей</w:t>
      </w:r>
      <w:r w:rsidRPr="001034DA">
        <w:rPr>
          <w:rFonts w:ascii="PT Astra Serif" w:eastAsia="Times New Roman" w:hAnsi="PT Astra Serif" w:cs="Times New Roman"/>
          <w:szCs w:val="28"/>
          <w:lang w:eastAsia="ru-RU"/>
        </w:rPr>
        <w:t xml:space="preserve"> или 93,3% от целевого показателя; </w:t>
      </w:r>
    </w:p>
    <w:p w14:paraId="079778C2" w14:textId="0155669C" w:rsidR="001034DA" w:rsidRPr="001034DA" w:rsidRDefault="001034DA" w:rsidP="001034DA">
      <w:pPr>
        <w:widowControl w:val="0"/>
        <w:rPr>
          <w:rFonts w:ascii="PT Astra Serif" w:eastAsia="Times New Roman" w:hAnsi="PT Astra Serif" w:cs="Times New Roman"/>
          <w:b/>
          <w:szCs w:val="28"/>
          <w:lang w:eastAsia="ru-RU"/>
        </w:rPr>
      </w:pPr>
      <w:r w:rsidRPr="001034DA">
        <w:rPr>
          <w:rFonts w:ascii="PT Astra Serif" w:eastAsia="Times New Roman" w:hAnsi="PT Astra Serif" w:cs="Times New Roman"/>
          <w:szCs w:val="28"/>
          <w:lang w:eastAsia="ru-RU"/>
        </w:rPr>
        <w:t>врачей – 73 293,3 руб</w:t>
      </w:r>
      <w:r w:rsidR="002906CA">
        <w:rPr>
          <w:rFonts w:ascii="PT Astra Serif" w:eastAsia="Times New Roman" w:hAnsi="PT Astra Serif" w:cs="Times New Roman"/>
          <w:szCs w:val="28"/>
          <w:lang w:eastAsia="ru-RU"/>
        </w:rPr>
        <w:t>лей</w:t>
      </w:r>
      <w:r w:rsidRPr="001034DA">
        <w:rPr>
          <w:rFonts w:ascii="PT Astra Serif" w:eastAsia="Times New Roman" w:hAnsi="PT Astra Serif" w:cs="Times New Roman"/>
          <w:szCs w:val="28"/>
          <w:lang w:eastAsia="ru-RU"/>
        </w:rPr>
        <w:t xml:space="preserve"> или 143,2% от целевого показателя; </w:t>
      </w:r>
    </w:p>
    <w:p w14:paraId="5900710F" w14:textId="77777777" w:rsidR="001034DA" w:rsidRPr="001034DA" w:rsidRDefault="001034DA" w:rsidP="001034DA">
      <w:pPr>
        <w:widowControl w:val="0"/>
        <w:tabs>
          <w:tab w:val="left" w:pos="3433"/>
        </w:tabs>
        <w:rPr>
          <w:rFonts w:ascii="PT Astra Serif" w:eastAsia="Calibri" w:hAnsi="PT Astra Serif" w:cs="Times New Roman"/>
          <w:szCs w:val="28"/>
        </w:rPr>
      </w:pPr>
      <w:r w:rsidRPr="001034DA">
        <w:rPr>
          <w:rFonts w:ascii="PT Astra Serif" w:eastAsia="Calibri" w:hAnsi="PT Astra Serif" w:cs="Times New Roman"/>
          <w:szCs w:val="28"/>
        </w:rPr>
        <w:t xml:space="preserve">педагогических работников, оказывающих услуги детям-сиротам, </w:t>
      </w:r>
      <w:r w:rsidRPr="001034DA">
        <w:rPr>
          <w:rFonts w:ascii="PT Astra Serif" w:eastAsia="Calibri" w:hAnsi="PT Astra Serif" w:cs="Times New Roman"/>
          <w:szCs w:val="28"/>
        </w:rPr>
        <w:br/>
        <w:t xml:space="preserve">и детям, оставшимся без попечения родителей – </w:t>
      </w:r>
      <w:r w:rsidRPr="001034DA">
        <w:rPr>
          <w:rFonts w:ascii="PT Astra Serif" w:eastAsia="Times New Roman" w:hAnsi="PT Astra Serif" w:cs="Times New Roman"/>
          <w:szCs w:val="28"/>
          <w:lang w:eastAsia="ru-RU"/>
        </w:rPr>
        <w:t>49 518,4</w:t>
      </w:r>
      <w:r w:rsidRPr="001034DA">
        <w:rPr>
          <w:rFonts w:ascii="PT Astra Serif" w:eastAsia="Calibri" w:hAnsi="PT Astra Serif" w:cs="Times New Roman"/>
          <w:szCs w:val="28"/>
        </w:rPr>
        <w:t xml:space="preserve"> рублей или 96,8% от целевого показателя.</w:t>
      </w:r>
    </w:p>
    <w:p w14:paraId="00FE2A57"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 xml:space="preserve">В Министерстве социального развития Ульяновской области осуществляют свою деятельность 40 подведомственных учреждений </w:t>
      </w:r>
      <w:r w:rsidRPr="001034DA">
        <w:rPr>
          <w:rFonts w:ascii="PT Astra Serif" w:eastAsia="Liberation Sans" w:hAnsi="PT Astra Serif" w:cs="Liberation Sans"/>
          <w:i/>
          <w:color w:val="000000"/>
          <w:szCs w:val="28"/>
        </w:rPr>
        <w:t>(учреждения социального обслуживания, детские дома, социально-реабилитационные центры для несовершеннолетних, социальные приюты и областные государственные казенные учреждения социальной защиты населения):</w:t>
      </w:r>
      <w:r w:rsidRPr="001034DA">
        <w:rPr>
          <w:rFonts w:ascii="PT Astra Serif" w:eastAsia="Liberation Sans" w:hAnsi="PT Astra Serif" w:cs="Liberation Sans"/>
          <w:color w:val="000000"/>
          <w:szCs w:val="28"/>
        </w:rPr>
        <w:t xml:space="preserve"> </w:t>
      </w:r>
    </w:p>
    <w:p w14:paraId="31AAEF9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6 – добрый дом;</w:t>
      </w:r>
    </w:p>
    <w:p w14:paraId="05B59514"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дом добра и милосердия для детей и молодых инвалидов;</w:t>
      </w:r>
    </w:p>
    <w:p w14:paraId="2224C180" w14:textId="77777777" w:rsidR="001034DA" w:rsidRPr="001034DA" w:rsidRDefault="001034DA" w:rsidP="001034DA">
      <w:pPr>
        <w:widowControl w:val="0"/>
        <w:rPr>
          <w:rFonts w:ascii="PT Astra Serif" w:eastAsia="Liberation Sans" w:hAnsi="PT Astra Serif" w:cs="Liberation Sans"/>
          <w:color w:val="000000"/>
          <w:szCs w:val="28"/>
        </w:rPr>
      </w:pPr>
      <w:r w:rsidRPr="001034DA">
        <w:rPr>
          <w:rFonts w:ascii="PT Astra Serif" w:eastAsia="Liberation Sans" w:hAnsi="PT Astra Serif" w:cs="Liberation Sans"/>
          <w:color w:val="000000"/>
          <w:szCs w:val="28"/>
        </w:rPr>
        <w:t>1 – дом добра и помощи;</w:t>
      </w:r>
    </w:p>
    <w:p w14:paraId="7720012F"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специальный дома-интерната;</w:t>
      </w:r>
    </w:p>
    <w:p w14:paraId="21DA5AAE"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геронтологический центр;</w:t>
      </w:r>
    </w:p>
    <w:p w14:paraId="50D584F9"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дом-интернат для престарелых и инвалидов;</w:t>
      </w:r>
    </w:p>
    <w:p w14:paraId="2A5B3467"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lastRenderedPageBreak/>
        <w:t>1 – пансионат «Серебряный рассвет» им. З.А. Кудиновой;</w:t>
      </w:r>
    </w:p>
    <w:p w14:paraId="07F6152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4 – комплексных центра социального обслуживания;</w:t>
      </w:r>
    </w:p>
    <w:p w14:paraId="0695784C"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2 – социально-реабилитационных центра;</w:t>
      </w:r>
    </w:p>
    <w:p w14:paraId="2F349EE7"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 xml:space="preserve">1 – социально-оздоровительный центр граждан пожилого возраста </w:t>
      </w:r>
      <w:r w:rsidRPr="001034DA">
        <w:rPr>
          <w:rFonts w:ascii="PT Astra Serif" w:eastAsia="Liberation Sans" w:hAnsi="PT Astra Serif" w:cs="Liberation Sans"/>
          <w:color w:val="000000"/>
          <w:szCs w:val="28"/>
        </w:rPr>
        <w:br/>
        <w:t>и инвалидов;</w:t>
      </w:r>
    </w:p>
    <w:p w14:paraId="10C0CC9A"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многопрофильный центр реабилитации и активного долголетия;</w:t>
      </w:r>
    </w:p>
    <w:p w14:paraId="4F75EAC3"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2 – реабилитационных центра для детей и подростков с ограниченными возможностями;</w:t>
      </w:r>
    </w:p>
    <w:p w14:paraId="79BC2B3B"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комплексный кризисный центр;</w:t>
      </w:r>
    </w:p>
    <w:p w14:paraId="42D361F5"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Liberation Sans" w:hAnsi="PT Astra Serif" w:cs="Liberation Sans"/>
          <w:color w:val="000000"/>
          <w:szCs w:val="28"/>
        </w:rPr>
        <w:t>1 – центр социально-психологической помощи семье и детям;</w:t>
      </w:r>
    </w:p>
    <w:p w14:paraId="4261C0A8" w14:textId="77777777" w:rsidR="001034DA" w:rsidRPr="001034DA" w:rsidRDefault="001034DA" w:rsidP="001034DA">
      <w:pPr>
        <w:widowControl w:val="0"/>
        <w:rPr>
          <w:rFonts w:ascii="PT Astra Serif" w:eastAsia="Calibri" w:hAnsi="PT Astra Serif" w:cs="Times New Roman"/>
          <w:bCs/>
          <w:spacing w:val="-4"/>
          <w:szCs w:val="28"/>
        </w:rPr>
      </w:pPr>
      <w:r w:rsidRPr="001034DA">
        <w:rPr>
          <w:rFonts w:ascii="PT Astra Serif" w:eastAsia="Calibri" w:hAnsi="PT Astra Serif" w:cs="Times New Roman"/>
          <w:bCs/>
          <w:spacing w:val="-4"/>
          <w:szCs w:val="28"/>
        </w:rPr>
        <w:t>6 – детские дома;</w:t>
      </w:r>
    </w:p>
    <w:p w14:paraId="3B28BFE7" w14:textId="77777777" w:rsidR="001034DA" w:rsidRPr="001034DA" w:rsidRDefault="001034DA" w:rsidP="001034DA">
      <w:pPr>
        <w:widowControl w:val="0"/>
        <w:rPr>
          <w:rFonts w:ascii="PT Astra Serif" w:eastAsia="Calibri" w:hAnsi="PT Astra Serif" w:cs="Times New Roman"/>
          <w:bCs/>
          <w:spacing w:val="-4"/>
          <w:szCs w:val="28"/>
        </w:rPr>
      </w:pPr>
      <w:r w:rsidRPr="001034DA">
        <w:rPr>
          <w:rFonts w:ascii="PT Astra Serif" w:eastAsia="Calibri" w:hAnsi="PT Astra Serif" w:cs="Times New Roman"/>
          <w:bCs/>
          <w:spacing w:val="-4"/>
          <w:szCs w:val="28"/>
        </w:rPr>
        <w:t>6 – социально-реабилитационные центры для несовершеннолетних;</w:t>
      </w:r>
    </w:p>
    <w:p w14:paraId="2556D6B6" w14:textId="77777777" w:rsidR="001034DA" w:rsidRPr="001034DA" w:rsidRDefault="001034DA" w:rsidP="001034DA">
      <w:pPr>
        <w:widowControl w:val="0"/>
        <w:rPr>
          <w:rFonts w:ascii="PT Astra Serif" w:eastAsia="Calibri" w:hAnsi="PT Astra Serif" w:cs="Times New Roman"/>
          <w:bCs/>
          <w:spacing w:val="-4"/>
          <w:szCs w:val="28"/>
        </w:rPr>
      </w:pPr>
      <w:r w:rsidRPr="001034DA">
        <w:rPr>
          <w:rFonts w:ascii="PT Astra Serif" w:eastAsia="Calibri" w:hAnsi="PT Astra Serif" w:cs="Times New Roman"/>
          <w:bCs/>
          <w:spacing w:val="-4"/>
          <w:szCs w:val="28"/>
        </w:rPr>
        <w:t>2 – социальные приюты для детей и подростков;</w:t>
      </w:r>
    </w:p>
    <w:p w14:paraId="0F77DD23" w14:textId="77777777" w:rsidR="001034DA" w:rsidRPr="001034DA" w:rsidRDefault="001034DA" w:rsidP="001034DA">
      <w:pPr>
        <w:widowControl w:val="0"/>
        <w:rPr>
          <w:rFonts w:ascii="PT Astra Serif" w:eastAsia="Liberation Sans" w:hAnsi="PT Astra Serif" w:cs="Liberation Sans"/>
          <w:color w:val="000000"/>
          <w:szCs w:val="28"/>
        </w:rPr>
      </w:pPr>
      <w:r w:rsidRPr="001034DA">
        <w:rPr>
          <w:rFonts w:ascii="PT Astra Serif" w:eastAsia="Calibri" w:hAnsi="PT Astra Serif" w:cs="Times New Roman"/>
          <w:bCs/>
          <w:spacing w:val="-4"/>
          <w:szCs w:val="28"/>
        </w:rPr>
        <w:t xml:space="preserve">2 - </w:t>
      </w:r>
      <w:r w:rsidRPr="001034DA">
        <w:rPr>
          <w:rFonts w:ascii="PT Astra Serif" w:eastAsia="Liberation Sans" w:hAnsi="PT Astra Serif" w:cs="Liberation Sans"/>
          <w:color w:val="000000"/>
          <w:szCs w:val="28"/>
        </w:rPr>
        <w:t>областные государственные казенные учреждения социальной защиты населения.</w:t>
      </w:r>
    </w:p>
    <w:p w14:paraId="046B331A" w14:textId="77777777" w:rsidR="001034DA" w:rsidRPr="001034DA" w:rsidRDefault="001034DA" w:rsidP="001034DA">
      <w:pPr>
        <w:widowControl w:val="0"/>
        <w:rPr>
          <w:rFonts w:ascii="PT Astra Serif" w:eastAsia="Calibri" w:hAnsi="PT Astra Serif" w:cs="Times New Roman"/>
          <w:bCs/>
          <w:spacing w:val="-4"/>
          <w:szCs w:val="28"/>
        </w:rPr>
      </w:pPr>
    </w:p>
    <w:p w14:paraId="1F942671" w14:textId="77777777" w:rsidR="001034DA" w:rsidRPr="001034DA" w:rsidRDefault="001034DA" w:rsidP="001034DA">
      <w:pPr>
        <w:widowControl w:val="0"/>
        <w:ind w:firstLine="0"/>
        <w:jc w:val="center"/>
        <w:rPr>
          <w:rFonts w:ascii="PT Astra Serif" w:eastAsia="Calibri" w:hAnsi="PT Astra Serif" w:cs="Times New Roman"/>
          <w:b/>
          <w:spacing w:val="-4"/>
          <w:szCs w:val="28"/>
        </w:rPr>
      </w:pPr>
      <w:r w:rsidRPr="001034DA">
        <w:rPr>
          <w:rFonts w:ascii="PT Astra Serif" w:eastAsia="Calibri" w:hAnsi="PT Astra Serif" w:cs="Times New Roman"/>
          <w:b/>
          <w:spacing w:val="-4"/>
          <w:szCs w:val="28"/>
        </w:rPr>
        <w:t>Реализация национального проекта «Семья»</w:t>
      </w:r>
    </w:p>
    <w:p w14:paraId="11938728" w14:textId="77777777" w:rsidR="001034DA" w:rsidRPr="001034DA" w:rsidRDefault="001034DA" w:rsidP="001034DA">
      <w:pPr>
        <w:widowControl w:val="0"/>
        <w:jc w:val="center"/>
        <w:rPr>
          <w:rFonts w:ascii="PT Astra Serif" w:eastAsia="Calibri" w:hAnsi="PT Astra Serif" w:cs="Times New Roman"/>
          <w:b/>
          <w:spacing w:val="-4"/>
          <w:szCs w:val="28"/>
          <w:u w:val="single"/>
        </w:rPr>
      </w:pPr>
    </w:p>
    <w:p w14:paraId="63B4D5A8"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В 2025 году на территории Ульяновской области по поручению президента Российской Федерации началась реализация национального проекта «Семья». </w:t>
      </w:r>
    </w:p>
    <w:p w14:paraId="2B757CDA"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Национальный проект «Семья» является ключевым в комплексном шестилетнем плане развития страны, в его структуру» входят пять федеральных проектов:</w:t>
      </w:r>
    </w:p>
    <w:p w14:paraId="55438379" w14:textId="77E9FE42"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«Поддержка семьи» - реализует Министерство; </w:t>
      </w:r>
    </w:p>
    <w:p w14:paraId="1A178F5A" w14:textId="583F859B"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«Многодетная семья» - реализует Министерство; </w:t>
      </w:r>
    </w:p>
    <w:p w14:paraId="14E333BC"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«Охрана материнства и детства» - реализует Министерство здравоохранения Ульяновской области; </w:t>
      </w:r>
    </w:p>
    <w:p w14:paraId="6B446413" w14:textId="45847195"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«Старшее поколение» - реализует Министерство;</w:t>
      </w:r>
    </w:p>
    <w:p w14:paraId="39C01042"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«Семейные ценности и инфраструктура культуры» - реализует Министерство искусство и культурной политики Ульяновской области. </w:t>
      </w:r>
    </w:p>
    <w:p w14:paraId="183C886C" w14:textId="55BDFEBF"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В 2025 году в рамках национального проекта «Семья» закреплено 12 показателей и 14 результатов. Общий уровень достижения целей национального проекта «Семья» в 2025 году составляет 88,46% (с учётом всех показателей ИОГВ), что показывает хорошую динамику и эффективность реализуемых мероприятий. В планах — усиление поддержки семей с детьми, внедрение эффективных программ в области здравоохранения и социальной защиты, а также активное продвижение инициатив, направленных на популяризацию многодетности и семейных ценностей в регионе.</w:t>
      </w:r>
    </w:p>
    <w:p w14:paraId="654A65E8"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Одной из ключевых национальных целей развития Российской Федерации до 2030 года является сохранение населения, укрепления здоровья и повышения благополучия людей, поддержка семьи. </w:t>
      </w:r>
      <w:r w:rsidRPr="001034DA">
        <w:rPr>
          <w:rFonts w:ascii="PT Astra Serif" w:eastAsia="Times New Roman" w:hAnsi="PT Astra Serif" w:cs="Times New Roman"/>
          <w:szCs w:val="28"/>
        </w:rPr>
        <w:t xml:space="preserve">Модель поддержки по национальному проекту «Семья», созданная в регионе для нивелирования негативных демографических тенденций, охватывает полный жизненный цикл человека: от сопровождения при планировании ребёнка до организации </w:t>
      </w:r>
      <w:r w:rsidRPr="001034DA">
        <w:rPr>
          <w:rFonts w:ascii="PT Astra Serif" w:eastAsia="Times New Roman" w:hAnsi="PT Astra Serif" w:cs="Times New Roman"/>
          <w:szCs w:val="28"/>
        </w:rPr>
        <w:lastRenderedPageBreak/>
        <w:t>долговременного ухода за пожилыми родителями.</w:t>
      </w:r>
    </w:p>
    <w:p w14:paraId="72346AD7" w14:textId="50311858"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Times New Roman" w:hAnsi="PT Astra Serif" w:cs="Times New Roman"/>
          <w:szCs w:val="28"/>
        </w:rPr>
        <w:t xml:space="preserve">В 2025 году в рамках нацпроекта </w:t>
      </w:r>
      <w:r w:rsidRPr="001034DA">
        <w:rPr>
          <w:rFonts w:ascii="PT Astra Serif" w:eastAsia="Calibri" w:hAnsi="PT Astra Serif" w:cs="Times New Roman"/>
          <w:szCs w:val="28"/>
          <w:shd w:val="clear" w:color="auto" w:fill="FFFFFF"/>
        </w:rPr>
        <w:t>в 21 женской консультации</w:t>
      </w:r>
      <w:r w:rsidRPr="001034DA">
        <w:rPr>
          <w:rFonts w:ascii="PT Astra Serif" w:eastAsia="Times New Roman" w:hAnsi="PT Astra Serif" w:cs="Times New Roman"/>
          <w:szCs w:val="28"/>
        </w:rPr>
        <w:t xml:space="preserve"> созданы </w:t>
      </w:r>
      <w:r w:rsidRPr="001034DA">
        <w:rPr>
          <w:rFonts w:ascii="PT Astra Serif" w:eastAsia="Calibri" w:hAnsi="PT Astra Serif" w:cs="Times New Roman"/>
          <w:szCs w:val="28"/>
          <w:shd w:val="clear" w:color="auto" w:fill="FFFFFF"/>
        </w:rPr>
        <w:t xml:space="preserve">службы, обеспечивающие подготовку семьи к рождению ребенка. В данных учреждениях получили комплексную помощь, включая патронаж </w:t>
      </w:r>
      <w:r w:rsidR="002906CA">
        <w:rPr>
          <w:rFonts w:ascii="PT Astra Serif" w:eastAsia="Calibri" w:hAnsi="PT Astra Serif" w:cs="Times New Roman"/>
          <w:szCs w:val="28"/>
          <w:shd w:val="clear" w:color="auto" w:fill="FFFFFF"/>
        </w:rPr>
        <w:br/>
      </w:r>
      <w:r w:rsidRPr="001034DA">
        <w:rPr>
          <w:rFonts w:ascii="PT Astra Serif" w:eastAsia="Calibri" w:hAnsi="PT Astra Serif" w:cs="Times New Roman"/>
          <w:szCs w:val="28"/>
          <w:shd w:val="clear" w:color="auto" w:fill="FFFFFF"/>
        </w:rPr>
        <w:t>и консультирование по разным жизненным ситуациям, 7 128 граждан.</w:t>
      </w:r>
    </w:p>
    <w:p w14:paraId="5FF3BA15" w14:textId="77777777" w:rsidR="001034DA" w:rsidRPr="001034DA" w:rsidRDefault="001034DA" w:rsidP="001034DA">
      <w:pPr>
        <w:widowControl w:val="0"/>
        <w:rPr>
          <w:rFonts w:ascii="PT Astra Serif" w:eastAsia="Times New Roman" w:hAnsi="PT Astra Serif" w:cs="Courier New"/>
          <w:bCs/>
          <w:szCs w:val="28"/>
          <w:shd w:val="clear" w:color="auto" w:fill="FFFFFF"/>
          <w:lang w:eastAsia="ru-RU"/>
        </w:rPr>
      </w:pPr>
      <w:r w:rsidRPr="001034DA">
        <w:rPr>
          <w:rFonts w:ascii="PT Astra Serif" w:eastAsia="Times New Roman" w:hAnsi="PT Astra Serif" w:cs="Courier New"/>
          <w:szCs w:val="28"/>
          <w:shd w:val="clear" w:color="auto" w:fill="FFFFFF"/>
          <w:lang w:eastAsia="ru-RU"/>
        </w:rPr>
        <w:t xml:space="preserve">В целях поддержки семей </w:t>
      </w:r>
      <w:r w:rsidRPr="001034DA">
        <w:rPr>
          <w:rFonts w:ascii="PT Astra Serif" w:eastAsia="Calibri" w:hAnsi="PT Astra Serif" w:cs="Times New Roman"/>
          <w:bCs/>
          <w:szCs w:val="28"/>
          <w:shd w:val="clear" w:color="auto" w:fill="FFFFFF"/>
        </w:rPr>
        <w:t xml:space="preserve">выдано 7 152 </w:t>
      </w:r>
      <w:r w:rsidRPr="001034DA">
        <w:rPr>
          <w:rFonts w:ascii="PT Astra Serif" w:eastAsia="Times New Roman" w:hAnsi="PT Astra Serif" w:cs="Times New Roman"/>
          <w:szCs w:val="28"/>
          <w:lang w:eastAsia="ru-RU"/>
        </w:rPr>
        <w:t xml:space="preserve">подарочных комплекта </w:t>
      </w:r>
      <w:r w:rsidRPr="001034DA">
        <w:rPr>
          <w:rFonts w:ascii="PT Astra Serif" w:eastAsia="Times New Roman" w:hAnsi="PT Astra Serif" w:cs="Courier New"/>
          <w:bCs/>
          <w:szCs w:val="28"/>
          <w:shd w:val="clear" w:color="auto" w:fill="FFFFFF"/>
          <w:lang w:eastAsia="ru-RU"/>
        </w:rPr>
        <w:t xml:space="preserve">детских принадлежностей для новорождённого ребёнка всем родителям </w:t>
      </w:r>
      <w:r w:rsidRPr="001034DA">
        <w:rPr>
          <w:rFonts w:ascii="PT Astra Serif" w:eastAsia="Times New Roman" w:hAnsi="PT Astra Serif" w:cs="Courier New"/>
          <w:szCs w:val="28"/>
          <w:shd w:val="clear" w:color="auto" w:fill="FFFFFF"/>
          <w:lang w:eastAsia="ru-RU"/>
        </w:rPr>
        <w:t>при рождении ребенка</w:t>
      </w:r>
      <w:r w:rsidRPr="001034DA">
        <w:rPr>
          <w:rFonts w:ascii="PT Astra Serif" w:eastAsia="Times New Roman" w:hAnsi="PT Astra Serif" w:cs="Courier New"/>
          <w:bCs/>
          <w:szCs w:val="28"/>
          <w:shd w:val="clear" w:color="auto" w:fill="FFFFFF"/>
          <w:lang w:eastAsia="ru-RU"/>
        </w:rPr>
        <w:t xml:space="preserve">. </w:t>
      </w:r>
    </w:p>
    <w:p w14:paraId="24369AC3" w14:textId="798C0BE1" w:rsidR="001034DA" w:rsidRPr="001034DA" w:rsidRDefault="001034DA" w:rsidP="001034DA">
      <w:pPr>
        <w:widowControl w:val="0"/>
        <w:shd w:val="clear" w:color="auto" w:fill="FFFFFF"/>
        <w:rPr>
          <w:rFonts w:ascii="PT Astra Serif" w:eastAsia="Calibri" w:hAnsi="PT Astra Serif" w:cs="Times New Roman"/>
          <w:i/>
          <w:szCs w:val="28"/>
          <w:shd w:val="clear" w:color="auto" w:fill="FFFFFF"/>
        </w:rPr>
      </w:pPr>
      <w:r w:rsidRPr="001034DA">
        <w:rPr>
          <w:rFonts w:ascii="PT Astra Serif" w:eastAsia="Times New Roman" w:hAnsi="PT Astra Serif" w:cs="Courier New"/>
          <w:bCs/>
          <w:szCs w:val="28"/>
          <w:shd w:val="clear" w:color="auto" w:fill="FFFFFF"/>
          <w:lang w:eastAsia="ru-RU"/>
        </w:rPr>
        <w:t xml:space="preserve">В рамках создания семейно-ориентированной инфраструктуры дошкольных образовательных организаций капитально </w:t>
      </w:r>
      <w:r w:rsidRPr="001034DA">
        <w:rPr>
          <w:rFonts w:ascii="PT Astra Serif" w:eastAsia="Calibri" w:hAnsi="PT Astra Serif" w:cs="Times New Roman"/>
          <w:bCs/>
          <w:szCs w:val="28"/>
          <w:shd w:val="clear" w:color="auto" w:fill="FFFFFF"/>
        </w:rPr>
        <w:t xml:space="preserve">отремонтированы </w:t>
      </w:r>
      <w:r w:rsidR="00761577">
        <w:rPr>
          <w:rFonts w:ascii="PT Astra Serif" w:eastAsia="Calibri" w:hAnsi="PT Astra Serif" w:cs="Times New Roman"/>
          <w:bCs/>
          <w:szCs w:val="28"/>
          <w:shd w:val="clear" w:color="auto" w:fill="FFFFFF"/>
        </w:rPr>
        <w:br/>
      </w:r>
      <w:r w:rsidRPr="001034DA">
        <w:rPr>
          <w:rFonts w:ascii="PT Astra Serif" w:eastAsia="Calibri" w:hAnsi="PT Astra Serif" w:cs="Times New Roman"/>
          <w:bCs/>
          <w:szCs w:val="28"/>
          <w:shd w:val="clear" w:color="auto" w:fill="FFFFFF"/>
        </w:rPr>
        <w:t xml:space="preserve">2 дошкольных образовательных учреждения. </w:t>
      </w:r>
    </w:p>
    <w:p w14:paraId="5DDBEA3A" w14:textId="7777777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Calibri" w:hAnsi="PT Astra Serif" w:cs="Times New Roman"/>
          <w:szCs w:val="28"/>
        </w:rPr>
        <w:t xml:space="preserve">Отдельный комплекс дополнительных мер поддержки был направлен на молодые студенческие семьи с ориентацией на </w:t>
      </w:r>
      <w:r w:rsidRPr="001034DA">
        <w:rPr>
          <w:rFonts w:ascii="PT Astra Serif" w:eastAsia="Times New Roman" w:hAnsi="PT Astra Serif" w:cs="Times New Roman"/>
          <w:szCs w:val="28"/>
          <w:lang w:eastAsia="ru-RU"/>
        </w:rPr>
        <w:t xml:space="preserve">женщин в возрасте до </w:t>
      </w:r>
      <w:r w:rsidRPr="001034DA">
        <w:rPr>
          <w:rFonts w:ascii="PT Astra Serif" w:eastAsia="Times New Roman" w:hAnsi="PT Astra Serif" w:cs="Times New Roman"/>
          <w:szCs w:val="28"/>
          <w:lang w:eastAsia="ru-RU"/>
        </w:rPr>
        <w:br/>
        <w:t xml:space="preserve">21 -27 лет, которые составляют основную группу женщин, участвующих </w:t>
      </w:r>
      <w:r w:rsidRPr="001034DA">
        <w:rPr>
          <w:rFonts w:ascii="PT Astra Serif" w:eastAsia="Times New Roman" w:hAnsi="PT Astra Serif" w:cs="Times New Roman"/>
          <w:szCs w:val="28"/>
          <w:lang w:eastAsia="ru-RU"/>
        </w:rPr>
        <w:br/>
        <w:t>в рождении первых и вторых детей:</w:t>
      </w:r>
    </w:p>
    <w:p w14:paraId="58B5A689" w14:textId="77777777" w:rsidR="001034DA" w:rsidRPr="001034DA" w:rsidRDefault="001034DA" w:rsidP="001034DA">
      <w:pPr>
        <w:widowControl w:val="0"/>
        <w:tabs>
          <w:tab w:val="left" w:pos="993"/>
        </w:tabs>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 xml:space="preserve">1. В 2025 году </w:t>
      </w:r>
      <w:r w:rsidRPr="001034DA">
        <w:rPr>
          <w:rFonts w:ascii="PT Astra Serif" w:eastAsia="Calibri" w:hAnsi="PT Astra Serif" w:cs="Times New Roman"/>
          <w:szCs w:val="28"/>
          <w:shd w:val="clear" w:color="auto" w:fill="FFFFFF"/>
          <w:lang w:eastAsia="ru-RU"/>
        </w:rPr>
        <w:t xml:space="preserve">открыты группы кратковременного пребывания детей </w:t>
      </w:r>
      <w:r w:rsidRPr="001034DA">
        <w:rPr>
          <w:rFonts w:ascii="PT Astra Serif" w:eastAsia="Calibri" w:hAnsi="PT Astra Serif" w:cs="Times New Roman"/>
          <w:szCs w:val="28"/>
          <w:shd w:val="clear" w:color="auto" w:fill="FFFFFF"/>
          <w:lang w:eastAsia="ru-RU"/>
        </w:rPr>
        <w:br/>
        <w:t>в возрасте до трех лет из студенческих семей при ведущих образовательных организациях высшего образования (</w:t>
      </w:r>
      <w:proofErr w:type="spellStart"/>
      <w:r w:rsidRPr="001034DA">
        <w:rPr>
          <w:rFonts w:ascii="PT Astra Serif" w:eastAsia="Calibri" w:hAnsi="PT Astra Serif" w:cs="Times New Roman"/>
          <w:bCs/>
          <w:szCs w:val="28"/>
          <w:shd w:val="clear" w:color="auto" w:fill="FFFFFF"/>
          <w:lang w:eastAsia="ru-RU"/>
        </w:rPr>
        <w:t>УлГТУ</w:t>
      </w:r>
      <w:proofErr w:type="spellEnd"/>
      <w:r w:rsidRPr="001034DA">
        <w:rPr>
          <w:rFonts w:ascii="PT Astra Serif" w:eastAsia="Calibri" w:hAnsi="PT Astra Serif" w:cs="Times New Roman"/>
          <w:bCs/>
          <w:szCs w:val="28"/>
          <w:shd w:val="clear" w:color="auto" w:fill="FFFFFF"/>
          <w:lang w:eastAsia="ru-RU"/>
        </w:rPr>
        <w:t xml:space="preserve">, </w:t>
      </w:r>
      <w:proofErr w:type="spellStart"/>
      <w:r w:rsidRPr="001034DA">
        <w:rPr>
          <w:rFonts w:ascii="PT Astra Serif" w:eastAsia="Calibri" w:hAnsi="PT Astra Serif" w:cs="Times New Roman"/>
          <w:bCs/>
          <w:szCs w:val="28"/>
          <w:shd w:val="clear" w:color="auto" w:fill="FFFFFF"/>
          <w:lang w:eastAsia="ru-RU"/>
        </w:rPr>
        <w:t>УлГПУ</w:t>
      </w:r>
      <w:proofErr w:type="spellEnd"/>
      <w:r w:rsidRPr="001034DA">
        <w:rPr>
          <w:rFonts w:ascii="PT Astra Serif" w:eastAsia="Calibri" w:hAnsi="PT Astra Serif" w:cs="Times New Roman"/>
          <w:bCs/>
          <w:szCs w:val="28"/>
          <w:shd w:val="clear" w:color="auto" w:fill="FFFFFF"/>
          <w:lang w:eastAsia="ru-RU"/>
        </w:rPr>
        <w:t xml:space="preserve"> им. И.Н. Ульянова </w:t>
      </w:r>
      <w:r w:rsidRPr="001034DA">
        <w:rPr>
          <w:rFonts w:ascii="PT Astra Serif" w:eastAsia="Calibri" w:hAnsi="PT Astra Serif" w:cs="Times New Roman"/>
          <w:bCs/>
          <w:szCs w:val="28"/>
          <w:shd w:val="clear" w:color="auto" w:fill="FFFFFF"/>
          <w:lang w:eastAsia="ru-RU"/>
        </w:rPr>
        <w:br/>
        <w:t xml:space="preserve">и </w:t>
      </w:r>
      <w:proofErr w:type="spellStart"/>
      <w:r w:rsidRPr="001034DA">
        <w:rPr>
          <w:rFonts w:ascii="PT Astra Serif" w:eastAsia="Calibri" w:hAnsi="PT Astra Serif" w:cs="Times New Roman"/>
          <w:bCs/>
          <w:szCs w:val="28"/>
          <w:shd w:val="clear" w:color="auto" w:fill="FFFFFF"/>
          <w:lang w:eastAsia="ru-RU"/>
        </w:rPr>
        <w:t>УлГУ</w:t>
      </w:r>
      <w:proofErr w:type="spellEnd"/>
      <w:r w:rsidRPr="001034DA">
        <w:rPr>
          <w:rFonts w:ascii="PT Astra Serif" w:eastAsia="Calibri" w:hAnsi="PT Astra Serif" w:cs="Times New Roman"/>
          <w:bCs/>
          <w:szCs w:val="28"/>
          <w:shd w:val="clear" w:color="auto" w:fill="FFFFFF"/>
          <w:lang w:eastAsia="ru-RU"/>
        </w:rPr>
        <w:t xml:space="preserve">). </w:t>
      </w:r>
      <w:r w:rsidRPr="001034DA">
        <w:rPr>
          <w:rFonts w:ascii="PT Astra Serif" w:eastAsia="Calibri" w:hAnsi="PT Astra Serif" w:cs="Times New Roman"/>
          <w:szCs w:val="28"/>
          <w:lang w:eastAsia="ru-RU"/>
        </w:rPr>
        <w:t>Это позволило 38 семьям совместить обучение молодых родителей и заботу о малыше.</w:t>
      </w:r>
    </w:p>
    <w:p w14:paraId="4BC2AC16" w14:textId="77777777" w:rsidR="001034DA" w:rsidRPr="001034DA" w:rsidRDefault="001034DA" w:rsidP="001034DA">
      <w:pPr>
        <w:widowControl w:val="0"/>
        <w:tabs>
          <w:tab w:val="left" w:pos="993"/>
        </w:tabs>
        <w:contextualSpacing/>
        <w:rPr>
          <w:rFonts w:ascii="PT Astra Serif" w:eastAsia="Calibri" w:hAnsi="PT Astra Serif" w:cs="Times New Roman"/>
          <w:szCs w:val="28"/>
          <w:shd w:val="clear" w:color="auto" w:fill="FFFFFF"/>
          <w:lang w:eastAsia="ru-RU"/>
        </w:rPr>
      </w:pPr>
      <w:r w:rsidRPr="001034DA">
        <w:rPr>
          <w:rFonts w:ascii="PT Astra Serif" w:eastAsia="Calibri" w:hAnsi="PT Astra Serif" w:cs="Times New Roman"/>
          <w:szCs w:val="28"/>
          <w:shd w:val="clear" w:color="auto" w:fill="FFFFFF"/>
          <w:lang w:eastAsia="ru-RU"/>
        </w:rPr>
        <w:t xml:space="preserve">2. Представлены 177 единовременных выплат в размере 200,0 тыс. рублей женщинам, обучающимся в очной форме по образовательным программам среднего профессионального и высшего образования при постановке на учет, по беременности начиная с 01 января 2025 года. </w:t>
      </w:r>
      <w:r w:rsidRPr="001034DA">
        <w:rPr>
          <w:rFonts w:ascii="PT Astra Serif" w:eastAsia="Calibri" w:hAnsi="PT Astra Serif" w:cs="Times New Roman"/>
          <w:szCs w:val="28"/>
          <w:lang w:eastAsia="ru-RU"/>
        </w:rPr>
        <w:t xml:space="preserve">Рост выплат почти в пять раз по отношению к 2024 году — яркое подтверждение эффективности и востребованности этой меры, а также снижению количества случаев прерывания беременности. </w:t>
      </w:r>
    </w:p>
    <w:p w14:paraId="0650AB6D"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rPr>
        <w:t xml:space="preserve">Также, для студенческих, молодых семей, одиноких матерей </w:t>
      </w:r>
      <w:r w:rsidRPr="001034DA">
        <w:rPr>
          <w:rFonts w:ascii="PT Astra Serif" w:eastAsia="Calibri" w:hAnsi="PT Astra Serif" w:cs="Times New Roman"/>
          <w:szCs w:val="28"/>
          <w:shd w:val="clear" w:color="auto" w:fill="FFFFFF"/>
        </w:rPr>
        <w:t xml:space="preserve">во всех муниципальных образованиях </w:t>
      </w:r>
      <w:r w:rsidRPr="001034DA">
        <w:rPr>
          <w:rFonts w:ascii="PT Astra Serif" w:eastAsia="Calibri" w:hAnsi="PT Astra Serif" w:cs="Times New Roman"/>
          <w:szCs w:val="28"/>
        </w:rPr>
        <w:t>открыты</w:t>
      </w:r>
      <w:r w:rsidRPr="001034DA">
        <w:rPr>
          <w:rFonts w:ascii="PT Astra Serif" w:eastAsia="Calibri" w:hAnsi="PT Astra Serif" w:cs="Times New Roman"/>
          <w:szCs w:val="28"/>
          <w:shd w:val="clear" w:color="auto" w:fill="FFFFFF"/>
        </w:rPr>
        <w:t xml:space="preserve"> пункты проката предметов первой необходимости для новорожденных. На сегодняшний день 1 500 семей уже воспользовались данной помощью.</w:t>
      </w:r>
    </w:p>
    <w:p w14:paraId="5FCD297F"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Также, в рамках реализации региональной программы повышения рождаемости:</w:t>
      </w:r>
    </w:p>
    <w:p w14:paraId="5CBDD01E" w14:textId="77777777" w:rsidR="001034DA" w:rsidRPr="001034DA" w:rsidRDefault="001034DA" w:rsidP="001034DA">
      <w:pPr>
        <w:widowControl w:val="0"/>
        <w:tabs>
          <w:tab w:val="left" w:pos="0"/>
        </w:tabs>
        <w:rPr>
          <w:rFonts w:ascii="PT Astra Serif" w:eastAsia="Calibri" w:hAnsi="PT Astra Serif" w:cs="Times New Roman"/>
          <w:bCs/>
          <w:szCs w:val="28"/>
        </w:rPr>
      </w:pPr>
      <w:r w:rsidRPr="001034DA">
        <w:rPr>
          <w:rFonts w:ascii="PT Astra Serif" w:eastAsia="Calibri" w:hAnsi="PT Astra Serif" w:cs="Times New Roman"/>
          <w:bCs/>
          <w:szCs w:val="28"/>
        </w:rPr>
        <w:t>п</w:t>
      </w:r>
      <w:r w:rsidRPr="001034DA">
        <w:rPr>
          <w:rFonts w:ascii="PT Astra Serif" w:eastAsia="Calibri" w:hAnsi="PT Astra Serif" w:cs="Times New Roman"/>
          <w:szCs w:val="28"/>
        </w:rPr>
        <w:t xml:space="preserve">редставлена </w:t>
      </w:r>
      <w:r w:rsidRPr="001034DA">
        <w:rPr>
          <w:rFonts w:ascii="PT Astra Serif" w:eastAsia="Times New Roman" w:hAnsi="PT Astra Serif" w:cs="Times New Roman"/>
          <w:spacing w:val="2"/>
          <w:szCs w:val="28"/>
          <w:lang w:eastAsia="ru-RU"/>
        </w:rPr>
        <w:t xml:space="preserve">компенсация расходов на оплату обучения одного из детей по программе среднего или высшего образования в размере 50% стоимости такого обучения, </w:t>
      </w:r>
      <w:r w:rsidRPr="001034DA">
        <w:rPr>
          <w:rFonts w:ascii="PT Astra Serif" w:eastAsia="Calibri" w:hAnsi="PT Astra Serif" w:cs="Times New Roman"/>
          <w:bCs/>
          <w:szCs w:val="28"/>
        </w:rPr>
        <w:t>51 семье.</w:t>
      </w:r>
    </w:p>
    <w:p w14:paraId="78E5E6B6" w14:textId="77777777" w:rsidR="001034DA" w:rsidRPr="001034DA" w:rsidRDefault="001034DA" w:rsidP="001034DA">
      <w:pPr>
        <w:widowControl w:val="0"/>
        <w:tabs>
          <w:tab w:val="left" w:pos="0"/>
        </w:tabs>
        <w:rPr>
          <w:rFonts w:ascii="PT Astra Serif" w:eastAsia="Calibri" w:hAnsi="PT Astra Serif" w:cs="Times New Roman"/>
          <w:bCs/>
          <w:szCs w:val="28"/>
        </w:rPr>
      </w:pPr>
      <w:r w:rsidRPr="001034DA">
        <w:rPr>
          <w:rFonts w:ascii="PT Astra Serif" w:eastAsia="Calibri" w:hAnsi="PT Astra Serif" w:cs="Times New Roman"/>
          <w:bCs/>
          <w:szCs w:val="28"/>
        </w:rPr>
        <w:t>представлена единовременная выплата в размере 300 тыс. рублей при рождении третьего ребенка в молодой семье начиная с 1 января 2025 года третьего или последующих детей 215 семьям.</w:t>
      </w:r>
    </w:p>
    <w:p w14:paraId="26D0CFD3" w14:textId="77777777" w:rsidR="001034DA" w:rsidRPr="001034DA" w:rsidRDefault="001034DA" w:rsidP="001034DA">
      <w:pPr>
        <w:widowControl w:val="0"/>
        <w:tabs>
          <w:tab w:val="left" w:pos="0"/>
        </w:tabs>
        <w:rPr>
          <w:rFonts w:ascii="PT Astra Serif" w:eastAsia="Calibri" w:hAnsi="PT Astra Serif" w:cs="Times New Roman"/>
          <w:szCs w:val="28"/>
        </w:rPr>
      </w:pPr>
      <w:r w:rsidRPr="001034DA">
        <w:rPr>
          <w:rFonts w:ascii="PT Astra Serif" w:eastAsia="Calibri" w:hAnsi="PT Astra Serif" w:cs="Times New Roman"/>
          <w:bCs/>
          <w:szCs w:val="28"/>
        </w:rPr>
        <w:t>предоставлена компенсация стоимости найма жилого помещения 10 молодым семьям с детьми.</w:t>
      </w:r>
      <w:r w:rsidRPr="001034DA">
        <w:rPr>
          <w:rFonts w:ascii="PT Astra Serif" w:eastAsia="Calibri" w:hAnsi="PT Astra Serif" w:cs="Times New Roman"/>
          <w:szCs w:val="28"/>
        </w:rPr>
        <w:t xml:space="preserve"> С учётом того, что выплата введена в начале учебного года, большинство родителей принимали решение о платном обучении детей без учета новой меры. Считаем, что в следующем году число семей, воспользовавшихся мерой, возрастет.</w:t>
      </w:r>
    </w:p>
    <w:p w14:paraId="33C1A74C" w14:textId="77777777" w:rsidR="001034DA" w:rsidRPr="001034DA" w:rsidRDefault="001034DA" w:rsidP="001034DA">
      <w:pPr>
        <w:widowControl w:val="0"/>
        <w:tabs>
          <w:tab w:val="left" w:pos="0"/>
        </w:tabs>
        <w:rPr>
          <w:rFonts w:ascii="PT Astra Serif" w:eastAsia="Calibri" w:hAnsi="PT Astra Serif" w:cs="Times New Roman"/>
          <w:szCs w:val="28"/>
        </w:rPr>
      </w:pPr>
      <w:r w:rsidRPr="001034DA">
        <w:rPr>
          <w:rFonts w:ascii="PT Astra Serif" w:eastAsia="Calibri" w:hAnsi="PT Astra Serif" w:cs="Times New Roman"/>
          <w:szCs w:val="28"/>
        </w:rPr>
        <w:t xml:space="preserve">представлена </w:t>
      </w:r>
      <w:r w:rsidRPr="001034DA">
        <w:rPr>
          <w:rFonts w:ascii="PT Astra Serif" w:eastAsia="Times New Roman" w:hAnsi="PT Astra Serif" w:cs="Times New Roman"/>
          <w:spacing w:val="2"/>
          <w:szCs w:val="28"/>
          <w:lang w:eastAsia="ru-RU"/>
        </w:rPr>
        <w:t xml:space="preserve">компенсация расходов на оплату обучения одного из </w:t>
      </w:r>
      <w:r w:rsidRPr="001034DA">
        <w:rPr>
          <w:rFonts w:ascii="PT Astra Serif" w:eastAsia="Times New Roman" w:hAnsi="PT Astra Serif" w:cs="Times New Roman"/>
          <w:spacing w:val="2"/>
          <w:szCs w:val="28"/>
          <w:lang w:eastAsia="ru-RU"/>
        </w:rPr>
        <w:lastRenderedPageBreak/>
        <w:t xml:space="preserve">детей по программе среднего или высшего образования в размере 50% стоимости такого обучения, 50 многодетных семьям. </w:t>
      </w:r>
    </w:p>
    <w:p w14:paraId="273BD9B0" w14:textId="77777777" w:rsidR="001034DA" w:rsidRPr="001034DA" w:rsidRDefault="001034DA" w:rsidP="001034DA">
      <w:pPr>
        <w:widowControl w:val="0"/>
        <w:tabs>
          <w:tab w:val="left" w:pos="0"/>
        </w:tabs>
        <w:rPr>
          <w:rFonts w:ascii="PT Astra Serif" w:eastAsia="Calibri" w:hAnsi="PT Astra Serif" w:cs="Times New Roman"/>
          <w:szCs w:val="28"/>
        </w:rPr>
      </w:pPr>
      <w:r w:rsidRPr="001034DA">
        <w:rPr>
          <w:rFonts w:ascii="PT Astra Serif" w:eastAsia="Calibri" w:hAnsi="PT Astra Serif" w:cs="Times New Roman"/>
          <w:szCs w:val="28"/>
        </w:rPr>
        <w:t xml:space="preserve">В целом, </w:t>
      </w:r>
      <w:r w:rsidRPr="001034DA">
        <w:rPr>
          <w:rFonts w:ascii="PT Astra Serif" w:eastAsia="Calibri" w:hAnsi="PT Astra Serif" w:cs="Times New Roman"/>
          <w:bCs/>
          <w:szCs w:val="28"/>
          <w:shd w:val="clear" w:color="auto" w:fill="FFFFFF"/>
        </w:rPr>
        <w:t>по итогам 2025 года охват семей мерами региональной поддержки в рамках региональных программ по повышению рождаемости составил 9 119 семей или 111,44% от планового значения.</w:t>
      </w:r>
    </w:p>
    <w:p w14:paraId="3E1B0EED"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Особое внимание традиционно уделяется поддержке многодетности, созданию дополнительных стимулов для рождения третьих и последующих детей.</w:t>
      </w:r>
    </w:p>
    <w:p w14:paraId="2F1879B5"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 xml:space="preserve">За 2025 год </w:t>
      </w:r>
      <w:r w:rsidRPr="001034DA">
        <w:rPr>
          <w:rFonts w:ascii="PT Astra Serif" w:eastAsia="PT Astra Serif" w:hAnsi="PT Astra Serif" w:cs="PT Astra Serif"/>
          <w:b/>
          <w:color w:val="000000"/>
          <w:szCs w:val="28"/>
        </w:rPr>
        <w:t xml:space="preserve">16 877 многодетных семей воспользовались </w:t>
      </w:r>
      <w:r w:rsidRPr="001034DA">
        <w:rPr>
          <w:rFonts w:ascii="PT Astra Serif" w:eastAsia="Calibri" w:hAnsi="PT Astra Serif" w:cs="Times New Roman"/>
          <w:b/>
          <w:szCs w:val="28"/>
          <w:shd w:val="clear" w:color="auto" w:fill="FFFFFF"/>
        </w:rPr>
        <w:t>региональными</w:t>
      </w:r>
      <w:r w:rsidRPr="001034DA">
        <w:rPr>
          <w:rFonts w:ascii="PT Astra Serif" w:eastAsia="Calibri" w:hAnsi="PT Astra Serif" w:cs="Times New Roman"/>
          <w:b/>
          <w:szCs w:val="28"/>
          <w:u w:val="single"/>
          <w:shd w:val="clear" w:color="auto" w:fill="FFFFFF"/>
        </w:rPr>
        <w:t xml:space="preserve"> </w:t>
      </w:r>
      <w:r w:rsidRPr="001034DA">
        <w:rPr>
          <w:rFonts w:ascii="PT Astra Serif" w:eastAsia="Calibri" w:hAnsi="PT Astra Serif" w:cs="Times New Roman"/>
          <w:b/>
          <w:szCs w:val="28"/>
          <w:shd w:val="clear" w:color="auto" w:fill="FFFFFF"/>
        </w:rPr>
        <w:t>мерами социальной поддержки</w:t>
      </w:r>
      <w:r w:rsidRPr="001034DA">
        <w:rPr>
          <w:rFonts w:ascii="PT Astra Serif" w:eastAsia="Calibri" w:hAnsi="PT Astra Serif" w:cs="Times New Roman"/>
          <w:szCs w:val="28"/>
          <w:shd w:val="clear" w:color="auto" w:fill="FFFFFF"/>
        </w:rPr>
        <w:t xml:space="preserve"> многодетных семей на общую сумму 452 433,56 тыс. рублей, в том числе:</w:t>
      </w:r>
    </w:p>
    <w:p w14:paraId="5901E5E6"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выплата ежемесячной денежной компенсации в размере 30 процентов объёма фактически произведённых расходов на оплату жилого помещения - 343 получателя на сумму 1 795,9 тыс. рублей;</w:t>
      </w:r>
    </w:p>
    <w:p w14:paraId="38DD9DE5"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выплата ежемесячной денежной компенсации расходов на оплату коммунальных услуг в размере 50 - 100% - 14 232 получателей на сумму 327 492,0 тыс. рублей;</w:t>
      </w:r>
    </w:p>
    <w:p w14:paraId="28FF1EE7"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выплата денежной компенсации расходов на оплату приобретаемого твёрдого топлива в пределах норм, установленных для продажи населению,</w:t>
      </w:r>
      <w:r w:rsidRPr="001034DA">
        <w:rPr>
          <w:rFonts w:ascii="PT Astra Serif" w:eastAsia="Calibri" w:hAnsi="PT Astra Serif" w:cs="Times New Roman"/>
          <w:szCs w:val="28"/>
          <w:shd w:val="clear" w:color="auto" w:fill="FFFFFF"/>
        </w:rPr>
        <w:br/>
        <w:t xml:space="preserve"> и оплату транспортных услуг для доставки этого топлива семьям, проживающим в жилых помещениях с печным отоплением, в размере </w:t>
      </w:r>
      <w:r w:rsidRPr="001034DA">
        <w:rPr>
          <w:rFonts w:ascii="PT Astra Serif" w:eastAsia="Calibri" w:hAnsi="PT Astra Serif" w:cs="Times New Roman"/>
          <w:szCs w:val="28"/>
          <w:shd w:val="clear" w:color="auto" w:fill="FFFFFF"/>
        </w:rPr>
        <w:br/>
        <w:t>50 - 100% - 126 получателей на сумму 2 737,2 тыс. рублей;</w:t>
      </w:r>
    </w:p>
    <w:p w14:paraId="5E514D0C"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предоставление ежегодной денежной выплаты в размере 3 000 рублей на каждого из детей школьного возраста на приобретение одежды для посещения учебных занятий, а также спортивной формы на весь период обучения – 14 929 получателей на сумму 113 086,8 тыс. рублей;</w:t>
      </w:r>
    </w:p>
    <w:p w14:paraId="7005A9FC"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предоставление ежемесячной денежной выплаты в размере 600 рублей на оплату проезда по маршрутам регулярных перевозок пассажиров и багажа автомобильным транспортом (за исключением такси) и городским наземным электрическим транспортом в городском и пригородном сообщении на каждого из детей, обучающегося в общеобразовательной организации (за исключением каникулярного периода) – 218 получателей на сумму 1 624,2 тыс. рублей;</w:t>
      </w:r>
    </w:p>
    <w:p w14:paraId="24572694"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выплата один раз в два года денежной компенсации фактически произведённых расходов на оплату путёвок, приобретённых в целях организации совместного отдыха родителей с детьми, в размере стоимости таких путёвок, но не более 5000 рублей на одного человека – 7 получателей на сумму 155,0 тыс. рублей;</w:t>
      </w:r>
    </w:p>
    <w:p w14:paraId="3E6FC353"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 xml:space="preserve">выплата ежегодной денежной компенсации каждому из родителей </w:t>
      </w:r>
      <w:r w:rsidRPr="001034DA">
        <w:rPr>
          <w:rFonts w:ascii="PT Astra Serif" w:eastAsia="Calibri" w:hAnsi="PT Astra Serif" w:cs="Times New Roman"/>
          <w:szCs w:val="28"/>
          <w:shd w:val="clear" w:color="auto" w:fill="FFFFFF"/>
        </w:rPr>
        <w:br/>
        <w:t>в размере фактически произведённых расходов на оплату платных медицинских услуг, связанных с лечением имеющихся у них стоматологических заболеваний (за исключением услуг по косметологическому лечению и зубопротезированию), в размере стоимости таких услуг, но не более 1 200 рублей в совокупности – 7 получателей на сумму 10,8 тыс. рублей;</w:t>
      </w:r>
    </w:p>
    <w:p w14:paraId="60A50C89"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lastRenderedPageBreak/>
        <w:t>предоставление единовременной денежной выплаты в размере 15 000 рублей одному из родителей в случае награждения их орденом «Родительская слава» - 1 получатель, на сумму 15,0 тыс. рублей;</w:t>
      </w:r>
    </w:p>
    <w:p w14:paraId="36DEC541" w14:textId="77777777" w:rsidR="001034DA" w:rsidRPr="001034DA" w:rsidRDefault="001034DA" w:rsidP="001034DA">
      <w:pPr>
        <w:widowControl w:val="0"/>
        <w:rPr>
          <w:rFonts w:ascii="PT Astra Serif" w:eastAsia="Calibri" w:hAnsi="PT Astra Serif" w:cs="Times New Roman"/>
          <w:szCs w:val="28"/>
          <w:shd w:val="clear" w:color="auto" w:fill="FFFFFF"/>
        </w:rPr>
      </w:pPr>
      <w:r w:rsidRPr="001034DA">
        <w:rPr>
          <w:rFonts w:ascii="PT Astra Serif" w:eastAsia="Calibri" w:hAnsi="PT Astra Serif" w:cs="Times New Roman"/>
          <w:szCs w:val="28"/>
          <w:shd w:val="clear" w:color="auto" w:fill="FFFFFF"/>
        </w:rPr>
        <w:t>бесплатное предоставление в собственность автомобиля, оборудованного для перевозок не менее 12 человек − семьям, имеющим на воспитании и (или) содержании десятерых и более детей – 2 получателя на сумму 5 531,5 тыс. рублей.</w:t>
      </w:r>
    </w:p>
    <w:p w14:paraId="1B420E28"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В настоящее время в Ульяновской области уже более 17,5 тысяч семей воспитывают троих и более детей, и эта цифра неуклонно увеличивается, что показывает эффективность реализуемых мер поддержки данной категории граждан.</w:t>
      </w:r>
    </w:p>
    <w:p w14:paraId="751460D3" w14:textId="7811F3E0" w:rsidR="00EB6C68" w:rsidRPr="00EB6C68" w:rsidRDefault="00EB6C68" w:rsidP="00EB6C68">
      <w:pPr>
        <w:widowControl w:val="0"/>
        <w:rPr>
          <w:rFonts w:ascii="PT Astra Serif" w:eastAsia="Calibri" w:hAnsi="PT Astra Serif"/>
          <w:szCs w:val="28"/>
        </w:rPr>
      </w:pPr>
      <w:r w:rsidRPr="00EB6C68">
        <w:rPr>
          <w:rFonts w:ascii="PT Astra Serif" w:eastAsia="Calibri" w:hAnsi="PT Astra Serif"/>
          <w:szCs w:val="28"/>
        </w:rPr>
        <w:t>С 2025 года социальный контракт является одним из результатов федерального национального проекта «Семья» и одним из направлений повышения дох</w:t>
      </w:r>
      <w:r>
        <w:rPr>
          <w:rFonts w:ascii="PT Astra Serif" w:eastAsia="Calibri" w:hAnsi="PT Astra Serif"/>
          <w:szCs w:val="28"/>
        </w:rPr>
        <w:t>одов семей с низким достатком.</w:t>
      </w:r>
    </w:p>
    <w:p w14:paraId="29D37C02" w14:textId="1C2D757A" w:rsidR="00EB6C68" w:rsidRPr="002B33C3" w:rsidRDefault="00EB6C68" w:rsidP="00EB6C68">
      <w:pPr>
        <w:widowControl w:val="0"/>
        <w:autoSpaceDE w:val="0"/>
        <w:autoSpaceDN w:val="0"/>
        <w:adjustRightInd w:val="0"/>
        <w:rPr>
          <w:rFonts w:ascii="PT Astra Serif" w:hAnsi="PT Astra Serif"/>
          <w:szCs w:val="28"/>
          <w:lang w:eastAsia="zh-CN"/>
        </w:rPr>
      </w:pPr>
      <w:r w:rsidRPr="00EB6C68">
        <w:rPr>
          <w:rFonts w:ascii="PT Astra Serif" w:hAnsi="PT Astra Serif"/>
          <w:color w:val="000000"/>
          <w:szCs w:val="28"/>
          <w:lang w:eastAsia="ru-RU"/>
        </w:rPr>
        <w:t>Социальные контракты меняют направление государственной поддержки малообеспеченных семей от пассивной помощи в виде предоставления пособий к активной форме, когда помогают повысить</w:t>
      </w:r>
      <w:r>
        <w:rPr>
          <w:rFonts w:ascii="PT Astra Serif" w:hAnsi="PT Astra Serif"/>
          <w:color w:val="000000"/>
          <w:szCs w:val="28"/>
          <w:lang w:eastAsia="ru-RU"/>
        </w:rPr>
        <w:t xml:space="preserve"> трудовые доходы, выйти из зоны </w:t>
      </w:r>
      <w:r w:rsidRPr="00EB6C68">
        <w:rPr>
          <w:rFonts w:ascii="PT Astra Serif" w:hAnsi="PT Astra Serif"/>
          <w:color w:val="000000"/>
          <w:szCs w:val="28"/>
          <w:lang w:eastAsia="ru-RU"/>
        </w:rPr>
        <w:t>бедности за счёт использования собственного трудового потенциала. В приоритетной степени затрагиваются семьи, в состав которых входят дети и незанятые члены семьи трудоспособного возраста.</w:t>
      </w:r>
      <w:r w:rsidRPr="002B33C3">
        <w:rPr>
          <w:rFonts w:ascii="PT Astra Serif" w:hAnsi="PT Astra Serif"/>
          <w:szCs w:val="28"/>
          <w:lang w:eastAsia="zh-CN"/>
        </w:rPr>
        <w:t xml:space="preserve"> </w:t>
      </w:r>
    </w:p>
    <w:p w14:paraId="54A4C454" w14:textId="5388404E"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bCs/>
          <w:szCs w:val="28"/>
          <w:shd w:val="clear" w:color="auto" w:fill="FFFFFF"/>
        </w:rPr>
        <w:t xml:space="preserve">Доля граждан, охваченных государственной социальной помощью на основании социального контракта, в общей численности малоимущих граждан» составила 7,75%. Значение показателя перевыполнено на </w:t>
      </w:r>
      <w:r w:rsidR="00EB6C68">
        <w:rPr>
          <w:rFonts w:ascii="PT Astra Serif" w:eastAsia="Calibri" w:hAnsi="PT Astra Serif" w:cs="Times New Roman"/>
          <w:bCs/>
          <w:szCs w:val="28"/>
          <w:shd w:val="clear" w:color="auto" w:fill="FFFFFF"/>
        </w:rPr>
        <w:t>0</w:t>
      </w:r>
      <w:r w:rsidRPr="001034DA">
        <w:rPr>
          <w:rFonts w:ascii="PT Astra Serif" w:eastAsia="Calibri" w:hAnsi="PT Astra Serif" w:cs="Times New Roman"/>
          <w:bCs/>
          <w:szCs w:val="28"/>
          <w:shd w:val="clear" w:color="auto" w:fill="FFFFFF"/>
        </w:rPr>
        <w:t>,3%.</w:t>
      </w:r>
    </w:p>
    <w:p w14:paraId="500CAEB2" w14:textId="5F8600FF"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По итогам 2025 года заключено 4 002 социальных контракта (</w:t>
      </w:r>
      <w:r w:rsidRPr="001034DA">
        <w:rPr>
          <w:rFonts w:ascii="PT Astra Serif" w:eastAsia="Calibri" w:hAnsi="PT Astra Serif" w:cs="Times New Roman"/>
          <w:bCs/>
          <w:szCs w:val="28"/>
          <w:shd w:val="clear" w:color="auto" w:fill="FFFFFF"/>
        </w:rPr>
        <w:t xml:space="preserve">значение показателя перевыполнено на </w:t>
      </w:r>
      <w:r w:rsidRPr="001034DA">
        <w:rPr>
          <w:rFonts w:ascii="PT Astra Serif" w:eastAsia="Calibri" w:hAnsi="PT Astra Serif" w:cs="Times New Roman"/>
          <w:szCs w:val="28"/>
        </w:rPr>
        <w:t>2</w:t>
      </w:r>
      <w:r w:rsidRPr="00EB6C68">
        <w:rPr>
          <w:rFonts w:ascii="PT Astra Serif" w:eastAsia="Calibri" w:hAnsi="PT Astra Serif" w:cs="Times New Roman"/>
          <w:szCs w:val="28"/>
        </w:rPr>
        <w:t>%)</w:t>
      </w:r>
      <w:r w:rsidR="00EB6C68" w:rsidRPr="00EB6C68">
        <w:rPr>
          <w:rFonts w:ascii="PT Astra Serif" w:eastAsia="Calibri" w:hAnsi="PT Astra Serif" w:cs="Times New Roman"/>
          <w:szCs w:val="28"/>
        </w:rPr>
        <w:t xml:space="preserve"> </w:t>
      </w:r>
      <w:r w:rsidR="00EB6C68">
        <w:rPr>
          <w:rFonts w:ascii="PT Astra Serif" w:eastAsia="Calibri" w:hAnsi="PT Astra Serif" w:cs="Times New Roman"/>
          <w:szCs w:val="28"/>
        </w:rPr>
        <w:t>освоено 542,9 млн</w:t>
      </w:r>
      <w:r w:rsidR="00EB6C68" w:rsidRPr="00EB6C68">
        <w:rPr>
          <w:rFonts w:ascii="PT Astra Serif" w:eastAsia="Calibri" w:hAnsi="PT Astra Serif" w:cs="Times New Roman"/>
          <w:szCs w:val="28"/>
        </w:rPr>
        <w:t xml:space="preserve"> рублей</w:t>
      </w:r>
      <w:r w:rsidRPr="00EB6C68">
        <w:rPr>
          <w:rFonts w:ascii="PT Astra Serif" w:eastAsia="Calibri" w:hAnsi="PT Astra Serif" w:cs="Times New Roman"/>
          <w:szCs w:val="28"/>
        </w:rPr>
        <w:t>,</w:t>
      </w:r>
      <w:r w:rsidRPr="001034DA">
        <w:rPr>
          <w:rFonts w:ascii="PT Astra Serif" w:eastAsia="Calibri" w:hAnsi="PT Astra Serif" w:cs="Times New Roman"/>
          <w:szCs w:val="28"/>
        </w:rPr>
        <w:t xml:space="preserve"> в том числе: </w:t>
      </w:r>
    </w:p>
    <w:p w14:paraId="04579AE8" w14:textId="33029E1C" w:rsidR="00EB6C68" w:rsidRPr="00EB6C68" w:rsidRDefault="001034DA" w:rsidP="00EB6C68">
      <w:pPr>
        <w:widowControl w:val="0"/>
        <w:tabs>
          <w:tab w:val="left" w:pos="709"/>
        </w:tabs>
        <w:rPr>
          <w:rFonts w:ascii="PT Astra Serif" w:eastAsia="Calibri" w:hAnsi="PT Astra Serif" w:cs="Times New Roman"/>
          <w:szCs w:val="28"/>
        </w:rPr>
      </w:pPr>
      <w:r w:rsidRPr="001034DA">
        <w:rPr>
          <w:rFonts w:ascii="PT Astra Serif" w:eastAsia="Calibri" w:hAnsi="PT Astra Serif" w:cs="Times New Roman"/>
          <w:szCs w:val="28"/>
        </w:rPr>
        <w:t>на мероприятия по поиску работы – 2</w:t>
      </w:r>
      <w:r w:rsidR="00EB6C68">
        <w:rPr>
          <w:rFonts w:ascii="PT Astra Serif" w:eastAsia="Calibri" w:hAnsi="PT Astra Serif" w:cs="Times New Roman"/>
          <w:szCs w:val="28"/>
        </w:rPr>
        <w:t> </w:t>
      </w:r>
      <w:r w:rsidRPr="001034DA">
        <w:rPr>
          <w:rFonts w:ascii="PT Astra Serif" w:eastAsia="Calibri" w:hAnsi="PT Astra Serif" w:cs="Times New Roman"/>
          <w:szCs w:val="28"/>
        </w:rPr>
        <w:t>132 контракта</w:t>
      </w:r>
      <w:r w:rsidRPr="00EB6C68">
        <w:rPr>
          <w:rFonts w:ascii="PT Astra Serif" w:eastAsia="Calibri" w:hAnsi="PT Astra Serif" w:cs="Times New Roman"/>
          <w:szCs w:val="28"/>
        </w:rPr>
        <w:t xml:space="preserve">, </w:t>
      </w:r>
      <w:r w:rsidR="00EB6C68" w:rsidRPr="00EB6C68">
        <w:rPr>
          <w:rFonts w:ascii="PT Astra Serif" w:eastAsia="Calibri" w:hAnsi="PT Astra Serif" w:cs="Times New Roman"/>
          <w:szCs w:val="28"/>
        </w:rPr>
        <w:t>в результате реализации социального контракта трудоустроено 1</w:t>
      </w:r>
      <w:r w:rsidR="00EB6C68">
        <w:rPr>
          <w:rFonts w:ascii="PT Astra Serif" w:eastAsia="Calibri" w:hAnsi="PT Astra Serif" w:cs="Times New Roman"/>
          <w:szCs w:val="28"/>
        </w:rPr>
        <w:t> </w:t>
      </w:r>
      <w:r w:rsidR="00EB6C68" w:rsidRPr="00EB6C68">
        <w:rPr>
          <w:rFonts w:ascii="PT Astra Serif" w:eastAsia="Calibri" w:hAnsi="PT Astra Serif" w:cs="Times New Roman"/>
          <w:szCs w:val="28"/>
        </w:rPr>
        <w:t>424 человек, что составляет 66% от общего количества заключенных контрактов;</w:t>
      </w:r>
    </w:p>
    <w:p w14:paraId="5DF2DC3C" w14:textId="77777777" w:rsidR="001034DA" w:rsidRPr="001034DA" w:rsidRDefault="001034DA" w:rsidP="001034DA">
      <w:pPr>
        <w:widowControl w:val="0"/>
        <w:tabs>
          <w:tab w:val="left" w:pos="709"/>
        </w:tabs>
        <w:rPr>
          <w:rFonts w:ascii="PT Astra Serif" w:eastAsia="Calibri" w:hAnsi="PT Astra Serif" w:cs="Times New Roman"/>
          <w:szCs w:val="28"/>
        </w:rPr>
      </w:pPr>
      <w:r w:rsidRPr="001034DA">
        <w:rPr>
          <w:rFonts w:ascii="PT Astra Serif" w:eastAsia="Calibri" w:hAnsi="PT Astra Serif" w:cs="Times New Roman"/>
          <w:szCs w:val="28"/>
        </w:rPr>
        <w:t xml:space="preserve">на мероприятия по развитию индивидуальной предпринимательской деятельности – 791 контракт, 53 гражданина осуществляют деятельность </w:t>
      </w:r>
      <w:r w:rsidRPr="001034DA">
        <w:rPr>
          <w:rFonts w:ascii="PT Astra Serif" w:eastAsia="Calibri" w:hAnsi="PT Astra Serif" w:cs="Times New Roman"/>
          <w:szCs w:val="28"/>
        </w:rPr>
        <w:br/>
        <w:t>в качестве индивидуальных предпринимателей, 739 человек являются налогоплательщиками налога на профессиональный доход;</w:t>
      </w:r>
    </w:p>
    <w:p w14:paraId="48F7C55C" w14:textId="77777777" w:rsidR="001034DA" w:rsidRPr="001034DA" w:rsidRDefault="001034DA" w:rsidP="001034DA">
      <w:pPr>
        <w:widowControl w:val="0"/>
        <w:tabs>
          <w:tab w:val="left" w:pos="709"/>
        </w:tabs>
        <w:rPr>
          <w:rFonts w:ascii="PT Astra Serif" w:eastAsia="Calibri" w:hAnsi="PT Astra Serif" w:cs="Times New Roman"/>
          <w:szCs w:val="28"/>
        </w:rPr>
      </w:pPr>
      <w:r w:rsidRPr="001034DA">
        <w:rPr>
          <w:rFonts w:ascii="PT Astra Serif" w:eastAsia="Calibri" w:hAnsi="PT Astra Serif" w:cs="Times New Roman"/>
          <w:szCs w:val="28"/>
        </w:rPr>
        <w:t>на мероприятия по ведению личного подсобного хозяйства – 494 контракта</w:t>
      </w:r>
      <w:r w:rsidRPr="001034DA">
        <w:rPr>
          <w:rFonts w:ascii="PT Astra Serif" w:eastAsia="Calibri" w:hAnsi="PT Astra Serif" w:cs="Times New Roman"/>
          <w:b/>
          <w:szCs w:val="28"/>
        </w:rPr>
        <w:t>,</w:t>
      </w:r>
      <w:r w:rsidRPr="001034DA">
        <w:rPr>
          <w:rFonts w:ascii="PT Astra Serif" w:eastAsia="Calibri" w:hAnsi="PT Astra Serif" w:cs="Times New Roman"/>
          <w:szCs w:val="28"/>
        </w:rPr>
        <w:t xml:space="preserve"> получатели осуществляют деятельность в качестве налогоплательщиков на профессиональный доход;</w:t>
      </w:r>
    </w:p>
    <w:p w14:paraId="645B32E9" w14:textId="77777777" w:rsidR="001034DA" w:rsidRPr="001034DA" w:rsidRDefault="001034DA" w:rsidP="001034DA">
      <w:pPr>
        <w:widowControl w:val="0"/>
        <w:tabs>
          <w:tab w:val="left" w:pos="709"/>
        </w:tabs>
        <w:rPr>
          <w:rFonts w:ascii="PT Astra Serif" w:eastAsia="Calibri" w:hAnsi="PT Astra Serif" w:cs="Times New Roman"/>
          <w:szCs w:val="28"/>
        </w:rPr>
      </w:pPr>
      <w:r w:rsidRPr="001034DA">
        <w:rPr>
          <w:rFonts w:ascii="PT Astra Serif" w:eastAsia="Calibri" w:hAnsi="PT Astra Serif" w:cs="Times New Roman"/>
          <w:szCs w:val="28"/>
        </w:rPr>
        <w:t xml:space="preserve">на иные мероприятия по преодолению трудной жизненной ситуации –585 контрактов. </w:t>
      </w:r>
    </w:p>
    <w:p w14:paraId="19BD0258" w14:textId="27D00BD4" w:rsidR="001034DA" w:rsidRPr="001034DA" w:rsidRDefault="001034DA" w:rsidP="001034DA">
      <w:pPr>
        <w:widowControl w:val="0"/>
        <w:rPr>
          <w:rFonts w:ascii="PT Astra Serif" w:eastAsia="PT Astra Serif" w:hAnsi="PT Astra Serif" w:cs="Times New Roman"/>
          <w:szCs w:val="28"/>
        </w:rPr>
      </w:pPr>
      <w:r w:rsidRPr="001034DA">
        <w:rPr>
          <w:rFonts w:ascii="PT Astra Serif" w:eastAsia="Calibri" w:hAnsi="PT Astra Serif" w:cs="Times New Roman"/>
          <w:b/>
          <w:szCs w:val="28"/>
        </w:rPr>
        <w:t>С многодетными семьями заключено 535 социальных контрактов</w:t>
      </w:r>
      <w:r w:rsidRPr="001034DA">
        <w:rPr>
          <w:rFonts w:ascii="PT Astra Serif" w:eastAsia="Calibri" w:hAnsi="PT Astra Serif" w:cs="Times New Roman"/>
          <w:szCs w:val="28"/>
        </w:rPr>
        <w:t>, что составляет 34% от общего количества социальных контрактов, заключенных с семьями, имеющими детей в возрасте до 18 лет (1</w:t>
      </w:r>
      <w:r w:rsidR="00EB6C68">
        <w:rPr>
          <w:rFonts w:ascii="PT Astra Serif" w:eastAsia="Calibri" w:hAnsi="PT Astra Serif" w:cs="Times New Roman"/>
          <w:szCs w:val="28"/>
        </w:rPr>
        <w:t> </w:t>
      </w:r>
      <w:r w:rsidRPr="001034DA">
        <w:rPr>
          <w:rFonts w:ascii="PT Astra Serif" w:eastAsia="Calibri" w:hAnsi="PT Astra Serif" w:cs="Times New Roman"/>
          <w:szCs w:val="28"/>
        </w:rPr>
        <w:t xml:space="preserve">575 контрактов). </w:t>
      </w:r>
    </w:p>
    <w:p w14:paraId="1BF52192" w14:textId="01CED644" w:rsidR="00EB6C68" w:rsidRPr="00EB6C68" w:rsidRDefault="00EB6C68" w:rsidP="00EB6C68">
      <w:pPr>
        <w:widowControl w:val="0"/>
        <w:rPr>
          <w:rFonts w:ascii="PT Astra Serif" w:eastAsia="PT Astra Serif" w:hAnsi="PT Astra Serif"/>
          <w:szCs w:val="20"/>
          <w:lang w:eastAsia="ru-RU"/>
        </w:rPr>
      </w:pPr>
      <w:r w:rsidRPr="00EB6C68">
        <w:rPr>
          <w:rFonts w:ascii="PT Astra Serif" w:eastAsia="PT Astra Serif" w:hAnsi="PT Astra Serif"/>
          <w:szCs w:val="20"/>
          <w:lang w:eastAsia="ru-RU"/>
        </w:rPr>
        <w:t>Исходя из проведенного анализа оказания государственной социальной помощи на основании социального контракта в П</w:t>
      </w:r>
      <w:r>
        <w:rPr>
          <w:rFonts w:ascii="PT Astra Serif" w:eastAsia="PT Astra Serif" w:hAnsi="PT Astra Serif"/>
          <w:szCs w:val="20"/>
          <w:lang w:eastAsia="ru-RU"/>
        </w:rPr>
        <w:t xml:space="preserve">ФО </w:t>
      </w:r>
      <w:r w:rsidRPr="00EB6C68">
        <w:rPr>
          <w:rFonts w:ascii="PT Astra Serif" w:eastAsia="PT Astra Serif" w:hAnsi="PT Astra Serif"/>
          <w:szCs w:val="20"/>
          <w:lang w:eastAsia="ru-RU"/>
        </w:rPr>
        <w:t>по итогам 2025 года среди 14 субъектов Ульяновская область занимает 9 место.</w:t>
      </w:r>
    </w:p>
    <w:p w14:paraId="08A4F543" w14:textId="3A290852" w:rsidR="001034DA" w:rsidRPr="001034DA" w:rsidRDefault="001034DA" w:rsidP="001034DA">
      <w:pPr>
        <w:widowControl w:val="0"/>
        <w:contextualSpacing/>
        <w:rPr>
          <w:rFonts w:ascii="PT Astra Serif" w:eastAsia="Calibri" w:hAnsi="PT Astra Serif" w:cs="Calibri"/>
          <w:bCs/>
          <w:szCs w:val="28"/>
          <w:shd w:val="clear" w:color="auto" w:fill="FFFFFF"/>
          <w:lang w:eastAsia="ru-RU"/>
        </w:rPr>
      </w:pPr>
      <w:r w:rsidRPr="001034DA">
        <w:rPr>
          <w:rFonts w:ascii="PT Astra Serif" w:eastAsia="Calibri" w:hAnsi="PT Astra Serif" w:cs="Calibri"/>
          <w:bCs/>
          <w:szCs w:val="28"/>
          <w:shd w:val="clear" w:color="auto" w:fill="FFFFFF"/>
          <w:lang w:eastAsia="ru-RU"/>
        </w:rPr>
        <w:lastRenderedPageBreak/>
        <w:t xml:space="preserve">Тем не менее, положительного эффекта от реализации новых мер поддержки оказалось недостаточно для компенсации негативной динамики рождаемости по причине отложенного эффекта действия мер поддержки. </w:t>
      </w:r>
    </w:p>
    <w:p w14:paraId="3B61C9C2"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Calibri" w:hAnsi="PT Astra Serif" w:cs="Times New Roman"/>
          <w:bCs/>
          <w:szCs w:val="28"/>
          <w:shd w:val="clear" w:color="auto" w:fill="FFFFFF"/>
        </w:rPr>
        <w:t>В 2025 году не достигнуты значения показателей «</w:t>
      </w:r>
      <w:r w:rsidRPr="001034DA">
        <w:rPr>
          <w:rFonts w:ascii="PT Astra Serif" w:eastAsia="Calibri" w:hAnsi="PT Astra Serif" w:cs="Times New Roman"/>
          <w:szCs w:val="28"/>
        </w:rPr>
        <w:t>Суммарный коэффициент рождаемости</w:t>
      </w:r>
      <w:r w:rsidRPr="001034DA">
        <w:rPr>
          <w:rFonts w:ascii="PT Astra Serif" w:eastAsia="Calibri" w:hAnsi="PT Astra Serif" w:cs="Times New Roman"/>
          <w:bCs/>
          <w:szCs w:val="28"/>
          <w:shd w:val="clear" w:color="auto" w:fill="FFFFFF"/>
        </w:rPr>
        <w:t xml:space="preserve">» и </w:t>
      </w:r>
      <w:r w:rsidRPr="001034DA">
        <w:rPr>
          <w:rFonts w:ascii="PT Astra Serif" w:eastAsia="Calibri" w:hAnsi="PT Astra Serif" w:cs="Times New Roman"/>
          <w:szCs w:val="28"/>
        </w:rPr>
        <w:t>«Суммарный коэффициент рождаемости третьих и последующих детей»:</w:t>
      </w:r>
    </w:p>
    <w:p w14:paraId="3185EDB6"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«Суммарный коэффициент рождаемости», плановое значение на 2025 год – 1,348%, исполнение составляет 1,234% (по данным ЕМИСС за декабрь 2025 года). Процент достижения показателя составляет 91,54 %;</w:t>
      </w:r>
    </w:p>
    <w:p w14:paraId="79FD2C4A" w14:textId="77777777" w:rsidR="001034DA" w:rsidRPr="001034DA" w:rsidRDefault="001034DA" w:rsidP="001034DA">
      <w:pPr>
        <w:widowControl w:val="0"/>
        <w:rPr>
          <w:rFonts w:ascii="PT Astra Serif" w:eastAsia="PT Astra Serif" w:hAnsi="PT Astra Serif" w:cs="PT Astra Serif"/>
          <w:color w:val="000000"/>
          <w:szCs w:val="28"/>
        </w:rPr>
      </w:pPr>
      <w:r w:rsidRPr="001034DA">
        <w:rPr>
          <w:rFonts w:ascii="PT Astra Serif" w:eastAsia="PT Astra Serif" w:hAnsi="PT Astra Serif" w:cs="PT Astra Serif"/>
          <w:color w:val="000000"/>
          <w:szCs w:val="28"/>
        </w:rPr>
        <w:t>«Суммарный коэффициент рождаемости третьих и последующих детей», плановое значение на 2025 год – 0,369%, по данным ЕМИСС за декабрь 2025 года исполнение составляет 0,296%.). Процент достижения показателя составляет 80,22 %.</w:t>
      </w:r>
    </w:p>
    <w:p w14:paraId="00991689" w14:textId="77777777" w:rsidR="001034DA" w:rsidRPr="001034DA" w:rsidRDefault="001034DA" w:rsidP="001034DA">
      <w:pPr>
        <w:widowControl w:val="0"/>
        <w:rPr>
          <w:rFonts w:ascii="PT Astra Serif" w:eastAsia="Calibri" w:hAnsi="PT Astra Serif" w:cs="Times New Roman"/>
          <w:szCs w:val="28"/>
        </w:rPr>
      </w:pPr>
      <w:proofErr w:type="spellStart"/>
      <w:r w:rsidRPr="001034DA">
        <w:rPr>
          <w:rFonts w:ascii="PT Astra Serif" w:eastAsia="Calibri" w:hAnsi="PT Astra Serif" w:cs="Times New Roman"/>
          <w:szCs w:val="28"/>
        </w:rPr>
        <w:t>Недостижение</w:t>
      </w:r>
      <w:proofErr w:type="spellEnd"/>
      <w:r w:rsidRPr="001034DA">
        <w:rPr>
          <w:rFonts w:ascii="PT Astra Serif" w:eastAsia="Calibri" w:hAnsi="PT Astra Serif" w:cs="Times New Roman"/>
          <w:szCs w:val="28"/>
        </w:rPr>
        <w:t xml:space="preserve"> значений показателей обусловлено сокращением численности женщин фертильного возраста, проживающих в Ульяновской области. </w:t>
      </w:r>
      <w:r w:rsidRPr="001034DA">
        <w:rPr>
          <w:rFonts w:ascii="PT Astra Serif" w:eastAsia="PT Astra Serif" w:hAnsi="PT Astra Serif" w:cs="PT Astra Serif"/>
          <w:color w:val="000000"/>
          <w:szCs w:val="28"/>
        </w:rPr>
        <w:t xml:space="preserve">Все эти два показателя коррелируют с общероссийской тенденцией. </w:t>
      </w:r>
      <w:r w:rsidRPr="001034DA">
        <w:rPr>
          <w:rFonts w:ascii="PT Astra Serif" w:eastAsia="Calibri" w:hAnsi="PT Astra Serif" w:cs="Times New Roman"/>
          <w:bCs/>
          <w:szCs w:val="28"/>
          <w:shd w:val="clear" w:color="auto" w:fill="FFFFFF"/>
        </w:rPr>
        <w:t xml:space="preserve">С высокой долей вероятности данные показатели не будут достигнуты </w:t>
      </w:r>
      <w:r w:rsidRPr="001034DA">
        <w:rPr>
          <w:rFonts w:ascii="PT Astra Serif" w:eastAsia="Calibri" w:hAnsi="PT Astra Serif" w:cs="Times New Roman"/>
          <w:bCs/>
          <w:szCs w:val="28"/>
          <w:shd w:val="clear" w:color="auto" w:fill="FFFFFF"/>
        </w:rPr>
        <w:br/>
        <w:t>и в 2026 году.</w:t>
      </w:r>
      <w:r w:rsidRPr="001034DA">
        <w:rPr>
          <w:rFonts w:ascii="PT Astra Serif" w:eastAsia="Calibri" w:hAnsi="PT Astra Serif" w:cs="Times New Roman"/>
          <w:szCs w:val="28"/>
        </w:rPr>
        <w:t xml:space="preserve"> </w:t>
      </w:r>
      <w:r w:rsidRPr="001034DA">
        <w:rPr>
          <w:rFonts w:ascii="PT Astra Serif" w:eastAsia="PT Astra Serif" w:hAnsi="PT Astra Serif" w:cs="PT Astra Serif"/>
          <w:color w:val="000000"/>
          <w:szCs w:val="28"/>
        </w:rPr>
        <w:t xml:space="preserve">Факторы, влияющие на данные показатели — сложные </w:t>
      </w:r>
      <w:r w:rsidRPr="001034DA">
        <w:rPr>
          <w:rFonts w:ascii="PT Astra Serif" w:eastAsia="PT Astra Serif" w:hAnsi="PT Astra Serif" w:cs="PT Astra Serif"/>
          <w:color w:val="000000"/>
          <w:szCs w:val="28"/>
        </w:rPr>
        <w:br/>
        <w:t>и требуют дальнейших системных мер.</w:t>
      </w:r>
    </w:p>
    <w:p w14:paraId="0C023ECB" w14:textId="77777777" w:rsidR="001034DA" w:rsidRPr="001034DA" w:rsidRDefault="001034DA" w:rsidP="001034DA">
      <w:pPr>
        <w:widowControl w:val="0"/>
        <w:rPr>
          <w:rFonts w:ascii="PT Astra Serif" w:eastAsia="Calibri" w:hAnsi="PT Astra Serif" w:cs="Times New Roman"/>
          <w:b/>
          <w:bCs/>
          <w:spacing w:val="-4"/>
          <w:szCs w:val="28"/>
        </w:rPr>
      </w:pPr>
    </w:p>
    <w:p w14:paraId="4D2FADFD" w14:textId="77777777" w:rsidR="001034DA" w:rsidRPr="001034DA" w:rsidRDefault="001034DA" w:rsidP="001034DA">
      <w:pPr>
        <w:widowControl w:val="0"/>
        <w:ind w:firstLine="0"/>
        <w:jc w:val="center"/>
        <w:rPr>
          <w:rFonts w:ascii="PT Astra Serif" w:eastAsia="Calibri" w:hAnsi="PT Astra Serif" w:cs="Times New Roman"/>
          <w:b/>
          <w:bCs/>
          <w:spacing w:val="-4"/>
          <w:szCs w:val="28"/>
        </w:rPr>
      </w:pPr>
      <w:r w:rsidRPr="001034DA">
        <w:rPr>
          <w:rFonts w:ascii="PT Astra Serif" w:eastAsia="Calibri" w:hAnsi="PT Astra Serif" w:cs="Times New Roman"/>
          <w:b/>
          <w:bCs/>
          <w:spacing w:val="-4"/>
          <w:szCs w:val="28"/>
        </w:rPr>
        <w:t>Итоги 2025 года</w:t>
      </w:r>
    </w:p>
    <w:p w14:paraId="3932A9C0" w14:textId="77777777" w:rsidR="001034DA" w:rsidRPr="001034DA" w:rsidRDefault="001034DA" w:rsidP="001034DA">
      <w:pPr>
        <w:widowControl w:val="0"/>
        <w:ind w:firstLine="0"/>
        <w:jc w:val="center"/>
        <w:rPr>
          <w:rFonts w:ascii="PT Astra Serif" w:eastAsia="Calibri" w:hAnsi="PT Astra Serif" w:cs="Times New Roman"/>
          <w:spacing w:val="-4"/>
          <w:szCs w:val="28"/>
        </w:rPr>
      </w:pPr>
    </w:p>
    <w:p w14:paraId="67A6FD05" w14:textId="77777777" w:rsidR="001034DA" w:rsidRPr="001034DA" w:rsidRDefault="001034DA" w:rsidP="001034DA">
      <w:pPr>
        <w:widowControl w:val="0"/>
        <w:rPr>
          <w:rFonts w:ascii="PT Astra Serif" w:eastAsia="Calibri" w:hAnsi="PT Astra Serif" w:cs="Times New Roman"/>
          <w:spacing w:val="-4"/>
          <w:szCs w:val="28"/>
        </w:rPr>
      </w:pPr>
      <w:r w:rsidRPr="001034DA">
        <w:rPr>
          <w:rFonts w:ascii="PT Astra Serif" w:eastAsia="Calibri" w:hAnsi="PT Astra Serif" w:cs="Times New Roman"/>
          <w:b/>
          <w:spacing w:val="-4"/>
          <w:szCs w:val="28"/>
        </w:rPr>
        <w:t>Задачи, которые были поставлены в 2025 году.</w:t>
      </w:r>
    </w:p>
    <w:p w14:paraId="0C459398" w14:textId="6ABA3043"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В 2025 году перед </w:t>
      </w:r>
      <w:r w:rsidR="002906CA">
        <w:rPr>
          <w:rFonts w:ascii="PT Astra Serif" w:eastAsia="Calibri" w:hAnsi="PT Astra Serif" w:cs="Times New Roman"/>
          <w:szCs w:val="28"/>
        </w:rPr>
        <w:t>М</w:t>
      </w:r>
      <w:r w:rsidRPr="001034DA">
        <w:rPr>
          <w:rFonts w:ascii="PT Astra Serif" w:eastAsia="Calibri" w:hAnsi="PT Astra Serif" w:cs="Times New Roman"/>
          <w:szCs w:val="28"/>
        </w:rPr>
        <w:t>инистерством стояли следующие задачи:</w:t>
      </w:r>
    </w:p>
    <w:p w14:paraId="643BDB79" w14:textId="77777777" w:rsidR="001034DA" w:rsidRPr="001034DA" w:rsidRDefault="001034DA" w:rsidP="001034DA">
      <w:pPr>
        <w:widowControl w:val="0"/>
        <w:tabs>
          <w:tab w:val="left" w:pos="1134"/>
        </w:tabs>
        <w:contextualSpacing/>
        <w:rPr>
          <w:rFonts w:ascii="PT Astra Serif" w:eastAsia="Calibri" w:hAnsi="PT Astra Serif" w:cs="Calibri"/>
          <w:b/>
          <w:szCs w:val="28"/>
          <w:u w:val="single"/>
          <w:lang w:eastAsia="ru-RU"/>
        </w:rPr>
      </w:pPr>
      <w:r w:rsidRPr="001034DA">
        <w:rPr>
          <w:rFonts w:ascii="PT Astra Serif" w:eastAsia="Calibri" w:hAnsi="PT Astra Serif" w:cs="Calibri"/>
          <w:b/>
          <w:szCs w:val="28"/>
          <w:u w:val="single"/>
          <w:lang w:eastAsia="ru-RU"/>
        </w:rPr>
        <w:t>1. Сопровождение и помощь семьям, в том числе и семьям, участников специальной военной операции.</w:t>
      </w:r>
    </w:p>
    <w:p w14:paraId="675FA611"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 xml:space="preserve">В Ульяновской области осуществляется социальное сопровождение семей, в том числе семей с детьми; семей участников специальной военной операции; семей в социально-опасном положении; семей, находящихся </w:t>
      </w:r>
      <w:r w:rsidRPr="001034DA">
        <w:rPr>
          <w:rFonts w:ascii="PT Astra Serif" w:eastAsia="Calibri" w:hAnsi="PT Astra Serif" w:cs="Calibri"/>
          <w:szCs w:val="28"/>
          <w:lang w:eastAsia="ru-RU"/>
        </w:rPr>
        <w:br/>
        <w:t xml:space="preserve">в трудной жизненной ситуации; беременных женщин; многодетных семей; семей, воспитывающих детей-инвалидов; семей с родителями-инвалидами, воспитывающих несовершеннолетних детей; замещающих (опекунских, приёмных) семей; граждан пенсионного и </w:t>
      </w:r>
      <w:proofErr w:type="spellStart"/>
      <w:r w:rsidRPr="001034DA">
        <w:rPr>
          <w:rFonts w:ascii="PT Astra Serif" w:eastAsia="Calibri" w:hAnsi="PT Astra Serif" w:cs="Calibri"/>
          <w:szCs w:val="28"/>
          <w:lang w:eastAsia="ru-RU"/>
        </w:rPr>
        <w:t>предпенсионного</w:t>
      </w:r>
      <w:proofErr w:type="spellEnd"/>
      <w:r w:rsidRPr="001034DA">
        <w:rPr>
          <w:rFonts w:ascii="PT Astra Serif" w:eastAsia="Calibri" w:hAnsi="PT Astra Serif" w:cs="Calibri"/>
          <w:szCs w:val="28"/>
          <w:lang w:eastAsia="ru-RU"/>
        </w:rPr>
        <w:t xml:space="preserve"> возраста; семьи военнослужащих; участников ВОВ и тружеников тыла. </w:t>
      </w:r>
    </w:p>
    <w:p w14:paraId="5B72D6B5"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В 2025 году на социальное сопровождение принято 1 808 семей</w:t>
      </w:r>
      <w:r w:rsidRPr="001034DA">
        <w:rPr>
          <w:rFonts w:ascii="PT Astra Serif" w:eastAsia="Calibri" w:hAnsi="PT Astra Serif" w:cs="Calibri"/>
          <w:i/>
          <w:szCs w:val="28"/>
          <w:lang w:eastAsia="ru-RU"/>
        </w:rPr>
        <w:t xml:space="preserve"> (в том числе беременные – 78 человек; 163 - семьи, ранее состоявшие на профилактическом учёте в органах и учреждениях системы профилактики как семьи, находящиеся в социально опасном положении, и снятые с учёта </w:t>
      </w:r>
      <w:r w:rsidRPr="001034DA">
        <w:rPr>
          <w:rFonts w:ascii="PT Astra Serif" w:eastAsia="Calibri" w:hAnsi="PT Astra Serif" w:cs="Calibri"/>
          <w:i/>
          <w:szCs w:val="28"/>
          <w:lang w:eastAsia="ru-RU"/>
        </w:rPr>
        <w:br/>
        <w:t>в связи с улучшением положения в семье; 64 – семьи, воспитывающие ребёнка – инвалида и другие)</w:t>
      </w:r>
      <w:r w:rsidRPr="001034DA">
        <w:rPr>
          <w:rFonts w:ascii="PT Astra Serif" w:eastAsia="Calibri" w:hAnsi="PT Astra Serif" w:cs="Calibri"/>
          <w:szCs w:val="28"/>
          <w:lang w:eastAsia="ru-RU"/>
        </w:rPr>
        <w:t xml:space="preserve">, отказались от социального сопровождения </w:t>
      </w:r>
      <w:r w:rsidRPr="001034DA">
        <w:rPr>
          <w:rFonts w:ascii="PT Astra Serif" w:eastAsia="Calibri" w:hAnsi="PT Astra Serif" w:cs="Calibri"/>
          <w:szCs w:val="28"/>
          <w:lang w:eastAsia="ru-RU"/>
        </w:rPr>
        <w:br/>
        <w:t xml:space="preserve">6 285 семей. </w:t>
      </w:r>
    </w:p>
    <w:p w14:paraId="5FA3B33F"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На отчётную дату наибольшее количество семей взяты на социальное сопровождение в следующих районах:</w:t>
      </w:r>
    </w:p>
    <w:p w14:paraId="26205B65"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Засвияжский район г. Ульяновска – 887 семей (АППГ 403);</w:t>
      </w:r>
    </w:p>
    <w:p w14:paraId="425EED8F"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Заволжский район г. Ульяновска – 412 семей (АППГ 403);</w:t>
      </w:r>
    </w:p>
    <w:p w14:paraId="4ECC65CF" w14:textId="77777777" w:rsidR="001034DA" w:rsidRPr="001034DA" w:rsidRDefault="001034DA" w:rsidP="001034DA">
      <w:pPr>
        <w:widowControl w:val="0"/>
        <w:contextualSpacing/>
        <w:rPr>
          <w:rFonts w:ascii="PT Astra Serif" w:eastAsia="Calibri" w:hAnsi="PT Astra Serif" w:cs="Calibri"/>
          <w:szCs w:val="28"/>
          <w:lang w:eastAsia="ru-RU"/>
        </w:rPr>
      </w:pPr>
      <w:proofErr w:type="spellStart"/>
      <w:r w:rsidRPr="001034DA">
        <w:rPr>
          <w:rFonts w:ascii="PT Astra Serif" w:eastAsia="Calibri" w:hAnsi="PT Astra Serif" w:cs="Calibri"/>
          <w:szCs w:val="28"/>
          <w:lang w:eastAsia="ru-RU"/>
        </w:rPr>
        <w:lastRenderedPageBreak/>
        <w:t>Базарносызанский</w:t>
      </w:r>
      <w:proofErr w:type="spellEnd"/>
      <w:r w:rsidRPr="001034DA">
        <w:rPr>
          <w:rFonts w:ascii="PT Astra Serif" w:eastAsia="Calibri" w:hAnsi="PT Astra Serif" w:cs="Calibri"/>
          <w:szCs w:val="28"/>
          <w:lang w:eastAsia="ru-RU"/>
        </w:rPr>
        <w:t xml:space="preserve"> район – 60 семей.</w:t>
      </w:r>
    </w:p>
    <w:p w14:paraId="126A8E65"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 xml:space="preserve">Наименьшее количество семей </w:t>
      </w:r>
      <w:r w:rsidRPr="001034DA">
        <w:rPr>
          <w:rFonts w:ascii="PT Astra Serif" w:eastAsia="Calibri" w:hAnsi="PT Astra Serif" w:cs="Calibri"/>
          <w:i/>
          <w:szCs w:val="28"/>
          <w:lang w:eastAsia="ru-RU"/>
        </w:rPr>
        <w:t>(не превышает 10 семей)</w:t>
      </w:r>
      <w:r w:rsidRPr="001034DA">
        <w:rPr>
          <w:rFonts w:ascii="PT Astra Serif" w:eastAsia="Calibri" w:hAnsi="PT Astra Serif" w:cs="Calibri"/>
          <w:szCs w:val="28"/>
          <w:lang w:eastAsia="ru-RU"/>
        </w:rPr>
        <w:t xml:space="preserve"> взятых на социальное сопровождение в Кузоватовском, Ульяновском и Тереньгульском районов.</w:t>
      </w:r>
    </w:p>
    <w:p w14:paraId="1CE56427"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Наибольшее количество отказов семей от социального сопровождения наблюдается в следующих районах: город Димитровград – 562 семьи, Мелекесский – 683 семьи, Сурский - 583 семьи.</w:t>
      </w:r>
    </w:p>
    <w:p w14:paraId="273FED22"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Наименьшее количество отказов от социального сопровождения</w:t>
      </w:r>
      <w:r w:rsidRPr="001034DA">
        <w:rPr>
          <w:rFonts w:ascii="PT Astra Serif" w:eastAsia="Calibri" w:hAnsi="PT Astra Serif" w:cs="Calibri"/>
          <w:szCs w:val="28"/>
          <w:lang w:eastAsia="ru-RU"/>
        </w:rPr>
        <w:br/>
        <w:t>в следующих районах: Чердаклинский – 0 семей, Ульяновский – 5 семей, Базарносызганский – 39 семей.</w:t>
      </w:r>
    </w:p>
    <w:p w14:paraId="6F75C244" w14:textId="77777777" w:rsidR="00361E8E" w:rsidRDefault="00361E8E" w:rsidP="001034DA">
      <w:pPr>
        <w:widowControl w:val="0"/>
        <w:rPr>
          <w:rFonts w:ascii="PT Astra Serif" w:eastAsia="Calibri" w:hAnsi="PT Astra Serif" w:cs="Times New Roman"/>
          <w:b/>
          <w:i/>
          <w:szCs w:val="28"/>
        </w:rPr>
      </w:pPr>
    </w:p>
    <w:p w14:paraId="6DB56ABE" w14:textId="1E8856C7" w:rsidR="001034DA" w:rsidRPr="001034DA" w:rsidRDefault="001034DA" w:rsidP="001034DA">
      <w:pPr>
        <w:widowControl w:val="0"/>
        <w:rPr>
          <w:rFonts w:ascii="PT Astra Serif" w:eastAsia="Calibri" w:hAnsi="PT Astra Serif" w:cs="Times New Roman"/>
          <w:b/>
          <w:i/>
          <w:szCs w:val="28"/>
        </w:rPr>
      </w:pPr>
      <w:r w:rsidRPr="001034DA">
        <w:rPr>
          <w:rFonts w:ascii="PT Astra Serif" w:eastAsia="Calibri" w:hAnsi="PT Astra Serif" w:cs="Times New Roman"/>
          <w:b/>
          <w:i/>
          <w:szCs w:val="28"/>
        </w:rPr>
        <w:t>Социальное сопровождение участников специальной военной операции и членов их семей.</w:t>
      </w:r>
    </w:p>
    <w:p w14:paraId="63CCE652" w14:textId="13101A47" w:rsidR="001034DA" w:rsidRPr="001034DA" w:rsidRDefault="001034DA" w:rsidP="001034DA">
      <w:pPr>
        <w:widowControl w:val="0"/>
        <w:rPr>
          <w:rFonts w:ascii="PT Astra Serif" w:eastAsia="Calibri" w:hAnsi="PT Astra Serif" w:cs="Times New Roman"/>
          <w:bCs/>
          <w:szCs w:val="28"/>
        </w:rPr>
      </w:pPr>
      <w:r w:rsidRPr="001034DA">
        <w:rPr>
          <w:rFonts w:ascii="PT Astra Serif" w:eastAsia="Calibri" w:hAnsi="PT Astra Serif" w:cs="Times New Roman"/>
          <w:szCs w:val="28"/>
        </w:rPr>
        <w:t>На 31.12.2025 года на социальном сопровождении находится 7</w:t>
      </w:r>
      <w:r w:rsidR="00361E8E">
        <w:rPr>
          <w:rFonts w:ascii="PT Astra Serif" w:eastAsia="Calibri" w:hAnsi="PT Astra Serif" w:cs="Times New Roman"/>
          <w:szCs w:val="28"/>
        </w:rPr>
        <w:t> </w:t>
      </w:r>
      <w:r w:rsidRPr="001034DA">
        <w:rPr>
          <w:rFonts w:ascii="PT Astra Serif" w:eastAsia="Calibri" w:hAnsi="PT Astra Serif" w:cs="Times New Roman"/>
          <w:szCs w:val="28"/>
        </w:rPr>
        <w:t xml:space="preserve">885 </w:t>
      </w:r>
      <w:r w:rsidRPr="001034DA">
        <w:rPr>
          <w:rFonts w:ascii="PT Astra Serif" w:eastAsia="Calibri" w:hAnsi="PT Astra Serif" w:cs="Times New Roman"/>
          <w:bCs/>
          <w:szCs w:val="28"/>
        </w:rPr>
        <w:t xml:space="preserve">семей, участников специальной военной операции (далее - СВО) </w:t>
      </w:r>
      <w:r w:rsidRPr="001034DA">
        <w:rPr>
          <w:rFonts w:ascii="PT Astra Serif" w:eastAsia="Calibri" w:hAnsi="PT Astra Serif" w:cs="Times New Roman"/>
          <w:bCs/>
          <w:i/>
          <w:szCs w:val="28"/>
        </w:rPr>
        <w:t>(на 09.01.2025 – 6423 семьи).</w:t>
      </w:r>
    </w:p>
    <w:p w14:paraId="46ACB5D3"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Из общего числа семей, находящихся на социальном сопровождении на 31.12.2025, семей с несовершеннолетними детьми – 4 033, в них несовершеннолетних детей 6 723 из них, многодетных семей - 470, в них несовершеннолетних детей – 1 510.</w:t>
      </w:r>
    </w:p>
    <w:p w14:paraId="6AC837EA" w14:textId="77777777" w:rsidR="001034DA" w:rsidRPr="001034DA" w:rsidRDefault="001034DA" w:rsidP="001034DA">
      <w:pPr>
        <w:widowControl w:val="0"/>
        <w:rPr>
          <w:rFonts w:ascii="PT Astra Serif" w:eastAsia="Calibri" w:hAnsi="PT Astra Serif" w:cs="Times New Roman"/>
          <w:bCs/>
          <w:szCs w:val="28"/>
        </w:rPr>
      </w:pPr>
      <w:r w:rsidRPr="001034DA">
        <w:rPr>
          <w:rFonts w:ascii="PT Astra Serif" w:eastAsia="Calibri" w:hAnsi="PT Astra Serif" w:cs="Times New Roman"/>
          <w:bCs/>
          <w:szCs w:val="28"/>
        </w:rPr>
        <w:t>В 2025 году выявлено 823 проблемных вопроса, из них решены все.</w:t>
      </w:r>
    </w:p>
    <w:p w14:paraId="1E160B2A" w14:textId="77777777" w:rsidR="001034DA" w:rsidRPr="001034DA" w:rsidRDefault="001034DA" w:rsidP="001034DA">
      <w:pPr>
        <w:widowControl w:val="0"/>
        <w:rPr>
          <w:rFonts w:ascii="PT Astra Serif" w:eastAsia="Calibri" w:hAnsi="PT Astra Serif" w:cs="SimSun"/>
          <w:iCs/>
          <w:szCs w:val="28"/>
        </w:rPr>
      </w:pPr>
      <w:r w:rsidRPr="001034DA">
        <w:rPr>
          <w:rFonts w:ascii="PT Astra Serif" w:eastAsia="Calibri" w:hAnsi="PT Astra Serif" w:cs="SimSun"/>
          <w:iCs/>
          <w:szCs w:val="28"/>
        </w:rPr>
        <w:t xml:space="preserve">В Ульяновской области действуют 86 мер поддержки участников специальной военной операции и их семей. Это и выплаты, и льготы, </w:t>
      </w:r>
      <w:r w:rsidRPr="001034DA">
        <w:rPr>
          <w:rFonts w:ascii="PT Astra Serif" w:eastAsia="Calibri" w:hAnsi="PT Astra Serif" w:cs="SimSun"/>
          <w:iCs/>
          <w:szCs w:val="28"/>
        </w:rPr>
        <w:br/>
        <w:t>и социальная помощь в самых разных жизненных ситуациях.</w:t>
      </w:r>
    </w:p>
    <w:p w14:paraId="4EB7072D"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SimSun"/>
          <w:iCs/>
          <w:szCs w:val="28"/>
        </w:rPr>
        <w:t>По поручению Президента РФ региональные и муниципальные меры социальной поддержки участников специальной военной операции и членов их семей приведены в соответствие с Базовым стандартом, который рекомендован всем регионам.</w:t>
      </w:r>
    </w:p>
    <w:p w14:paraId="5E9B16AC"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Меры социальной поддержки ветеранам и членам семей участников СВО предоставляются в полном объеме в соответствии с федеральным </w:t>
      </w:r>
      <w:r w:rsidRPr="001034DA">
        <w:rPr>
          <w:rFonts w:ascii="PT Astra Serif" w:eastAsia="Calibri" w:hAnsi="PT Astra Serif" w:cs="Times New Roman"/>
          <w:szCs w:val="28"/>
        </w:rPr>
        <w:br/>
        <w:t>и региональным законодательством.</w:t>
      </w:r>
    </w:p>
    <w:p w14:paraId="7EC1AFB4" w14:textId="7CE4CC6B"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В 2025 году предоставлена финансовая помощь 17 563 гражданам, из числа участников СВО и членов их семей, на сумму бо</w:t>
      </w:r>
      <w:r w:rsidR="00361E8E">
        <w:rPr>
          <w:rFonts w:ascii="PT Astra Serif" w:eastAsia="Times New Roman" w:hAnsi="PT Astra Serif" w:cs="Times New Roman"/>
          <w:szCs w:val="28"/>
          <w:lang w:eastAsia="ru-RU"/>
        </w:rPr>
        <w:t>лее 7,5 млрд</w:t>
      </w:r>
      <w:r w:rsidRPr="001034DA">
        <w:rPr>
          <w:rFonts w:ascii="PT Astra Serif" w:eastAsia="Times New Roman" w:hAnsi="PT Astra Serif" w:cs="Times New Roman"/>
          <w:szCs w:val="28"/>
          <w:lang w:eastAsia="ru-RU"/>
        </w:rPr>
        <w:t xml:space="preserve"> рублей.</w:t>
      </w:r>
    </w:p>
    <w:p w14:paraId="677E89D2" w14:textId="7777777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 xml:space="preserve">28 </w:t>
      </w:r>
      <w:r w:rsidRPr="001034DA">
        <w:rPr>
          <w:rFonts w:ascii="PT Astra Serif" w:eastAsia="Times New Roman" w:hAnsi="PT Astra Serif" w:cs="Times New Roman"/>
          <w:szCs w:val="28"/>
          <w:shd w:val="clear" w:color="auto" w:fill="FFFFFF"/>
          <w:lang w:eastAsia="ru-RU"/>
        </w:rPr>
        <w:t>членов семей участников специальной военной операции заключили социальный контракт</w:t>
      </w:r>
      <w:r w:rsidRPr="001034DA">
        <w:rPr>
          <w:rFonts w:ascii="PT Astra Serif" w:eastAsia="Times New Roman" w:hAnsi="PT Astra Serif" w:cs="Times New Roman"/>
          <w:szCs w:val="28"/>
          <w:lang w:eastAsia="ru-RU"/>
        </w:rPr>
        <w:t xml:space="preserve"> на сумму 3 048,01 тыс. рублей.</w:t>
      </w:r>
    </w:p>
    <w:p w14:paraId="7C7A19D2" w14:textId="77777777" w:rsidR="001034DA" w:rsidRPr="001034DA" w:rsidRDefault="001034DA" w:rsidP="001034DA">
      <w:pPr>
        <w:widowControl w:val="0"/>
        <w:rPr>
          <w:rFonts w:ascii="PT Astra Serif" w:eastAsia="Times New Roman" w:hAnsi="PT Astra Serif" w:cs="Times New Roman"/>
          <w:sz w:val="16"/>
          <w:szCs w:val="16"/>
          <w:lang w:eastAsia="ru-RU"/>
        </w:rPr>
      </w:pPr>
      <w:r w:rsidRPr="001034DA">
        <w:rPr>
          <w:rFonts w:ascii="PT Astra Serif" w:eastAsia="Times New Roman" w:hAnsi="PT Astra Serif" w:cs="Times New Roman"/>
          <w:szCs w:val="28"/>
          <w:lang w:eastAsia="ru-RU"/>
        </w:rPr>
        <w:t xml:space="preserve">Также более 14 тыс. получателей воспользовались нефинансовыми мерами поддержками. </w:t>
      </w:r>
    </w:p>
    <w:p w14:paraId="733D9A00" w14:textId="5AC62D0E"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Реабилитацию в реабилитационных центрах Ульяновской области</w:t>
      </w:r>
      <w:r w:rsidRPr="001034DA">
        <w:rPr>
          <w:rFonts w:ascii="PT Astra Serif" w:eastAsia="Times New Roman" w:hAnsi="PT Astra Serif" w:cs="Times New Roman"/>
          <w:szCs w:val="28"/>
          <w:lang w:eastAsia="ru-RU"/>
        </w:rPr>
        <w:br/>
        <w:t>в 2025 году прошли 1 368 чел., в том числе:</w:t>
      </w:r>
    </w:p>
    <w:p w14:paraId="1D49F700" w14:textId="7777777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члены семей участников СВО – 1 229;</w:t>
      </w:r>
    </w:p>
    <w:p w14:paraId="39957E5C" w14:textId="7777777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действующие участники СВО – 73;</w:t>
      </w:r>
    </w:p>
    <w:p w14:paraId="371D7493" w14:textId="77777777" w:rsidR="001034DA" w:rsidRPr="001034DA" w:rsidRDefault="001034DA" w:rsidP="001034DA">
      <w:pPr>
        <w:widowControl w:val="0"/>
        <w:rPr>
          <w:rFonts w:ascii="PT Astra Serif" w:eastAsia="Times New Roman" w:hAnsi="PT Astra Serif" w:cs="Times New Roman"/>
          <w:szCs w:val="28"/>
          <w:lang w:eastAsia="ru-RU"/>
        </w:rPr>
      </w:pPr>
      <w:r w:rsidRPr="001034DA">
        <w:rPr>
          <w:rFonts w:ascii="PT Astra Serif" w:eastAsia="Times New Roman" w:hAnsi="PT Astra Serif" w:cs="Times New Roman"/>
          <w:szCs w:val="28"/>
          <w:lang w:eastAsia="ru-RU"/>
        </w:rPr>
        <w:t>демобилизованные</w:t>
      </w:r>
      <w:r w:rsidRPr="001034DA">
        <w:rPr>
          <w:rFonts w:ascii="PT Astra Serif" w:eastAsia="Times New Roman" w:hAnsi="PT Astra Serif" w:cs="Times New Roman"/>
          <w:b/>
          <w:szCs w:val="28"/>
          <w:lang w:eastAsia="ru-RU"/>
        </w:rPr>
        <w:t xml:space="preserve"> </w:t>
      </w:r>
      <w:r w:rsidRPr="001034DA">
        <w:rPr>
          <w:rFonts w:ascii="PT Astra Serif" w:eastAsia="Times New Roman" w:hAnsi="PT Astra Serif" w:cs="Times New Roman"/>
          <w:szCs w:val="28"/>
          <w:lang w:eastAsia="ru-RU"/>
        </w:rPr>
        <w:t>(вернувшиеся) участники СВО - 66.</w:t>
      </w:r>
    </w:p>
    <w:p w14:paraId="000E0D7D" w14:textId="77777777" w:rsidR="001034DA" w:rsidRPr="002906CA" w:rsidRDefault="001034DA" w:rsidP="001034DA">
      <w:pPr>
        <w:widowControl w:val="0"/>
        <w:shd w:val="clear" w:color="auto" w:fill="FFFFFF"/>
        <w:rPr>
          <w:rFonts w:ascii="PT Astra Serif" w:eastAsia="Times New Roman" w:hAnsi="PT Astra Serif" w:cs="Times New Roman"/>
          <w:spacing w:val="-18"/>
          <w:szCs w:val="28"/>
          <w:lang w:eastAsia="ru-RU"/>
        </w:rPr>
      </w:pPr>
      <w:r w:rsidRPr="001034DA">
        <w:rPr>
          <w:rFonts w:ascii="PT Astra Serif" w:eastAsia="Times New Roman" w:hAnsi="PT Astra Serif" w:cs="Times New Roman"/>
          <w:szCs w:val="28"/>
          <w:lang w:eastAsia="ru-RU"/>
        </w:rPr>
        <w:t xml:space="preserve">Социальные услуги в рамках системы долговременного ухода предоставляются 13 гражданам, из числа участников СВО и членов их семей, в том числе, 3 вернувшимся участникам СВО, 10 членам семей </w:t>
      </w:r>
      <w:r w:rsidRPr="002906CA">
        <w:rPr>
          <w:rFonts w:ascii="PT Astra Serif" w:eastAsia="Times New Roman" w:hAnsi="PT Astra Serif" w:cs="Times New Roman"/>
          <w:spacing w:val="-18"/>
          <w:szCs w:val="28"/>
          <w:lang w:eastAsia="ru-RU"/>
        </w:rPr>
        <w:t>участников СВО.</w:t>
      </w:r>
    </w:p>
    <w:p w14:paraId="3C38F087" w14:textId="77777777" w:rsidR="001034DA" w:rsidRPr="001034DA" w:rsidRDefault="001034DA" w:rsidP="001034DA">
      <w:pPr>
        <w:widowControl w:val="0"/>
        <w:tabs>
          <w:tab w:val="left" w:pos="1134"/>
        </w:tabs>
        <w:rPr>
          <w:rFonts w:ascii="PT Astra Serif" w:eastAsia="Calibri" w:hAnsi="PT Astra Serif" w:cs="Times New Roman"/>
          <w:b/>
          <w:color w:val="0E0E0F"/>
          <w:szCs w:val="28"/>
          <w:u w:val="single"/>
        </w:rPr>
      </w:pPr>
      <w:r w:rsidRPr="001034DA">
        <w:rPr>
          <w:rFonts w:ascii="PT Astra Serif" w:eastAsia="Calibri" w:hAnsi="PT Astra Serif" w:cs="Times New Roman"/>
          <w:b/>
          <w:color w:val="0E0E0F"/>
          <w:szCs w:val="28"/>
          <w:u w:val="single"/>
        </w:rPr>
        <w:lastRenderedPageBreak/>
        <w:t>2. Повышение доходов семей с низким достатком. Оказание социальной поддержки нуждающимся гражданам.</w:t>
      </w:r>
    </w:p>
    <w:p w14:paraId="6F7049C0"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 xml:space="preserve">На территории Ульяновской области реализуется региональная программа снижения доли населения с доходами ниже границы бедности </w:t>
      </w:r>
      <w:r w:rsidRPr="001034DA">
        <w:rPr>
          <w:rFonts w:ascii="PT Astra Serif" w:eastAsia="Calibri" w:hAnsi="PT Astra Serif" w:cs="Calibri"/>
          <w:szCs w:val="28"/>
          <w:lang w:eastAsia="ru-RU"/>
        </w:rPr>
        <w:br/>
        <w:t xml:space="preserve">в Ульяновской области, утверждённая постановлением правительства Ульяновской области от 26.04.2024 № 202-П «Об утверждении региональной программы снижения доли населения с доходами ниже границы бедности </w:t>
      </w:r>
      <w:r w:rsidRPr="001034DA">
        <w:rPr>
          <w:rFonts w:ascii="PT Astra Serif" w:eastAsia="Calibri" w:hAnsi="PT Astra Serif" w:cs="Calibri"/>
          <w:szCs w:val="28"/>
          <w:lang w:eastAsia="ru-RU"/>
        </w:rPr>
        <w:br/>
        <w:t>в Ульяновской области» (далее – региональная программа).</w:t>
      </w:r>
    </w:p>
    <w:p w14:paraId="41CA3B5E"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 xml:space="preserve">По данным Федеральной службы государственной статистики, численность населения Ульяновской области с денежными доходами ниже величины границы бедности по итогам 2023 года составила 11,7%, по итогам 2024 года – 9,3% </w:t>
      </w:r>
      <w:r w:rsidRPr="001034DA">
        <w:rPr>
          <w:rFonts w:ascii="PT Astra Serif" w:eastAsia="Calibri" w:hAnsi="PT Astra Serif" w:cs="Calibri"/>
          <w:i/>
          <w:szCs w:val="28"/>
          <w:lang w:eastAsia="ru-RU"/>
        </w:rPr>
        <w:t>(снижение на 2,4%)</w:t>
      </w:r>
      <w:r w:rsidRPr="001034DA">
        <w:rPr>
          <w:rFonts w:ascii="PT Astra Serif" w:eastAsia="Calibri" w:hAnsi="PT Astra Serif" w:cs="Calibri"/>
          <w:szCs w:val="28"/>
          <w:lang w:eastAsia="ru-RU"/>
        </w:rPr>
        <w:t xml:space="preserve">. </w:t>
      </w:r>
    </w:p>
    <w:p w14:paraId="06545F4B"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 xml:space="preserve">В 2024 году в Ульяновской области численность населения, имеющего среднедушевые денежные доходы меньше величины границы бедности, установленной в Ульяновской области, составила 108,8 тыс. человек, что на 29,6 тыс. человек меньше уровня 2023 года </w:t>
      </w:r>
      <w:r w:rsidRPr="001034DA">
        <w:rPr>
          <w:rFonts w:ascii="PT Astra Serif" w:eastAsia="Calibri" w:hAnsi="PT Astra Serif" w:cs="Calibri"/>
          <w:i/>
          <w:szCs w:val="28"/>
          <w:lang w:eastAsia="ru-RU"/>
        </w:rPr>
        <w:t>(138,4 тыс. человек)</w:t>
      </w:r>
      <w:r w:rsidRPr="001034DA">
        <w:rPr>
          <w:rFonts w:ascii="PT Astra Serif" w:eastAsia="Calibri" w:hAnsi="PT Astra Serif" w:cs="Calibri"/>
          <w:szCs w:val="28"/>
          <w:lang w:eastAsia="ru-RU"/>
        </w:rPr>
        <w:t>.</w:t>
      </w:r>
    </w:p>
    <w:p w14:paraId="6DD86110"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PT Astra Serif" w:hAnsi="PT Astra Serif" w:cs="PT Astra Serif"/>
          <w:szCs w:val="28"/>
          <w:lang w:eastAsia="ru-RU"/>
        </w:rPr>
        <w:t xml:space="preserve">В сравнении с прогнозными данными фактический уровень бедности </w:t>
      </w:r>
      <w:r w:rsidRPr="001034DA">
        <w:rPr>
          <w:rFonts w:ascii="PT Astra Serif" w:eastAsia="PT Astra Serif" w:hAnsi="PT Astra Serif" w:cs="PT Astra Serif"/>
          <w:szCs w:val="28"/>
          <w:lang w:eastAsia="ru-RU"/>
        </w:rPr>
        <w:br/>
        <w:t>в Ульяновской области значительно снижен, ежегодно видна его положительная динамика, тем не менее уровень бедности продолжает находиться на достаточно высоком уровне</w:t>
      </w:r>
      <w:r w:rsidRPr="001034DA">
        <w:rPr>
          <w:rFonts w:ascii="PT Astra Serif" w:eastAsia="Calibri" w:hAnsi="PT Astra Serif" w:cs="Calibri"/>
          <w:szCs w:val="28"/>
          <w:lang w:eastAsia="ru-RU"/>
        </w:rPr>
        <w:t xml:space="preserve"> </w:t>
      </w:r>
      <w:r w:rsidRPr="001034DA">
        <w:rPr>
          <w:rFonts w:ascii="PT Astra Serif" w:eastAsia="Calibri" w:hAnsi="PT Astra Serif" w:cs="Calibri"/>
          <w:i/>
          <w:szCs w:val="28"/>
          <w:lang w:eastAsia="ru-RU"/>
        </w:rPr>
        <w:t>(среди 14 субъектов Российской Федерации, входящих в состав ПФО, по уровню бедности в 2024 году Ульяновская область заняла 10 место)</w:t>
      </w:r>
      <w:r w:rsidRPr="001034DA">
        <w:rPr>
          <w:rFonts w:ascii="PT Astra Serif" w:eastAsia="Calibri" w:hAnsi="PT Astra Serif" w:cs="Calibri"/>
          <w:szCs w:val="28"/>
          <w:lang w:eastAsia="ru-RU"/>
        </w:rPr>
        <w:t>.</w:t>
      </w:r>
    </w:p>
    <w:p w14:paraId="21109215" w14:textId="77777777" w:rsidR="001034DA" w:rsidRPr="001034DA" w:rsidRDefault="001034DA" w:rsidP="001034DA">
      <w:pPr>
        <w:widowControl w:val="0"/>
        <w:contextualSpacing/>
        <w:rPr>
          <w:rFonts w:ascii="PT Astra Serif" w:eastAsia="PT Astra Serif" w:hAnsi="PT Astra Serif" w:cs="PT Astra Serif"/>
          <w:szCs w:val="28"/>
          <w:lang w:eastAsia="ru-RU"/>
        </w:rPr>
      </w:pPr>
      <w:r w:rsidRPr="001034DA">
        <w:rPr>
          <w:rFonts w:ascii="PT Astra Serif" w:eastAsia="PT Astra Serif" w:hAnsi="PT Astra Serif" w:cs="PT Astra Serif"/>
          <w:szCs w:val="28"/>
          <w:lang w:eastAsia="ru-RU"/>
        </w:rPr>
        <w:t>Планом мероприятий по снижению доли населения</w:t>
      </w:r>
      <w:r w:rsidRPr="001034DA">
        <w:rPr>
          <w:rFonts w:ascii="PT Astra Serif" w:eastAsia="PT Astra Serif" w:hAnsi="PT Astra Serif" w:cs="PT Astra Serif"/>
          <w:szCs w:val="28"/>
          <w:lang w:eastAsia="ru-RU"/>
        </w:rPr>
        <w:br/>
        <w:t xml:space="preserve">с доходами ниже границы бедности предусмотрены мероприятия, направленные на борьбу с бедностью </w:t>
      </w:r>
      <w:r w:rsidRPr="001034DA">
        <w:rPr>
          <w:rFonts w:ascii="PT Astra Serif" w:eastAsia="PT Astra Serif" w:hAnsi="PT Astra Serif" w:cs="PT Astra Serif"/>
          <w:i/>
          <w:szCs w:val="28"/>
          <w:lang w:eastAsia="ru-RU"/>
        </w:rPr>
        <w:t xml:space="preserve">(повышение доходов, снижение расходов населения) </w:t>
      </w:r>
      <w:r w:rsidRPr="001034DA">
        <w:rPr>
          <w:rFonts w:ascii="PT Astra Serif" w:eastAsia="PT Astra Serif" w:hAnsi="PT Astra Serif" w:cs="PT Astra Serif"/>
          <w:szCs w:val="28"/>
          <w:lang w:eastAsia="ru-RU"/>
        </w:rPr>
        <w:t xml:space="preserve">в регионе, в том числе в части предоставления гражданам мер социальной поддержки, а также в части обеспечения минимального уровня оплаты труда работников бюджетной сферы не ниже прожиточного минимума трудоспособного населения, проведение мероприятий по недопущению уровня роста безработицы, содействия </w:t>
      </w:r>
      <w:proofErr w:type="spellStart"/>
      <w:r w:rsidRPr="001034DA">
        <w:rPr>
          <w:rFonts w:ascii="PT Astra Serif" w:eastAsia="PT Astra Serif" w:hAnsi="PT Astra Serif" w:cs="PT Astra Serif"/>
          <w:szCs w:val="28"/>
          <w:lang w:eastAsia="ru-RU"/>
        </w:rPr>
        <w:t>самозанятости</w:t>
      </w:r>
      <w:proofErr w:type="spellEnd"/>
      <w:r w:rsidRPr="001034DA">
        <w:rPr>
          <w:rFonts w:ascii="PT Astra Serif" w:eastAsia="PT Astra Serif" w:hAnsi="PT Astra Serif" w:cs="PT Astra Serif"/>
          <w:szCs w:val="28"/>
          <w:lang w:eastAsia="ru-RU"/>
        </w:rPr>
        <w:t xml:space="preserve"> и поддержки индивидуальной предпринимательской деятельности, организация работы межведомственной комиссии Ульяновской области по противодействию нелегальной занятости и так далее.</w:t>
      </w:r>
    </w:p>
    <w:p w14:paraId="13C0FF6E" w14:textId="77777777" w:rsidR="001034DA" w:rsidRPr="001034DA" w:rsidRDefault="001034DA" w:rsidP="001034DA">
      <w:pPr>
        <w:widowControl w:val="0"/>
        <w:contextualSpacing/>
        <w:rPr>
          <w:rFonts w:ascii="PT Astra Serif" w:eastAsia="PT Astra Serif" w:hAnsi="PT Astra Serif" w:cs="PT Astra Serif"/>
          <w:szCs w:val="28"/>
          <w:lang w:eastAsia="ru-RU"/>
        </w:rPr>
      </w:pPr>
      <w:r w:rsidRPr="001034DA">
        <w:rPr>
          <w:rFonts w:ascii="PT Astra Serif" w:eastAsia="PT Astra Serif" w:hAnsi="PT Astra Serif" w:cs="PT Astra Serif"/>
          <w:szCs w:val="28"/>
          <w:lang w:eastAsia="ru-RU"/>
        </w:rPr>
        <w:t>Отметим также, что уровень бедности среди многодетных семей</w:t>
      </w:r>
      <w:r w:rsidRPr="001034DA">
        <w:rPr>
          <w:rFonts w:ascii="PT Astra Serif" w:eastAsia="PT Astra Serif" w:hAnsi="PT Astra Serif" w:cs="PT Astra Serif"/>
          <w:szCs w:val="28"/>
          <w:lang w:eastAsia="ru-RU"/>
        </w:rPr>
        <w:br/>
        <w:t xml:space="preserve">в Ульяновской области по итогам 2024 года составляет 15,3% </w:t>
      </w:r>
      <w:r w:rsidRPr="001034DA">
        <w:rPr>
          <w:rFonts w:ascii="PT Astra Serif" w:eastAsia="PT Astra Serif" w:hAnsi="PT Astra Serif" w:cs="PT Astra Serif"/>
          <w:i/>
          <w:szCs w:val="28"/>
          <w:lang w:eastAsia="ru-RU"/>
        </w:rPr>
        <w:t>(по Российской Федерации уровень бедности среди многодетных семей составляет 19,8%, среди субъектов ПФО Ульяновская область заняла 7 место)</w:t>
      </w:r>
      <w:r w:rsidRPr="001034DA">
        <w:rPr>
          <w:rFonts w:ascii="PT Astra Serif" w:eastAsia="PT Astra Serif" w:hAnsi="PT Astra Serif" w:cs="PT Astra Serif"/>
          <w:szCs w:val="28"/>
          <w:lang w:eastAsia="ru-RU"/>
        </w:rPr>
        <w:t>.</w:t>
      </w:r>
    </w:p>
    <w:p w14:paraId="6E13E398" w14:textId="77777777" w:rsidR="001034DA" w:rsidRPr="001034DA" w:rsidRDefault="001034DA" w:rsidP="00D46ADF">
      <w:pPr>
        <w:widowControl w:val="0"/>
        <w:numPr>
          <w:ilvl w:val="0"/>
          <w:numId w:val="9"/>
        </w:numPr>
        <w:spacing w:after="160" w:line="256" w:lineRule="auto"/>
        <w:ind w:left="0" w:firstLine="709"/>
        <w:contextualSpacing/>
        <w:jc w:val="left"/>
        <w:rPr>
          <w:rFonts w:ascii="PT Astra Serif" w:eastAsia="Liberation Sans" w:hAnsi="PT Astra Serif" w:cs="Liberation Sans"/>
          <w:color w:val="000000"/>
          <w:sz w:val="4"/>
          <w:szCs w:val="28"/>
          <w:lang w:eastAsia="ru-RU"/>
        </w:rPr>
      </w:pPr>
    </w:p>
    <w:p w14:paraId="130A746E" w14:textId="71E0586E" w:rsidR="00761577" w:rsidRDefault="00761577" w:rsidP="001034DA">
      <w:pPr>
        <w:widowControl w:val="0"/>
        <w:jc w:val="left"/>
        <w:rPr>
          <w:rFonts w:ascii="PT Astra Serif" w:eastAsia="Times New Roman" w:hAnsi="PT Astra Serif" w:cs="Times New Roman"/>
          <w:b/>
          <w:i/>
          <w:szCs w:val="28"/>
          <w:lang w:eastAsia="ru-RU"/>
        </w:rPr>
      </w:pPr>
    </w:p>
    <w:p w14:paraId="3C4E2FD9" w14:textId="51E9D7D9" w:rsidR="001034DA" w:rsidRPr="001034DA" w:rsidRDefault="001034DA" w:rsidP="001034DA">
      <w:pPr>
        <w:widowControl w:val="0"/>
        <w:jc w:val="left"/>
        <w:rPr>
          <w:rFonts w:ascii="PT Astra Serif" w:eastAsia="Times New Roman" w:hAnsi="PT Astra Serif" w:cs="Times New Roman"/>
          <w:b/>
          <w:i/>
          <w:szCs w:val="28"/>
          <w:lang w:eastAsia="ru-RU"/>
        </w:rPr>
      </w:pPr>
      <w:r w:rsidRPr="001034DA">
        <w:rPr>
          <w:rFonts w:ascii="PT Astra Serif" w:eastAsia="Times New Roman" w:hAnsi="PT Astra Serif" w:cs="Times New Roman"/>
          <w:b/>
          <w:i/>
          <w:szCs w:val="28"/>
          <w:lang w:eastAsia="ru-RU"/>
        </w:rPr>
        <w:t>Предоставление адресной материальной помощи.</w:t>
      </w:r>
    </w:p>
    <w:p w14:paraId="1E8E7618" w14:textId="77777777"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Правительством Ульяновской области принимаются меры, направленные на дополнительную поддержку граждан, в силу непредвиденных обстоятельств, оказавшихся в трудной жизненной ситуации.</w:t>
      </w:r>
    </w:p>
    <w:p w14:paraId="5A553D86" w14:textId="79C7619B"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 xml:space="preserve">В 2025 году проведено 20 заседаний областной общественной комиссии по рассмотрению вопросов об оказании адресной материальной помощи гражданам, оказавшимся в трудной жизненной ситуации. По итогам </w:t>
      </w:r>
      <w:r w:rsidRPr="001034DA">
        <w:rPr>
          <w:rFonts w:ascii="PT Astra Serif" w:eastAsia="Calibri" w:hAnsi="PT Astra Serif" w:cs="Calibri"/>
          <w:lang w:eastAsia="ru-RU"/>
        </w:rPr>
        <w:lastRenderedPageBreak/>
        <w:t>проведённых заседаний адресную материальную помощь получили 3 459 человек на сумму 154,0 млн рублей (</w:t>
      </w:r>
      <w:r w:rsidRPr="001034DA">
        <w:rPr>
          <w:rFonts w:ascii="PT Astra Serif" w:eastAsia="Calibri" w:hAnsi="PT Astra Serif" w:cs="Calibri"/>
          <w:i/>
          <w:lang w:eastAsia="ru-RU"/>
        </w:rPr>
        <w:t>АППГ – 4 830 человек на сумму 222,2 млн рублей)</w:t>
      </w:r>
      <w:r w:rsidRPr="001034DA">
        <w:rPr>
          <w:rFonts w:ascii="PT Astra Serif" w:eastAsia="Calibri" w:hAnsi="PT Astra Serif" w:cs="Calibri"/>
          <w:lang w:eastAsia="ru-RU"/>
        </w:rPr>
        <w:t>, в том числе:</w:t>
      </w:r>
    </w:p>
    <w:p w14:paraId="13263079" w14:textId="42B9A5B5"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в связи с пожаром – 144 человека на 18,1 млн рублей;</w:t>
      </w:r>
    </w:p>
    <w:p w14:paraId="3B1E4FEC" w14:textId="5EBE05AF"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на лечение – 1 728 человек на сумму 42,8 млн рублей;</w:t>
      </w:r>
    </w:p>
    <w:p w14:paraId="14ECF2E5" w14:textId="0A75A4CD"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на газификацию жилья – 279 человек на сумму 10,4 млн рублей;</w:t>
      </w:r>
    </w:p>
    <w:p w14:paraId="612EECB8" w14:textId="0A452A79"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 xml:space="preserve">в связи с </w:t>
      </w:r>
      <w:proofErr w:type="spellStart"/>
      <w:r w:rsidRPr="001034DA">
        <w:rPr>
          <w:rFonts w:ascii="PT Astra Serif" w:eastAsia="Calibri" w:hAnsi="PT Astra Serif" w:cs="Calibri"/>
          <w:lang w:eastAsia="ru-RU"/>
        </w:rPr>
        <w:t>малообеспеченностью</w:t>
      </w:r>
      <w:proofErr w:type="spellEnd"/>
      <w:r w:rsidRPr="001034DA">
        <w:rPr>
          <w:rFonts w:ascii="PT Astra Serif" w:eastAsia="Calibri" w:hAnsi="PT Astra Serif" w:cs="Calibri"/>
          <w:lang w:eastAsia="ru-RU"/>
        </w:rPr>
        <w:t>, задолженностью по кредитам, ЖКУ, ремонтом жилья и прочее – 1 001 человека на сумму 67,3 млн рублей;</w:t>
      </w:r>
    </w:p>
    <w:p w14:paraId="603C2B27" w14:textId="75D9B834"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участникам СВО, семьям участников СВО – 228 человек на сумму 11,5 млн рублей;</w:t>
      </w:r>
    </w:p>
    <w:p w14:paraId="7F506EFA" w14:textId="4320F72E"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гражданам из числа детей-сир</w:t>
      </w:r>
      <w:r w:rsidR="00361E8E">
        <w:rPr>
          <w:rFonts w:ascii="PT Astra Serif" w:eastAsia="Calibri" w:hAnsi="PT Astra Serif" w:cs="Calibri"/>
          <w:lang w:eastAsia="ru-RU"/>
        </w:rPr>
        <w:t>от – 69 человек на сумму2,3 млн</w:t>
      </w:r>
      <w:r w:rsidRPr="001034DA">
        <w:rPr>
          <w:rFonts w:ascii="PT Astra Serif" w:eastAsia="Calibri" w:hAnsi="PT Astra Serif" w:cs="Calibri"/>
          <w:lang w:eastAsia="ru-RU"/>
        </w:rPr>
        <w:t xml:space="preserve"> рублей;</w:t>
      </w:r>
    </w:p>
    <w:p w14:paraId="4BBE57AB" w14:textId="01183F47" w:rsidR="001034DA" w:rsidRPr="001034DA" w:rsidRDefault="001034DA" w:rsidP="001034DA">
      <w:pPr>
        <w:widowControl w:val="0"/>
        <w:contextualSpacing/>
        <w:rPr>
          <w:rFonts w:ascii="PT Astra Serif" w:eastAsia="Calibri" w:hAnsi="PT Astra Serif" w:cs="Calibri"/>
          <w:lang w:eastAsia="ru-RU"/>
        </w:rPr>
      </w:pPr>
      <w:r w:rsidRPr="001034DA">
        <w:rPr>
          <w:rFonts w:ascii="PT Astra Serif" w:eastAsia="Calibri" w:hAnsi="PT Astra Serif" w:cs="Calibri"/>
          <w:lang w:eastAsia="ru-RU"/>
        </w:rPr>
        <w:t xml:space="preserve">гражданам, пострадавшим от недобросовестного застройщика – </w:t>
      </w:r>
      <w:r w:rsidRPr="001034DA">
        <w:rPr>
          <w:rFonts w:ascii="PT Astra Serif" w:eastAsia="Calibri" w:hAnsi="PT Astra Serif" w:cs="Calibri"/>
          <w:lang w:eastAsia="ru-RU"/>
        </w:rPr>
        <w:br/>
        <w:t>10 человек на сумму 1,6 млн рублей.</w:t>
      </w:r>
    </w:p>
    <w:p w14:paraId="603615DC" w14:textId="77777777" w:rsidR="001034DA" w:rsidRPr="001034DA" w:rsidRDefault="001034DA" w:rsidP="001034DA">
      <w:pPr>
        <w:widowControl w:val="0"/>
        <w:rPr>
          <w:rFonts w:eastAsia="Times New Roman" w:cs="Times New Roman"/>
          <w:iCs/>
          <w:sz w:val="24"/>
          <w:szCs w:val="28"/>
          <w:lang w:eastAsia="ru-RU"/>
        </w:rPr>
      </w:pPr>
    </w:p>
    <w:p w14:paraId="15F1717D" w14:textId="77777777" w:rsidR="001034DA" w:rsidRPr="001034DA" w:rsidRDefault="001034DA" w:rsidP="001034DA">
      <w:pPr>
        <w:widowControl w:val="0"/>
        <w:rPr>
          <w:rFonts w:ascii="Calibri" w:eastAsia="andale sans ui" w:hAnsi="Calibri" w:cs="Times New Roman"/>
          <w:b/>
          <w:i/>
          <w:kern w:val="2"/>
          <w:sz w:val="22"/>
          <w:szCs w:val="24"/>
          <w:lang w:eastAsia="ar-SA"/>
        </w:rPr>
      </w:pPr>
      <w:r w:rsidRPr="001034DA">
        <w:rPr>
          <w:rFonts w:ascii="PT Astra Serif" w:eastAsia="andale sans ui" w:hAnsi="PT Astra Serif" w:cs="Times New Roman"/>
          <w:b/>
          <w:i/>
          <w:kern w:val="2"/>
          <w:szCs w:val="24"/>
          <w:lang w:eastAsia="ar-SA"/>
        </w:rPr>
        <w:t>Государственная социальная помощь на основании социального контракта.</w:t>
      </w:r>
    </w:p>
    <w:p w14:paraId="6A9B96B5" w14:textId="6A6ECC24"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По итогам 2025 года заключено 4 002 социальных контрактов, что составило 102% от плановых показателей </w:t>
      </w:r>
      <w:r w:rsidRPr="001034DA">
        <w:rPr>
          <w:rFonts w:ascii="PT Astra Serif" w:eastAsia="Calibri" w:hAnsi="PT Astra Serif" w:cs="Times New Roman"/>
          <w:i/>
          <w:szCs w:val="28"/>
        </w:rPr>
        <w:t>(3 925 контрактов)</w:t>
      </w:r>
      <w:r w:rsidRPr="001034DA">
        <w:rPr>
          <w:rFonts w:ascii="PT Astra Serif" w:eastAsia="Calibri" w:hAnsi="PT Astra Serif" w:cs="Times New Roman"/>
          <w:szCs w:val="28"/>
        </w:rPr>
        <w:t>, освоено 542,8 млн рублей, 456 млн. из которых составили средства федерального бюджета:</w:t>
      </w:r>
    </w:p>
    <w:p w14:paraId="6DF196D6" w14:textId="77777777" w:rsidR="001034DA" w:rsidRPr="001034DA" w:rsidRDefault="001034DA" w:rsidP="001034DA">
      <w:pPr>
        <w:widowControl w:val="0"/>
        <w:tabs>
          <w:tab w:val="left" w:pos="709"/>
        </w:tabs>
        <w:rPr>
          <w:rFonts w:ascii="PT Astra Serif" w:eastAsia="Calibri" w:hAnsi="PT Astra Serif" w:cs="Times New Roman"/>
          <w:b/>
          <w:color w:val="000000"/>
          <w:szCs w:val="24"/>
        </w:rPr>
      </w:pPr>
      <w:r w:rsidRPr="001034DA">
        <w:rPr>
          <w:rFonts w:ascii="PT Astra Serif" w:eastAsia="Calibri" w:hAnsi="PT Astra Serif" w:cs="Times New Roman"/>
          <w:color w:val="000000"/>
          <w:szCs w:val="24"/>
        </w:rPr>
        <w:t>на мероприятия по поиску работы – 2 132 контракта, что составляет 104,7% от планового годового показателя;</w:t>
      </w:r>
    </w:p>
    <w:p w14:paraId="68347DF6" w14:textId="77777777" w:rsidR="001034DA" w:rsidRPr="001034DA" w:rsidRDefault="001034DA" w:rsidP="001034DA">
      <w:pPr>
        <w:widowControl w:val="0"/>
        <w:tabs>
          <w:tab w:val="left" w:pos="709"/>
        </w:tabs>
        <w:rPr>
          <w:rFonts w:ascii="PT Astra Serif" w:eastAsia="Times New Roman" w:hAnsi="PT Astra Serif" w:cs="Times New Roman"/>
          <w:color w:val="000000"/>
          <w:szCs w:val="28"/>
          <w:lang w:eastAsia="ru-RU"/>
        </w:rPr>
      </w:pPr>
      <w:r w:rsidRPr="001034DA">
        <w:rPr>
          <w:rFonts w:ascii="PT Astra Serif" w:eastAsia="Calibri" w:hAnsi="PT Astra Serif" w:cs="Times New Roman"/>
          <w:color w:val="000000"/>
          <w:szCs w:val="24"/>
        </w:rPr>
        <w:t xml:space="preserve">на мероприятия по развитию индивидуальной предпринимательской деятельности – 791 </w:t>
      </w:r>
      <w:r w:rsidRPr="001034DA">
        <w:rPr>
          <w:rFonts w:ascii="PT Astra Serif" w:eastAsia="Times New Roman" w:hAnsi="PT Astra Serif" w:cs="Times New Roman"/>
          <w:bCs/>
          <w:color w:val="000000"/>
          <w:szCs w:val="28"/>
          <w:lang w:eastAsia="ru-RU"/>
        </w:rPr>
        <w:t>контракт</w:t>
      </w:r>
      <w:r w:rsidRPr="001034DA">
        <w:rPr>
          <w:rFonts w:ascii="PT Astra Serif" w:eastAsia="Times New Roman" w:hAnsi="PT Astra Serif" w:cs="Times New Roman"/>
          <w:color w:val="000000"/>
          <w:szCs w:val="28"/>
          <w:lang w:eastAsia="ru-RU"/>
        </w:rPr>
        <w:t>, что составляет 92,6% от планового годового показателя;</w:t>
      </w:r>
    </w:p>
    <w:p w14:paraId="40D127B3" w14:textId="77777777" w:rsidR="001034DA" w:rsidRPr="001034DA" w:rsidRDefault="001034DA" w:rsidP="001034DA">
      <w:pPr>
        <w:widowControl w:val="0"/>
        <w:tabs>
          <w:tab w:val="left" w:pos="709"/>
        </w:tabs>
        <w:rPr>
          <w:rFonts w:ascii="PT Astra Serif" w:eastAsia="Times New Roman" w:hAnsi="PT Astra Serif" w:cs="Times New Roman"/>
          <w:i/>
          <w:color w:val="000000"/>
          <w:szCs w:val="28"/>
          <w:lang w:eastAsia="ru-RU"/>
        </w:rPr>
      </w:pPr>
      <w:r w:rsidRPr="001034DA">
        <w:rPr>
          <w:rFonts w:ascii="PT Astra Serif" w:eastAsia="Calibri" w:hAnsi="PT Astra Serif" w:cs="Times New Roman"/>
          <w:color w:val="000000"/>
          <w:szCs w:val="24"/>
        </w:rPr>
        <w:t xml:space="preserve">на мероприятия по ведению личного подсобного хозяйства – </w:t>
      </w:r>
      <w:r w:rsidRPr="001034DA">
        <w:rPr>
          <w:rFonts w:ascii="PT Astra Serif" w:eastAsia="Times New Roman" w:hAnsi="PT Astra Serif" w:cs="Times New Roman"/>
          <w:color w:val="000000"/>
          <w:szCs w:val="28"/>
          <w:lang w:eastAsia="ru-RU"/>
        </w:rPr>
        <w:t>494 контракта</w:t>
      </w:r>
      <w:r w:rsidRPr="001034DA">
        <w:rPr>
          <w:rFonts w:ascii="PT Astra Serif" w:eastAsia="Times New Roman" w:hAnsi="PT Astra Serif" w:cs="Times New Roman"/>
          <w:i/>
          <w:color w:val="000000"/>
          <w:szCs w:val="28"/>
          <w:lang w:eastAsia="ru-RU"/>
        </w:rPr>
        <w:t>,</w:t>
      </w:r>
      <w:r w:rsidRPr="001034DA">
        <w:rPr>
          <w:rFonts w:ascii="PT Astra Serif" w:eastAsia="Times New Roman" w:hAnsi="PT Astra Serif" w:cs="Times New Roman"/>
          <w:color w:val="000000"/>
          <w:szCs w:val="28"/>
          <w:lang w:eastAsia="ru-RU"/>
        </w:rPr>
        <w:t xml:space="preserve"> что составляет 109,8</w:t>
      </w:r>
      <w:r w:rsidRPr="001034DA">
        <w:rPr>
          <w:rFonts w:ascii="PT Astra Serif" w:eastAsia="Times New Roman" w:hAnsi="PT Astra Serif" w:cs="Times New Roman"/>
          <w:bCs/>
          <w:color w:val="000000"/>
          <w:szCs w:val="28"/>
          <w:lang w:eastAsia="ru-RU"/>
        </w:rPr>
        <w:t xml:space="preserve">% </w:t>
      </w:r>
      <w:r w:rsidRPr="001034DA">
        <w:rPr>
          <w:rFonts w:ascii="PT Astra Serif" w:eastAsia="Times New Roman" w:hAnsi="PT Astra Serif" w:cs="Times New Roman"/>
          <w:color w:val="000000"/>
          <w:szCs w:val="28"/>
          <w:lang w:eastAsia="ru-RU"/>
        </w:rPr>
        <w:t>от планового годового показателя;</w:t>
      </w:r>
    </w:p>
    <w:p w14:paraId="32ECD5FF" w14:textId="77777777" w:rsidR="001034DA" w:rsidRPr="001034DA" w:rsidRDefault="001034DA" w:rsidP="001034DA">
      <w:pPr>
        <w:widowControl w:val="0"/>
        <w:tabs>
          <w:tab w:val="left" w:pos="709"/>
        </w:tabs>
        <w:rPr>
          <w:rFonts w:ascii="PT Astra Serif" w:eastAsia="Times New Roman" w:hAnsi="PT Astra Serif" w:cs="Times New Roman"/>
          <w:color w:val="000000"/>
          <w:szCs w:val="28"/>
          <w:lang w:eastAsia="ru-RU"/>
        </w:rPr>
      </w:pPr>
      <w:r w:rsidRPr="001034DA">
        <w:rPr>
          <w:rFonts w:ascii="PT Astra Serif" w:eastAsia="Times New Roman" w:hAnsi="PT Astra Serif" w:cs="Times New Roman"/>
          <w:bCs/>
          <w:color w:val="000000"/>
          <w:szCs w:val="28"/>
          <w:lang w:eastAsia="ru-RU"/>
        </w:rPr>
        <w:t>на иные мероприятия по преодолению трудной жизненной ситуации</w:t>
      </w:r>
      <w:r w:rsidRPr="001034DA">
        <w:rPr>
          <w:rFonts w:ascii="PT Astra Serif" w:eastAsia="Times New Roman" w:hAnsi="PT Astra Serif" w:cs="Times New Roman"/>
          <w:b/>
          <w:color w:val="000000"/>
          <w:szCs w:val="28"/>
          <w:lang w:eastAsia="ru-RU"/>
        </w:rPr>
        <w:t xml:space="preserve"> </w:t>
      </w:r>
      <w:r w:rsidRPr="001034DA">
        <w:rPr>
          <w:rFonts w:ascii="PT Astra Serif" w:eastAsia="Times New Roman" w:hAnsi="PT Astra Serif" w:cs="Times New Roman"/>
          <w:color w:val="000000"/>
          <w:szCs w:val="28"/>
          <w:lang w:eastAsia="ru-RU"/>
        </w:rPr>
        <w:t xml:space="preserve">заключено 585 </w:t>
      </w:r>
      <w:r w:rsidRPr="001034DA">
        <w:rPr>
          <w:rFonts w:ascii="PT Astra Serif" w:eastAsia="Times New Roman" w:hAnsi="PT Astra Serif" w:cs="Times New Roman"/>
          <w:bCs/>
          <w:color w:val="000000"/>
          <w:szCs w:val="28"/>
          <w:lang w:eastAsia="ru-RU"/>
        </w:rPr>
        <w:t>контрактов</w:t>
      </w:r>
      <w:r w:rsidRPr="001034DA">
        <w:rPr>
          <w:rFonts w:ascii="PT Astra Serif" w:eastAsia="Times New Roman" w:hAnsi="PT Astra Serif" w:cs="Times New Roman"/>
          <w:color w:val="000000"/>
          <w:szCs w:val="28"/>
          <w:lang w:eastAsia="ru-RU"/>
        </w:rPr>
        <w:t xml:space="preserve">, что составляет 100% от планового годового показателя. </w:t>
      </w:r>
    </w:p>
    <w:p w14:paraId="42DA548E" w14:textId="77777777"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Количество получателей по сравнению с аналогичным периодом прошлого года увеличилось на 93 человека, в том числе на развитие индивидуальной предпринимательской деятельности - на 58 контракта, на ведение личного подсобного хозяйства - на 26 контрактов и на иные мероприятия - на 19 контракта. По направлению поиска работы количество сократилось на 10 контрактов. </w:t>
      </w:r>
    </w:p>
    <w:p w14:paraId="4CEA98E9" w14:textId="77777777" w:rsidR="001034DA" w:rsidRPr="001034DA" w:rsidRDefault="001034DA" w:rsidP="001034DA">
      <w:pPr>
        <w:widowControl w:val="0"/>
        <w:autoSpaceDE w:val="0"/>
        <w:autoSpaceDN w:val="0"/>
        <w:contextualSpacing/>
        <w:rPr>
          <w:rFonts w:ascii="PT Astra Serif" w:eastAsia="Calibri" w:hAnsi="PT Astra Serif" w:cs="Calibri"/>
          <w:szCs w:val="24"/>
          <w:lang w:eastAsia="ru-RU"/>
        </w:rPr>
      </w:pPr>
      <w:r w:rsidRPr="001034DA">
        <w:rPr>
          <w:rFonts w:ascii="PT Astra Serif" w:eastAsia="Calibri" w:hAnsi="PT Astra Serif" w:cs="Calibri"/>
          <w:spacing w:val="-4"/>
          <w:lang w:eastAsia="ru-RU"/>
        </w:rPr>
        <w:t xml:space="preserve">Рост заключенных контрактов по </w:t>
      </w:r>
      <w:r w:rsidRPr="001034DA">
        <w:rPr>
          <w:rFonts w:ascii="PT Astra Serif" w:eastAsia="Calibri" w:hAnsi="PT Astra Serif" w:cs="Calibri"/>
          <w:spacing w:val="-4"/>
          <w:szCs w:val="24"/>
          <w:lang w:eastAsia="ru-RU"/>
        </w:rPr>
        <w:t>направлению п</w:t>
      </w:r>
      <w:r w:rsidRPr="001034DA">
        <w:rPr>
          <w:rFonts w:ascii="PT Astra Serif" w:eastAsia="Calibri" w:hAnsi="PT Astra Serif" w:cs="Calibri"/>
          <w:szCs w:val="24"/>
          <w:lang w:eastAsia="ru-RU"/>
        </w:rPr>
        <w:t>оиска работы произошёл в связи с тем, что активно популяризируется социальный контракт среди выпускников высших и средних образовательных учреждений и среди граждан, прибывших со службы в Вооруженных силах.</w:t>
      </w:r>
    </w:p>
    <w:p w14:paraId="5EF90DDE" w14:textId="77777777" w:rsidR="001034DA" w:rsidRPr="001034DA" w:rsidRDefault="001034DA" w:rsidP="001034DA">
      <w:pPr>
        <w:widowControl w:val="0"/>
        <w:rPr>
          <w:rFonts w:ascii="PT Astra Serif" w:eastAsia="PT Astra Serif" w:hAnsi="PT Astra Serif" w:cs="Times New Roman"/>
          <w:szCs w:val="20"/>
        </w:rPr>
      </w:pPr>
      <w:r w:rsidRPr="001034DA">
        <w:rPr>
          <w:rFonts w:ascii="PT Astra Serif" w:eastAsia="PT Astra Serif" w:hAnsi="PT Astra Serif" w:cs="Times New Roman"/>
          <w:szCs w:val="20"/>
        </w:rPr>
        <w:t xml:space="preserve">В 2025 году проведена оценка эффективности 4 275 реализованных </w:t>
      </w:r>
      <w:r w:rsidRPr="001034DA">
        <w:rPr>
          <w:rFonts w:ascii="PT Astra Serif" w:eastAsia="PT Astra Serif" w:hAnsi="PT Astra Serif" w:cs="Times New Roman"/>
          <w:szCs w:val="20"/>
        </w:rPr>
        <w:br/>
        <w:t>в 2024 и 2025 годах социальных контрактов по всем направлениям, из них 2 556 контрактов показали свою эффективность, что составляет 59,8% от общего количества завершённых контрактов.</w:t>
      </w:r>
    </w:p>
    <w:p w14:paraId="1395D4B8" w14:textId="77777777" w:rsidR="001034DA" w:rsidRPr="001034DA" w:rsidRDefault="001034DA" w:rsidP="001034DA">
      <w:pPr>
        <w:widowControl w:val="0"/>
        <w:rPr>
          <w:rFonts w:ascii="PT Astra Serif" w:eastAsia="Calibri" w:hAnsi="PT Astra Serif" w:cs="Times New Roman"/>
        </w:rPr>
      </w:pPr>
      <w:r w:rsidRPr="001034DA">
        <w:rPr>
          <w:rFonts w:ascii="PT Astra Serif" w:eastAsia="Calibri" w:hAnsi="PT Astra Serif" w:cs="Times New Roman"/>
        </w:rPr>
        <w:t xml:space="preserve">Таким образом, у 2 556 семей среднедушевой доход в сравнении </w:t>
      </w:r>
      <w:r w:rsidRPr="001034DA">
        <w:rPr>
          <w:rFonts w:ascii="PT Astra Serif" w:eastAsia="Calibri" w:hAnsi="PT Astra Serif" w:cs="Times New Roman"/>
        </w:rPr>
        <w:br/>
        <w:t xml:space="preserve">с среднедушевым доходом до заключения контракта превысил величину </w:t>
      </w:r>
      <w:r w:rsidRPr="001034DA">
        <w:rPr>
          <w:rFonts w:ascii="PT Astra Serif" w:eastAsia="Calibri" w:hAnsi="PT Astra Serif" w:cs="Times New Roman"/>
        </w:rPr>
        <w:lastRenderedPageBreak/>
        <w:t xml:space="preserve">прожиточного минимума. </w:t>
      </w:r>
    </w:p>
    <w:p w14:paraId="760E4CDD" w14:textId="77777777" w:rsidR="001034DA" w:rsidRPr="001034DA" w:rsidRDefault="001034DA" w:rsidP="001034DA">
      <w:pPr>
        <w:widowControl w:val="0"/>
        <w:rPr>
          <w:rFonts w:ascii="PT Astra Serif" w:eastAsia="Times New Roman" w:hAnsi="PT Astra Serif" w:cs="Times New Roman"/>
          <w:szCs w:val="28"/>
        </w:rPr>
      </w:pPr>
      <w:r w:rsidRPr="001034DA">
        <w:rPr>
          <w:rFonts w:ascii="PT Astra Serif" w:eastAsia="Calibri" w:hAnsi="PT Astra Serif" w:cs="Times New Roman"/>
        </w:rPr>
        <w:t>Так среднедушевой доход семей до заключения социального контракта</w:t>
      </w:r>
      <w:r w:rsidRPr="001034DA">
        <w:rPr>
          <w:rFonts w:ascii="PT Astra Serif" w:eastAsia="Calibri" w:hAnsi="PT Astra Serif" w:cs="Times New Roman"/>
        </w:rPr>
        <w:br/>
        <w:t>в 2024 году составлял 6 799 рублей, после заключения социального контракта в 2025 году он вырос до 32 215 рублей (рост на 25,4 тыс. руб.),</w:t>
      </w:r>
      <w:r w:rsidRPr="001034DA">
        <w:rPr>
          <w:rFonts w:ascii="PT Astra Serif" w:eastAsia="Calibri" w:hAnsi="PT Astra Serif" w:cs="Times New Roman"/>
          <w:i/>
        </w:rPr>
        <w:t xml:space="preserve"> </w:t>
      </w:r>
      <w:r w:rsidRPr="001034DA">
        <w:rPr>
          <w:rFonts w:ascii="PT Astra Serif" w:eastAsia="Calibri" w:hAnsi="PT Astra Serif" w:cs="Times New Roman"/>
        </w:rPr>
        <w:t xml:space="preserve">следовательно </w:t>
      </w:r>
    </w:p>
    <w:p w14:paraId="1DA7B911" w14:textId="77777777" w:rsidR="001034DA" w:rsidRPr="001034DA" w:rsidRDefault="001034DA" w:rsidP="001034DA">
      <w:pPr>
        <w:widowControl w:val="0"/>
        <w:autoSpaceDE w:val="0"/>
        <w:autoSpaceDN w:val="0"/>
        <w:adjustRightInd w:val="0"/>
        <w:rPr>
          <w:rFonts w:ascii="PT Astra Serif" w:eastAsia="Calibri" w:hAnsi="PT Astra Serif" w:cs="Times New Roman"/>
          <w:lang w:eastAsia="zh-CN"/>
        </w:rPr>
      </w:pPr>
      <w:r w:rsidRPr="001034DA">
        <w:rPr>
          <w:rFonts w:ascii="PT Astra Serif" w:eastAsia="Calibri" w:hAnsi="PT Astra Serif" w:cs="Times New Roman"/>
          <w:lang w:eastAsia="zh-CN"/>
        </w:rPr>
        <w:t xml:space="preserve">С помощью социального контракта 2 556 семей преодолели черту бедности, что на 1588 семей больше в сравнении с 2024 годом (978 семей). </w:t>
      </w:r>
    </w:p>
    <w:p w14:paraId="4673818A" w14:textId="77777777" w:rsidR="001034DA" w:rsidRPr="001034DA" w:rsidRDefault="001034DA" w:rsidP="001034DA">
      <w:pPr>
        <w:widowControl w:val="0"/>
        <w:rPr>
          <w:rFonts w:ascii="PT Astra Serif" w:eastAsia="Calibri" w:hAnsi="PT Astra Serif" w:cs="Times New Roman"/>
          <w:b/>
          <w:szCs w:val="24"/>
          <w:lang w:eastAsia="x-none"/>
        </w:rPr>
      </w:pPr>
    </w:p>
    <w:p w14:paraId="583D6618" w14:textId="77777777" w:rsidR="001034DA" w:rsidRPr="001034DA" w:rsidRDefault="001034DA" w:rsidP="001034DA">
      <w:pPr>
        <w:widowControl w:val="0"/>
        <w:rPr>
          <w:rFonts w:ascii="PT Astra Serif" w:eastAsia="Calibri" w:hAnsi="PT Astra Serif" w:cs="Times New Roman"/>
          <w:b/>
          <w:i/>
          <w:szCs w:val="24"/>
          <w:lang w:eastAsia="x-none"/>
        </w:rPr>
      </w:pPr>
      <w:r w:rsidRPr="001034DA">
        <w:rPr>
          <w:rFonts w:ascii="PT Astra Serif" w:eastAsia="Calibri" w:hAnsi="PT Astra Serif" w:cs="Times New Roman"/>
          <w:b/>
          <w:i/>
          <w:szCs w:val="24"/>
          <w:lang w:eastAsia="x-none"/>
        </w:rPr>
        <w:t>Детская продуктовая карта.</w:t>
      </w:r>
    </w:p>
    <w:p w14:paraId="46829430" w14:textId="77777777" w:rsidR="001034DA" w:rsidRPr="001034DA" w:rsidRDefault="001034DA" w:rsidP="001034DA">
      <w:pPr>
        <w:widowControl w:val="0"/>
        <w:rPr>
          <w:rFonts w:ascii="PT Astra Serif" w:eastAsia="Liberation Sans" w:hAnsi="PT Astra Serif" w:cs="Liberation Sans"/>
          <w:szCs w:val="28"/>
        </w:rPr>
      </w:pPr>
      <w:r w:rsidRPr="001034DA">
        <w:rPr>
          <w:rFonts w:ascii="PT Astra Serif" w:eastAsia="Liberation Sans" w:hAnsi="PT Astra Serif" w:cs="Liberation Sans"/>
          <w:color w:val="000000"/>
          <w:szCs w:val="28"/>
        </w:rPr>
        <w:t>Детская продуктовая карта выдается малоимущим семьям, имеющим детей, по назначению врача. На детскую продуктовую карту ежемесячно зачисляются денежные средства, для детей в возрасте до одного года</w:t>
      </w:r>
      <w:r w:rsidRPr="001034DA">
        <w:rPr>
          <w:rFonts w:ascii="PT Astra Serif" w:eastAsia="Liberation Sans" w:hAnsi="PT Astra Serif" w:cs="Liberation Sans"/>
          <w:color w:val="000000"/>
          <w:szCs w:val="28"/>
        </w:rPr>
        <w:br/>
        <w:t xml:space="preserve">- 2 259,07 рублей, детям с 1 до 3 лет - 941,27 рублей. </w:t>
      </w:r>
    </w:p>
    <w:p w14:paraId="1A7BDDBE" w14:textId="77777777" w:rsidR="001034DA" w:rsidRPr="001034DA" w:rsidRDefault="001034DA" w:rsidP="001034DA">
      <w:pPr>
        <w:widowControl w:val="0"/>
        <w:rPr>
          <w:rFonts w:ascii="PT Astra Serif" w:eastAsia="Liberation Sans" w:hAnsi="PT Astra Serif" w:cs="Liberation Sans"/>
          <w:szCs w:val="28"/>
        </w:rPr>
      </w:pPr>
      <w:r w:rsidRPr="001034DA">
        <w:rPr>
          <w:rFonts w:ascii="PT Astra Serif" w:eastAsia="Liberation Sans" w:hAnsi="PT Astra Serif" w:cs="Liberation Sans"/>
          <w:color w:val="000000"/>
          <w:szCs w:val="28"/>
        </w:rPr>
        <w:t>По итогам 2025 года детской продуктовой картой воспользовались 1 860 человек на сумму 21 007,36 тыс. руб. (АППГ – 2 472 человека).</w:t>
      </w:r>
    </w:p>
    <w:p w14:paraId="1CF66F82" w14:textId="77777777" w:rsidR="001034DA" w:rsidRPr="001034DA" w:rsidRDefault="001034DA" w:rsidP="001034DA">
      <w:pPr>
        <w:widowControl w:val="0"/>
        <w:rPr>
          <w:rFonts w:ascii="PT Astra Serif" w:eastAsia="Liberation Sans" w:hAnsi="PT Astra Serif" w:cs="Liberation Sans"/>
          <w:szCs w:val="28"/>
        </w:rPr>
      </w:pPr>
      <w:r w:rsidRPr="001034DA">
        <w:rPr>
          <w:rFonts w:ascii="PT Astra Serif" w:eastAsia="Liberation Sans" w:hAnsi="PT Astra Serif" w:cs="Liberation Sans"/>
          <w:color w:val="000000"/>
          <w:szCs w:val="28"/>
        </w:rPr>
        <w:t>Кроме того, малоимущим нуждающимся в дополнительном питании беременным женщинам со сроком беременности более 12 недель</w:t>
      </w:r>
      <w:r w:rsidRPr="001034DA">
        <w:rPr>
          <w:rFonts w:ascii="PT Astra Serif" w:eastAsia="Liberation Sans" w:hAnsi="PT Astra Serif" w:cs="Liberation Sans"/>
          <w:color w:val="000000"/>
          <w:szCs w:val="28"/>
        </w:rPr>
        <w:br/>
        <w:t>и кормящим матерям, имеющим детей в возрасте до 6 месяцев, предоставляется ежемесячная денежная выплата в размере 941,27 рублей.</w:t>
      </w:r>
      <w:r w:rsidRPr="001034DA">
        <w:rPr>
          <w:rFonts w:ascii="PT Astra Serif" w:eastAsia="Liberation Sans" w:hAnsi="PT Astra Serif" w:cs="Liberation Sans"/>
          <w:color w:val="000000"/>
          <w:szCs w:val="28"/>
        </w:rPr>
        <w:br/>
        <w:t>По итогам IV квартала 2025 года выплата предоставлена 34 беременным женщинам и 21 кормящей матери на сумму 113,6 тыс. рублей (АППГ – 40 беременной женщине и кормящим матерям на сумму 134,9 тыс. рублей).</w:t>
      </w:r>
    </w:p>
    <w:p w14:paraId="35208B85" w14:textId="77777777" w:rsidR="001034DA" w:rsidRPr="001034DA" w:rsidRDefault="001034DA" w:rsidP="001034DA">
      <w:pPr>
        <w:widowControl w:val="0"/>
        <w:rPr>
          <w:rFonts w:ascii="PT Astra Serif" w:eastAsia="Calibri" w:hAnsi="PT Astra Serif" w:cs="Times New Roman"/>
          <w:b/>
          <w:szCs w:val="28"/>
          <w:lang w:eastAsia="x-none"/>
        </w:rPr>
      </w:pPr>
    </w:p>
    <w:p w14:paraId="3C95371F" w14:textId="5CFA0857" w:rsidR="001034DA" w:rsidRPr="001034DA" w:rsidRDefault="001034DA" w:rsidP="001034DA">
      <w:pPr>
        <w:widowControl w:val="0"/>
        <w:rPr>
          <w:rFonts w:ascii="PT Astra Serif" w:eastAsia="Calibri" w:hAnsi="PT Astra Serif" w:cs="Times New Roman"/>
          <w:b/>
          <w:szCs w:val="28"/>
          <w:lang w:eastAsia="x-none"/>
        </w:rPr>
      </w:pPr>
      <w:r w:rsidRPr="001034DA">
        <w:rPr>
          <w:rFonts w:ascii="PT Astra Serif" w:eastAsia="Calibri" w:hAnsi="PT Astra Serif" w:cs="Times New Roman"/>
          <w:b/>
          <w:i/>
          <w:szCs w:val="28"/>
          <w:lang w:eastAsia="x-none"/>
        </w:rPr>
        <w:t>Реализация Указа Пр</w:t>
      </w:r>
      <w:r w:rsidR="00EB6C68">
        <w:rPr>
          <w:rFonts w:ascii="PT Astra Serif" w:eastAsia="Calibri" w:hAnsi="PT Astra Serif" w:cs="Times New Roman"/>
          <w:b/>
          <w:i/>
          <w:szCs w:val="28"/>
          <w:lang w:eastAsia="x-none"/>
        </w:rPr>
        <w:t>езидента от 7 мая 2012 года № </w:t>
      </w:r>
      <w:r w:rsidRPr="001034DA">
        <w:rPr>
          <w:rFonts w:ascii="PT Astra Serif" w:eastAsia="Calibri" w:hAnsi="PT Astra Serif" w:cs="Times New Roman"/>
          <w:b/>
          <w:i/>
          <w:szCs w:val="28"/>
          <w:lang w:eastAsia="x-none"/>
        </w:rPr>
        <w:t>606 «О мерах по реализации демографической политики Российской Федерации».</w:t>
      </w:r>
    </w:p>
    <w:p w14:paraId="437076E1" w14:textId="6829DB9F" w:rsidR="001034DA" w:rsidRPr="001034DA" w:rsidRDefault="001034DA" w:rsidP="001034DA">
      <w:pPr>
        <w:widowControl w:val="0"/>
        <w:shd w:val="clear" w:color="auto" w:fill="FFFFFF"/>
        <w:rPr>
          <w:rFonts w:ascii="PT Astra Serif" w:eastAsia="Liberation Sans" w:hAnsi="PT Astra Serif" w:cs="Liberation Sans"/>
          <w:szCs w:val="28"/>
        </w:rPr>
      </w:pPr>
      <w:r w:rsidRPr="001034DA">
        <w:rPr>
          <w:rFonts w:ascii="PT Astra Serif" w:eastAsia="Liberation Sans" w:hAnsi="PT Astra Serif" w:cs="Liberation Sans"/>
          <w:color w:val="000000"/>
          <w:szCs w:val="28"/>
        </w:rPr>
        <w:t xml:space="preserve">Во исполнение Указа Президента </w:t>
      </w:r>
      <w:r w:rsidR="00EB6C68">
        <w:rPr>
          <w:rFonts w:ascii="PT Astra Serif" w:eastAsia="Liberation Sans" w:hAnsi="PT Astra Serif" w:cs="Liberation Sans"/>
          <w:color w:val="000000"/>
          <w:szCs w:val="28"/>
        </w:rPr>
        <w:t xml:space="preserve">РФ </w:t>
      </w:r>
      <w:r w:rsidRPr="001034DA">
        <w:rPr>
          <w:rFonts w:ascii="PT Astra Serif" w:eastAsia="Liberation Sans" w:hAnsi="PT Astra Serif" w:cs="Liberation Sans"/>
          <w:color w:val="000000"/>
          <w:szCs w:val="28"/>
        </w:rPr>
        <w:t>от 07.05.2012 № 606 «О мерах по реализации демографической политики Российской Федерации», в рамках реализации Закона Ульяновской области «О ежемесячной денежной выплате на ребёнка до достижения им возраста трёх лет» при рождении третьего ребёнка после 31 декабря 2012 года до достижения им возраста трёх лет предусмотрено предоставление ежемесячной денежной выплаты в размере одного прожиточного минимума при условии, если размер среднедушевого дохода семьи не превышает двукратную величину прожиточного минимума. Размер пособия составлял 15 309,0 рублей.</w:t>
      </w:r>
    </w:p>
    <w:p w14:paraId="4C8D6EAD" w14:textId="1CFB9AC9" w:rsidR="001034DA" w:rsidRPr="001034DA" w:rsidRDefault="001034DA" w:rsidP="001034DA">
      <w:pPr>
        <w:widowControl w:val="0"/>
        <w:shd w:val="clear" w:color="auto" w:fill="FFFFFF"/>
        <w:rPr>
          <w:rFonts w:ascii="PT Astra Serif" w:eastAsia="Liberation Sans" w:hAnsi="PT Astra Serif" w:cs="Liberation Sans"/>
          <w:color w:val="000000"/>
          <w:szCs w:val="28"/>
        </w:rPr>
      </w:pPr>
      <w:r w:rsidRPr="001034DA">
        <w:rPr>
          <w:rFonts w:ascii="PT Astra Serif" w:eastAsia="Liberation Sans" w:hAnsi="PT Astra Serif" w:cs="Liberation Sans"/>
          <w:color w:val="000000"/>
          <w:szCs w:val="28"/>
        </w:rPr>
        <w:t xml:space="preserve">По итогам 2025 года ежемесячная денежная выплата предоставлена </w:t>
      </w:r>
      <w:r w:rsidRPr="001034DA">
        <w:rPr>
          <w:rFonts w:ascii="PT Astra Serif" w:eastAsia="Liberation Sans" w:hAnsi="PT Astra Serif" w:cs="Liberation Sans"/>
          <w:color w:val="000000"/>
          <w:szCs w:val="28"/>
        </w:rPr>
        <w:br/>
        <w:t xml:space="preserve">560 семьям на сумму более 47,13 млн рублей. </w:t>
      </w:r>
    </w:p>
    <w:p w14:paraId="68DBD3FD" w14:textId="7F2BE1D3" w:rsidR="001034DA" w:rsidRDefault="001034DA" w:rsidP="001034DA">
      <w:pPr>
        <w:widowControl w:val="0"/>
        <w:rPr>
          <w:rFonts w:eastAsia="Calibri" w:cs="Times New Roman"/>
          <w:iCs/>
          <w:sz w:val="24"/>
          <w:szCs w:val="24"/>
          <w:lang w:eastAsia="ru-RU"/>
        </w:rPr>
      </w:pPr>
    </w:p>
    <w:p w14:paraId="54607563" w14:textId="77777777" w:rsidR="001034DA" w:rsidRPr="001034DA" w:rsidRDefault="001034DA" w:rsidP="001034DA">
      <w:pPr>
        <w:widowControl w:val="0"/>
        <w:tabs>
          <w:tab w:val="left" w:pos="1134"/>
        </w:tabs>
        <w:contextualSpacing/>
        <w:rPr>
          <w:rFonts w:ascii="Calibri" w:eastAsia="Calibri" w:hAnsi="Calibri" w:cs="Calibri"/>
          <w:b/>
          <w:color w:val="0E0E0F"/>
          <w:sz w:val="22"/>
          <w:u w:val="single"/>
          <w:lang w:eastAsia="ru-RU"/>
        </w:rPr>
      </w:pPr>
      <w:r w:rsidRPr="001034DA">
        <w:rPr>
          <w:rFonts w:ascii="PT Astra Serif" w:eastAsia="Calibri" w:hAnsi="PT Astra Serif" w:cs="Calibri"/>
          <w:b/>
          <w:color w:val="0E0E0F"/>
          <w:szCs w:val="28"/>
          <w:u w:val="single"/>
          <w:lang w:eastAsia="ru-RU"/>
        </w:rPr>
        <w:t>3. Завершение ремонтных работ в здании на Ефремова д. 36, входящего в комплекс «квартала Подсолнух».</w:t>
      </w:r>
    </w:p>
    <w:p w14:paraId="13844710" w14:textId="77777777" w:rsidR="001034DA" w:rsidRPr="001034DA" w:rsidRDefault="001034DA" w:rsidP="001034DA">
      <w:pPr>
        <w:widowControl w:val="0"/>
        <w:tabs>
          <w:tab w:val="left" w:pos="1134"/>
        </w:tabs>
        <w:contextualSpacing/>
        <w:rPr>
          <w:rFonts w:ascii="PT Astra Serif" w:eastAsia="Times New Roman" w:hAnsi="PT Astra Serif" w:cs="Calibri"/>
          <w:szCs w:val="24"/>
          <w:lang w:eastAsia="ru-RU"/>
        </w:rPr>
      </w:pPr>
      <w:r w:rsidRPr="001034DA">
        <w:rPr>
          <w:rFonts w:ascii="PT Astra Serif" w:eastAsia="Times New Roman" w:hAnsi="PT Astra Serif" w:cs="Calibri"/>
          <w:szCs w:val="24"/>
          <w:lang w:eastAsia="ru-RU"/>
        </w:rPr>
        <w:t xml:space="preserve">В 2025 году были продолжены работы по капитальному ремонту здания ОГКУСО МЦ «Подсолнух» в г. Ульяновске по адресу: ул. Ефремова, д. 36, начатые в 2023 году. 16.12.2025 государственный контракт расторгнут, </w:t>
      </w:r>
      <w:proofErr w:type="spellStart"/>
      <w:r w:rsidRPr="001034DA">
        <w:rPr>
          <w:rFonts w:ascii="PT Astra Serif" w:eastAsia="Times New Roman" w:hAnsi="PT Astra Serif" w:cs="Calibri"/>
          <w:szCs w:val="24"/>
          <w:lang w:eastAsia="ru-RU"/>
        </w:rPr>
        <w:t>строительно</w:t>
      </w:r>
      <w:proofErr w:type="spellEnd"/>
      <w:r w:rsidRPr="001034DA">
        <w:rPr>
          <w:rFonts w:ascii="PT Astra Serif" w:eastAsia="Times New Roman" w:hAnsi="PT Astra Serif" w:cs="Calibri"/>
          <w:szCs w:val="24"/>
          <w:lang w:eastAsia="ru-RU"/>
        </w:rPr>
        <w:t>–монтажные работы на объекте не завершены. Строительная готовность объекта составляет 60,0%, техническая готовность - 76,6%.</w:t>
      </w:r>
    </w:p>
    <w:p w14:paraId="54A6DA19" w14:textId="77777777" w:rsidR="001034DA" w:rsidRPr="001034DA" w:rsidRDefault="001034DA" w:rsidP="001034DA">
      <w:pPr>
        <w:widowControl w:val="0"/>
        <w:tabs>
          <w:tab w:val="left" w:pos="1134"/>
        </w:tabs>
        <w:contextualSpacing/>
        <w:rPr>
          <w:rFonts w:ascii="PT Astra Serif" w:eastAsia="Calibri" w:hAnsi="PT Astra Serif" w:cs="Calibri"/>
          <w:b/>
          <w:color w:val="0E0E0F"/>
          <w:sz w:val="32"/>
          <w:szCs w:val="28"/>
          <w:u w:val="single"/>
          <w:lang w:eastAsia="ru-RU"/>
        </w:rPr>
      </w:pPr>
    </w:p>
    <w:p w14:paraId="2009CE25" w14:textId="77777777" w:rsidR="001034DA" w:rsidRPr="001034DA" w:rsidRDefault="001034DA" w:rsidP="001034DA">
      <w:pPr>
        <w:widowControl w:val="0"/>
        <w:tabs>
          <w:tab w:val="left" w:pos="1134"/>
        </w:tabs>
        <w:contextualSpacing/>
        <w:rPr>
          <w:rFonts w:ascii="PT Astra Serif" w:eastAsia="Times New Roman" w:hAnsi="PT Astra Serif" w:cs="Arial"/>
          <w:b/>
          <w:szCs w:val="28"/>
          <w:u w:val="single"/>
          <w:lang w:eastAsia="ru-RU"/>
        </w:rPr>
      </w:pPr>
      <w:r w:rsidRPr="001034DA">
        <w:rPr>
          <w:rFonts w:ascii="PT Astra Serif" w:eastAsia="Times New Roman" w:hAnsi="PT Astra Serif" w:cs="Arial"/>
          <w:b/>
          <w:szCs w:val="28"/>
          <w:u w:val="single"/>
          <w:lang w:eastAsia="ru-RU"/>
        </w:rPr>
        <w:t>4. Проведение капитального ремонта первого корпуса социально-</w:t>
      </w:r>
      <w:r w:rsidRPr="001034DA">
        <w:rPr>
          <w:rFonts w:ascii="PT Astra Serif" w:eastAsia="Times New Roman" w:hAnsi="PT Astra Serif" w:cs="Arial"/>
          <w:b/>
          <w:szCs w:val="28"/>
          <w:u w:val="single"/>
          <w:lang w:eastAsia="ru-RU"/>
        </w:rPr>
        <w:lastRenderedPageBreak/>
        <w:t xml:space="preserve">реабилитационного центра им. Е.М. </w:t>
      </w:r>
      <w:proofErr w:type="spellStart"/>
      <w:r w:rsidRPr="001034DA">
        <w:rPr>
          <w:rFonts w:ascii="PT Astra Serif" w:eastAsia="Times New Roman" w:hAnsi="PT Astra Serif" w:cs="Arial"/>
          <w:b/>
          <w:szCs w:val="28"/>
          <w:u w:val="single"/>
          <w:lang w:eastAsia="ru-RU"/>
        </w:rPr>
        <w:t>Чучкалова</w:t>
      </w:r>
      <w:proofErr w:type="spellEnd"/>
      <w:r w:rsidRPr="001034DA">
        <w:rPr>
          <w:rFonts w:ascii="PT Astra Serif" w:eastAsia="Times New Roman" w:hAnsi="PT Astra Serif" w:cs="Arial"/>
          <w:b/>
          <w:szCs w:val="28"/>
          <w:u w:val="single"/>
          <w:lang w:eastAsia="ru-RU"/>
        </w:rPr>
        <w:t xml:space="preserve"> в с. Ундоры.</w:t>
      </w:r>
      <w:r w:rsidRPr="001034DA">
        <w:rPr>
          <w:rFonts w:ascii="PT Astra Serif" w:eastAsia="Times New Roman" w:hAnsi="PT Astra Serif" w:cs="Calibri"/>
          <w:szCs w:val="24"/>
          <w:lang w:eastAsia="ru-RU"/>
        </w:rPr>
        <w:t xml:space="preserve"> </w:t>
      </w:r>
    </w:p>
    <w:p w14:paraId="33362BD9" w14:textId="77777777" w:rsidR="001034DA" w:rsidRPr="001034DA" w:rsidRDefault="001034DA" w:rsidP="001034DA">
      <w:pPr>
        <w:widowControl w:val="0"/>
        <w:contextualSpacing/>
        <w:rPr>
          <w:rFonts w:ascii="PT Astra Serif" w:eastAsia="Times New Roman" w:hAnsi="PT Astra Serif" w:cs="Calibri"/>
          <w:szCs w:val="24"/>
          <w:lang w:eastAsia="ru-RU"/>
        </w:rPr>
      </w:pPr>
      <w:r w:rsidRPr="001034DA">
        <w:rPr>
          <w:rFonts w:ascii="PT Astra Serif" w:eastAsia="Times New Roman" w:hAnsi="PT Astra Serif" w:cs="Calibri"/>
          <w:szCs w:val="24"/>
          <w:lang w:eastAsia="ru-RU"/>
        </w:rPr>
        <w:t xml:space="preserve">В 2025 году в рамках федерального проекта «Повышение уровня обеспеченности инвалидов и детей-инвалидов реабилитационными </w:t>
      </w:r>
      <w:r w:rsidRPr="001034DA">
        <w:rPr>
          <w:rFonts w:ascii="PT Astra Serif" w:eastAsia="Times New Roman" w:hAnsi="PT Astra Serif" w:cs="Calibri"/>
          <w:szCs w:val="24"/>
          <w:lang w:eastAsia="ru-RU"/>
        </w:rPr>
        <w:br/>
        <w:t xml:space="preserve">и </w:t>
      </w:r>
      <w:proofErr w:type="spellStart"/>
      <w:r w:rsidRPr="001034DA">
        <w:rPr>
          <w:rFonts w:ascii="PT Astra Serif" w:eastAsia="Times New Roman" w:hAnsi="PT Astra Serif" w:cs="Calibri"/>
          <w:szCs w:val="24"/>
          <w:lang w:eastAsia="ru-RU"/>
        </w:rPr>
        <w:t>абилитационными</w:t>
      </w:r>
      <w:proofErr w:type="spellEnd"/>
      <w:r w:rsidRPr="001034DA">
        <w:rPr>
          <w:rFonts w:ascii="PT Astra Serif" w:eastAsia="Times New Roman" w:hAnsi="PT Astra Serif" w:cs="Calibri"/>
          <w:szCs w:val="24"/>
          <w:lang w:eastAsia="ru-RU"/>
        </w:rPr>
        <w:t xml:space="preserve"> услугами, а также уровня профессионального развития» государственной программы Российской Федерации «Доступная среда» начался капитальный ремонт корпуса № 1 ОГАУСО «Социально-реабилитационный центр им. Е.М. </w:t>
      </w:r>
      <w:proofErr w:type="spellStart"/>
      <w:r w:rsidRPr="001034DA">
        <w:rPr>
          <w:rFonts w:ascii="PT Astra Serif" w:eastAsia="Times New Roman" w:hAnsi="PT Astra Serif" w:cs="Calibri"/>
          <w:szCs w:val="24"/>
          <w:lang w:eastAsia="ru-RU"/>
        </w:rPr>
        <w:t>Чучкалова</w:t>
      </w:r>
      <w:proofErr w:type="spellEnd"/>
      <w:r w:rsidRPr="001034DA">
        <w:rPr>
          <w:rFonts w:ascii="PT Astra Serif" w:eastAsia="Times New Roman" w:hAnsi="PT Astra Serif" w:cs="Calibri"/>
          <w:szCs w:val="24"/>
          <w:lang w:eastAsia="ru-RU"/>
        </w:rPr>
        <w:t>» мощностью 101 койко-место.</w:t>
      </w:r>
    </w:p>
    <w:p w14:paraId="403CE578" w14:textId="77777777" w:rsidR="001034DA" w:rsidRPr="001034DA" w:rsidRDefault="001034DA" w:rsidP="001034DA">
      <w:pPr>
        <w:widowControl w:val="0"/>
        <w:tabs>
          <w:tab w:val="left" w:pos="1134"/>
        </w:tabs>
        <w:contextualSpacing/>
        <w:rPr>
          <w:rFonts w:ascii="PT Astra Serif" w:eastAsia="Times New Roman" w:hAnsi="PT Astra Serif" w:cs="Calibri"/>
          <w:szCs w:val="24"/>
          <w:lang w:eastAsia="ru-RU"/>
        </w:rPr>
      </w:pPr>
      <w:r w:rsidRPr="001034DA">
        <w:rPr>
          <w:rFonts w:ascii="PT Astra Serif" w:eastAsia="Times New Roman" w:hAnsi="PT Astra Serif" w:cs="Calibri"/>
          <w:szCs w:val="24"/>
          <w:lang w:eastAsia="ru-RU"/>
        </w:rPr>
        <w:t>Разработана проектно-сметная документация, получено положительное заключение государственной экспертизы. На объекте начаты демонтажные работы.</w:t>
      </w:r>
    </w:p>
    <w:p w14:paraId="7B3C0AED" w14:textId="77777777" w:rsidR="001034DA" w:rsidRPr="001034DA" w:rsidRDefault="001034DA" w:rsidP="001034DA">
      <w:pPr>
        <w:widowControl w:val="0"/>
        <w:tabs>
          <w:tab w:val="left" w:pos="1134"/>
        </w:tabs>
        <w:contextualSpacing/>
        <w:rPr>
          <w:rFonts w:ascii="PT Astra Serif" w:eastAsia="Times New Roman" w:hAnsi="PT Astra Serif" w:cs="Arial"/>
          <w:b/>
          <w:szCs w:val="28"/>
          <w:u w:val="single"/>
          <w:lang w:eastAsia="ru-RU"/>
        </w:rPr>
      </w:pPr>
    </w:p>
    <w:p w14:paraId="497C1A3C" w14:textId="77777777" w:rsidR="001034DA" w:rsidRPr="001034DA" w:rsidRDefault="001034DA" w:rsidP="001034DA">
      <w:pPr>
        <w:widowControl w:val="0"/>
        <w:tabs>
          <w:tab w:val="left" w:pos="1134"/>
        </w:tabs>
        <w:contextualSpacing/>
        <w:rPr>
          <w:rFonts w:ascii="PT Astra Serif" w:eastAsia="Calibri" w:hAnsi="PT Astra Serif" w:cs="Calibri"/>
          <w:b/>
          <w:color w:val="0E0E0F"/>
          <w:szCs w:val="28"/>
          <w:u w:val="single"/>
          <w:lang w:eastAsia="ru-RU"/>
        </w:rPr>
      </w:pPr>
      <w:r w:rsidRPr="001034DA">
        <w:rPr>
          <w:rFonts w:ascii="PT Astra Serif" w:eastAsia="Times New Roman" w:hAnsi="PT Astra Serif" w:cs="Arial"/>
          <w:b/>
          <w:szCs w:val="28"/>
          <w:u w:val="single"/>
          <w:lang w:eastAsia="ru-RU"/>
        </w:rPr>
        <w:t>5. Организация и проведение Всероссийского форума «Вместе – ради детей».</w:t>
      </w:r>
    </w:p>
    <w:p w14:paraId="39075E9E"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С</w:t>
      </w:r>
      <w:r w:rsidRPr="001034DA">
        <w:rPr>
          <w:rFonts w:ascii="PT Astra Serif" w:eastAsia="Calibri" w:hAnsi="PT Astra Serif" w:cs="Times New Roman"/>
          <w:b/>
          <w:szCs w:val="28"/>
          <w:lang w:eastAsia="ru-RU"/>
        </w:rPr>
        <w:t xml:space="preserve"> </w:t>
      </w:r>
      <w:r w:rsidRPr="001034DA">
        <w:rPr>
          <w:rFonts w:ascii="PT Astra Serif" w:eastAsia="Calibri" w:hAnsi="PT Astra Serif" w:cs="Times New Roman"/>
          <w:szCs w:val="28"/>
          <w:lang w:eastAsia="ru-RU"/>
        </w:rPr>
        <w:t>23 по 25 сентября в Ульяновской области во второй раз прошел XVI Всероссийский форум «Вместе – ради детей! Быть рядом!». В форуме приняли участие делегации из 75 регионов России, общая численность участников составила более 500 человек.</w:t>
      </w:r>
    </w:p>
    <w:p w14:paraId="6AC59FAC"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 xml:space="preserve">Форум организован Фондом поддержки детей, находящихся в трудной жизненной ситуации, при поддержке Правительства Ульяновской области. Ключевыми партнерами Форума стали Якутия, Алтайский край, Астраханская, Иркутская, Курганская, Мурманская, Новгородская, Орловская, Свердловская и Тюменская области. </w:t>
      </w:r>
    </w:p>
    <w:p w14:paraId="3A8B863E"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 xml:space="preserve">Цель Форума — предоставить участникам возможность поделиться успехами, обсудить важные вопросы детства и семейного благополучия, найти новых партнеров и вдохновить коллег на внедрение инновационных форматов работы. Особое место в деловой программе Форума было отведено современным возможностям помощи детям, столкнувшимся с тяжелой, стрессовой ситуацией, которая вызывает состояние, характеризующее как «психоэмоциональная травма». </w:t>
      </w:r>
    </w:p>
    <w:p w14:paraId="15A9BCA3"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 xml:space="preserve">23 сентября 2025 года на базе областных учреждений социального обслуживания, образования и культуры прошли тематические площадки. </w:t>
      </w:r>
      <w:r w:rsidRPr="001034DA">
        <w:rPr>
          <w:rFonts w:ascii="PT Astra Serif" w:eastAsia="Calibri" w:hAnsi="PT Astra Serif" w:cs="Times New Roman"/>
          <w:szCs w:val="28"/>
          <w:lang w:eastAsia="ru-RU"/>
        </w:rPr>
        <w:br/>
        <w:t xml:space="preserve">В ДК «Губернаторском» состоялось торжественное открытие Форума, </w:t>
      </w:r>
      <w:r w:rsidRPr="001034DA">
        <w:rPr>
          <w:rFonts w:ascii="PT Astra Serif" w:eastAsia="Calibri" w:hAnsi="PT Astra Serif" w:cs="Times New Roman"/>
          <w:szCs w:val="28"/>
          <w:lang w:eastAsia="ru-RU"/>
        </w:rPr>
        <w:br/>
        <w:t>в рамках которого прошла пленарная сессия с участием руководителей федеральных органов исполнительной власти, депутатов Государственной думы, руководства региональных органов исполнительной власти, руководителя аппарата Уполномоченного по правам ребенка в Российской Федерации. В рамках Форума на базе Ульяновского педагогического университета состоялась сессия, где обсуждали открытие Семейных многофункциональных центров. В ТЦ «</w:t>
      </w:r>
      <w:proofErr w:type="spellStart"/>
      <w:r w:rsidRPr="001034DA">
        <w:rPr>
          <w:rFonts w:ascii="PT Astra Serif" w:eastAsia="Calibri" w:hAnsi="PT Astra Serif" w:cs="Times New Roman"/>
          <w:szCs w:val="28"/>
          <w:lang w:eastAsia="ru-RU"/>
        </w:rPr>
        <w:t>Аквамолл</w:t>
      </w:r>
      <w:proofErr w:type="spellEnd"/>
      <w:r w:rsidRPr="001034DA">
        <w:rPr>
          <w:rFonts w:ascii="PT Astra Serif" w:eastAsia="Calibri" w:hAnsi="PT Astra Serif" w:cs="Times New Roman"/>
          <w:szCs w:val="28"/>
          <w:lang w:eastAsia="ru-RU"/>
        </w:rPr>
        <w:t xml:space="preserve">» прошла ярмарка изделий семейных мастерских. </w:t>
      </w:r>
    </w:p>
    <w:p w14:paraId="2BB670F7"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t>24 сентября участники Форума приняли участие в выездных мероприятиях (</w:t>
      </w:r>
      <w:r w:rsidRPr="001034DA">
        <w:rPr>
          <w:rFonts w:ascii="PT Astra Serif" w:eastAsia="Calibri" w:hAnsi="PT Astra Serif" w:cs="Times New Roman"/>
          <w:i/>
          <w:szCs w:val="28"/>
          <w:lang w:eastAsia="ru-RU"/>
        </w:rPr>
        <w:t xml:space="preserve">МО Сурский, Ульяновский районы, г. Ульяновск </w:t>
      </w:r>
      <w:r w:rsidRPr="001034DA">
        <w:rPr>
          <w:rFonts w:ascii="PT Astra Serif" w:eastAsia="Calibri" w:hAnsi="PT Astra Serif" w:cs="Times New Roman"/>
          <w:i/>
          <w:szCs w:val="28"/>
          <w:lang w:eastAsia="ru-RU"/>
        </w:rPr>
        <w:br/>
        <w:t xml:space="preserve">и </w:t>
      </w:r>
      <w:proofErr w:type="spellStart"/>
      <w:r w:rsidRPr="001034DA">
        <w:rPr>
          <w:rFonts w:ascii="PT Astra Serif" w:eastAsia="Calibri" w:hAnsi="PT Astra Serif" w:cs="Times New Roman"/>
          <w:i/>
          <w:szCs w:val="28"/>
          <w:lang w:eastAsia="ru-RU"/>
        </w:rPr>
        <w:t>г.Димитровград</w:t>
      </w:r>
      <w:proofErr w:type="spellEnd"/>
      <w:r w:rsidRPr="001034DA">
        <w:rPr>
          <w:rFonts w:ascii="PT Astra Serif" w:eastAsia="Calibri" w:hAnsi="PT Astra Serif" w:cs="Times New Roman"/>
          <w:i/>
          <w:szCs w:val="28"/>
          <w:lang w:eastAsia="ru-RU"/>
        </w:rPr>
        <w:t>)</w:t>
      </w:r>
      <w:r w:rsidRPr="001034DA">
        <w:rPr>
          <w:rFonts w:ascii="PT Astra Serif" w:eastAsia="Calibri" w:hAnsi="PT Astra Serif" w:cs="Times New Roman"/>
          <w:szCs w:val="28"/>
          <w:lang w:eastAsia="ru-RU"/>
        </w:rPr>
        <w:t xml:space="preserve">, где познакомились с работой учреждений социального обслуживания, образования и культуры, а также с историческим </w:t>
      </w:r>
      <w:r w:rsidRPr="001034DA">
        <w:rPr>
          <w:rFonts w:ascii="PT Astra Serif" w:eastAsia="Calibri" w:hAnsi="PT Astra Serif" w:cs="Times New Roman"/>
          <w:szCs w:val="28"/>
          <w:lang w:eastAsia="ru-RU"/>
        </w:rPr>
        <w:br/>
        <w:t xml:space="preserve">и культурным наследием региона. </w:t>
      </w:r>
    </w:p>
    <w:p w14:paraId="11186C9B" w14:textId="77777777" w:rsidR="001034DA" w:rsidRPr="001034DA" w:rsidRDefault="001034DA" w:rsidP="001034DA">
      <w:pPr>
        <w:widowControl w:val="0"/>
        <w:contextualSpacing/>
        <w:rPr>
          <w:rFonts w:ascii="PT Astra Serif" w:eastAsia="Calibri" w:hAnsi="PT Astra Serif" w:cs="Times New Roman"/>
          <w:szCs w:val="28"/>
          <w:lang w:eastAsia="ru-RU"/>
        </w:rPr>
      </w:pPr>
      <w:r w:rsidRPr="001034DA">
        <w:rPr>
          <w:rFonts w:ascii="PT Astra Serif" w:eastAsia="Calibri" w:hAnsi="PT Astra Serif" w:cs="Times New Roman"/>
          <w:szCs w:val="28"/>
          <w:lang w:eastAsia="ru-RU"/>
        </w:rPr>
        <w:lastRenderedPageBreak/>
        <w:t>25 сентября на базе Дома творчества детей и молодежи прошли площадки для муниципальных образований. На базе ДК «Патриот» прошло торжественное закрытие Форума, где были подведены итоги.</w:t>
      </w:r>
    </w:p>
    <w:p w14:paraId="710B249D" w14:textId="77777777" w:rsidR="001034DA" w:rsidRPr="001034DA" w:rsidRDefault="001034DA" w:rsidP="001034DA">
      <w:pPr>
        <w:widowControl w:val="0"/>
        <w:tabs>
          <w:tab w:val="left" w:pos="1134"/>
        </w:tabs>
        <w:contextualSpacing/>
        <w:rPr>
          <w:rFonts w:ascii="PT Astra Serif" w:eastAsia="Calibri" w:hAnsi="PT Astra Serif" w:cs="Calibri"/>
          <w:b/>
          <w:color w:val="0E0E0F"/>
          <w:szCs w:val="28"/>
          <w:u w:val="single"/>
          <w:lang w:eastAsia="ru-RU"/>
        </w:rPr>
      </w:pPr>
    </w:p>
    <w:p w14:paraId="53887E9D" w14:textId="77777777" w:rsidR="001034DA" w:rsidRPr="001034DA" w:rsidRDefault="001034DA" w:rsidP="001034DA">
      <w:pPr>
        <w:widowControl w:val="0"/>
        <w:tabs>
          <w:tab w:val="left" w:pos="1134"/>
        </w:tabs>
        <w:contextualSpacing/>
        <w:rPr>
          <w:rFonts w:ascii="PT Astra Serif" w:eastAsia="Calibri" w:hAnsi="PT Astra Serif" w:cs="Calibri"/>
          <w:b/>
          <w:szCs w:val="28"/>
          <w:u w:val="single"/>
          <w:lang w:eastAsia="ru-RU"/>
        </w:rPr>
      </w:pPr>
      <w:r w:rsidRPr="001034DA">
        <w:rPr>
          <w:rFonts w:ascii="PT Astra Serif" w:eastAsia="Calibri" w:hAnsi="PT Astra Serif" w:cs="Calibri"/>
          <w:b/>
          <w:szCs w:val="28"/>
          <w:u w:val="single"/>
          <w:lang w:eastAsia="ru-RU"/>
        </w:rPr>
        <w:t xml:space="preserve">6. Выполнение целевых показателей в соответствии с Указами Президента РФ № 597 от 07.05.2012 «О мероприятиях по реализации государственной социальной политики» и № 1688 от 28.12.2012 </w:t>
      </w:r>
      <w:r w:rsidRPr="001034DA">
        <w:rPr>
          <w:rFonts w:ascii="PT Astra Serif" w:eastAsia="Calibri" w:hAnsi="PT Astra Serif" w:cs="Calibri"/>
          <w:b/>
          <w:szCs w:val="28"/>
          <w:u w:val="single"/>
          <w:lang w:eastAsia="ru-RU"/>
        </w:rPr>
        <w:br/>
        <w:t>«О некоторых мерах по реализации государственной политики в сфере защиты детей-сирот и детей, оставшихся без попечения родителей».</w:t>
      </w:r>
    </w:p>
    <w:p w14:paraId="366E364F" w14:textId="7A9734D9" w:rsidR="001034DA" w:rsidRPr="001034DA" w:rsidRDefault="001034DA" w:rsidP="001034DA">
      <w:pPr>
        <w:widowControl w:val="0"/>
        <w:contextualSpacing/>
        <w:rPr>
          <w:rFonts w:ascii="PT Astra Serif" w:eastAsia="Calibri" w:hAnsi="PT Astra Serif" w:cs="Calibri"/>
          <w:sz w:val="22"/>
          <w:lang w:eastAsia="ru-RU"/>
        </w:rPr>
      </w:pPr>
      <w:r w:rsidRPr="001034DA">
        <w:rPr>
          <w:rFonts w:ascii="PT Astra Serif" w:eastAsia="Calibri" w:hAnsi="PT Astra Serif" w:cs="Calibri"/>
          <w:lang w:eastAsia="ru-RU"/>
        </w:rPr>
        <w:t>Во исполнение</w:t>
      </w:r>
      <w:r w:rsidRPr="001034DA">
        <w:rPr>
          <w:rFonts w:ascii="PT Astra Serif" w:eastAsia="Calibri" w:hAnsi="PT Astra Serif" w:cs="Calibri"/>
          <w:b/>
          <w:lang w:eastAsia="ru-RU"/>
        </w:rPr>
        <w:t xml:space="preserve"> </w:t>
      </w:r>
      <w:r w:rsidRPr="001034DA">
        <w:rPr>
          <w:rFonts w:ascii="PT Astra Serif" w:eastAsia="Calibri" w:hAnsi="PT Astra Serif" w:cs="Calibri"/>
          <w:lang w:eastAsia="ru-RU"/>
        </w:rPr>
        <w:t>Указа Президента Российской Федерации от 07 мая 2012 года № 597 «</w:t>
      </w:r>
      <w:r w:rsidRPr="001034DA">
        <w:rPr>
          <w:rFonts w:ascii="PT Astra Serif" w:eastAsia="Calibri" w:hAnsi="PT Astra Serif" w:cs="Calibri"/>
          <w:color w:val="000000"/>
          <w:shd w:val="clear" w:color="auto" w:fill="FFFFFF"/>
          <w:lang w:eastAsia="ru-RU"/>
        </w:rPr>
        <w:t>О мероприятиях по реализации государственной социальной политики</w:t>
      </w:r>
      <w:r w:rsidRPr="001034DA">
        <w:rPr>
          <w:rFonts w:ascii="PT Astra Serif" w:eastAsia="Calibri" w:hAnsi="PT Astra Serif" w:cs="Calibri"/>
          <w:lang w:eastAsia="ru-RU"/>
        </w:rPr>
        <w:t>» в 2025 году заработная плата социальных работников должна составлять 51 172 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среднего медицинского персонала – 51 172 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младшего медицинского персонала – 51 172 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врачей – 102 344 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w:t>
      </w:r>
    </w:p>
    <w:p w14:paraId="3D265668" w14:textId="77777777" w:rsidR="001034DA" w:rsidRPr="001034DA" w:rsidRDefault="001034DA" w:rsidP="001034DA">
      <w:pPr>
        <w:widowControl w:val="0"/>
        <w:contextualSpacing/>
        <w:rPr>
          <w:rFonts w:ascii="PT Astra Serif" w:eastAsia="Calibri" w:hAnsi="PT Astra Serif" w:cs="Calibri"/>
          <w:sz w:val="22"/>
          <w:lang w:eastAsia="ru-RU"/>
        </w:rPr>
      </w:pPr>
      <w:r w:rsidRPr="001034DA">
        <w:rPr>
          <w:rFonts w:ascii="PT Astra Serif" w:eastAsia="Calibri" w:hAnsi="PT Astra Serif" w:cs="Calibri"/>
          <w:lang w:eastAsia="ru-RU"/>
        </w:rPr>
        <w:t>По итогам 2025 года средняя заработная плата составила:</w:t>
      </w:r>
    </w:p>
    <w:p w14:paraId="02CDA83B" w14:textId="230DB43A" w:rsidR="001034DA" w:rsidRPr="001034DA" w:rsidRDefault="001034DA" w:rsidP="001034DA">
      <w:pPr>
        <w:widowControl w:val="0"/>
        <w:contextualSpacing/>
        <w:rPr>
          <w:rFonts w:ascii="PT Astra Serif" w:eastAsia="Calibri" w:hAnsi="PT Astra Serif" w:cs="Calibri"/>
          <w:sz w:val="22"/>
          <w:lang w:eastAsia="ru-RU"/>
        </w:rPr>
      </w:pPr>
      <w:r w:rsidRPr="001034DA">
        <w:rPr>
          <w:rFonts w:ascii="PT Astra Serif" w:eastAsia="Calibri" w:hAnsi="PT Astra Serif" w:cs="Calibri"/>
          <w:lang w:eastAsia="ru-RU"/>
        </w:rPr>
        <w:t xml:space="preserve">социальных работников – 52 112,7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или 101,8% от целевого показателя;</w:t>
      </w:r>
    </w:p>
    <w:p w14:paraId="26BB87BF" w14:textId="3FE62A06" w:rsidR="001034DA" w:rsidRPr="001034DA" w:rsidRDefault="001034DA" w:rsidP="001034DA">
      <w:pPr>
        <w:widowControl w:val="0"/>
        <w:contextualSpacing/>
        <w:rPr>
          <w:rFonts w:ascii="PT Astra Serif" w:eastAsia="Calibri" w:hAnsi="PT Astra Serif" w:cs="Calibri"/>
          <w:sz w:val="22"/>
          <w:lang w:eastAsia="ru-RU"/>
        </w:rPr>
      </w:pPr>
      <w:r w:rsidRPr="001034DA">
        <w:rPr>
          <w:rFonts w:ascii="PT Astra Serif" w:eastAsia="Calibri" w:hAnsi="PT Astra Serif" w:cs="Calibri"/>
          <w:lang w:eastAsia="ru-RU"/>
        </w:rPr>
        <w:t xml:space="preserve">среднего медицинского персонала – 48 565,8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или 94,9% от целевого показателя</w:t>
      </w:r>
    </w:p>
    <w:p w14:paraId="03537998" w14:textId="3AD7A748" w:rsidR="001034DA" w:rsidRPr="001034DA" w:rsidRDefault="001034DA" w:rsidP="001034DA">
      <w:pPr>
        <w:widowControl w:val="0"/>
        <w:contextualSpacing/>
        <w:rPr>
          <w:rFonts w:ascii="PT Astra Serif" w:eastAsia="Calibri" w:hAnsi="PT Astra Serif" w:cs="Calibri"/>
          <w:shd w:val="clear" w:color="auto" w:fill="FFFF00"/>
          <w:lang w:eastAsia="ru-RU"/>
        </w:rPr>
      </w:pPr>
      <w:r w:rsidRPr="001034DA">
        <w:rPr>
          <w:rFonts w:ascii="PT Astra Serif" w:eastAsia="Calibri" w:hAnsi="PT Astra Serif" w:cs="Calibri"/>
          <w:lang w:eastAsia="ru-RU"/>
        </w:rPr>
        <w:t xml:space="preserve">младшего медицинского персонала – 47 752,4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или 93,3% от целевого показателя;</w:t>
      </w:r>
    </w:p>
    <w:p w14:paraId="346C601C" w14:textId="4B566B61" w:rsidR="001034DA" w:rsidRPr="001034DA" w:rsidRDefault="001034DA" w:rsidP="001034DA">
      <w:pPr>
        <w:widowControl w:val="0"/>
        <w:contextualSpacing/>
        <w:rPr>
          <w:rFonts w:ascii="PT Astra Serif" w:eastAsia="Calibri" w:hAnsi="PT Astra Serif" w:cs="Calibri"/>
          <w:shd w:val="clear" w:color="auto" w:fill="FFFF00"/>
          <w:lang w:eastAsia="ru-RU"/>
        </w:rPr>
      </w:pPr>
      <w:r w:rsidRPr="001034DA">
        <w:rPr>
          <w:rFonts w:ascii="PT Astra Serif" w:eastAsia="Calibri" w:hAnsi="PT Astra Serif" w:cs="Calibri"/>
          <w:lang w:eastAsia="ru-RU"/>
        </w:rPr>
        <w:t xml:space="preserve">врачей – 73 293,3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или 143,2% от целевого показателя.</w:t>
      </w:r>
    </w:p>
    <w:p w14:paraId="3CAFEC3D" w14:textId="5440941D" w:rsidR="001034DA" w:rsidRPr="001034DA" w:rsidRDefault="001034DA" w:rsidP="001034DA">
      <w:pPr>
        <w:widowControl w:val="0"/>
        <w:tabs>
          <w:tab w:val="left" w:pos="708"/>
          <w:tab w:val="left" w:pos="3433"/>
        </w:tabs>
        <w:contextualSpacing/>
        <w:rPr>
          <w:rFonts w:ascii="PT Astra Serif" w:eastAsia="Calibri" w:hAnsi="PT Astra Serif" w:cs="Calibri"/>
          <w:sz w:val="22"/>
          <w:lang w:eastAsia="ru-RU"/>
        </w:rPr>
      </w:pPr>
      <w:r w:rsidRPr="001034DA">
        <w:rPr>
          <w:rFonts w:ascii="PT Astra Serif" w:eastAsia="Calibri" w:hAnsi="PT Astra Serif" w:cs="Calibri"/>
          <w:lang w:eastAsia="ru-RU"/>
        </w:rPr>
        <w:t>Во исполнение Указа Президен</w:t>
      </w:r>
      <w:r w:rsidR="00EB6C68">
        <w:rPr>
          <w:rFonts w:ascii="PT Astra Serif" w:eastAsia="Calibri" w:hAnsi="PT Astra Serif" w:cs="Calibri"/>
          <w:lang w:eastAsia="ru-RU"/>
        </w:rPr>
        <w:t>та РФ от 28 декабря 2012 года № </w:t>
      </w:r>
      <w:r w:rsidRPr="001034DA">
        <w:rPr>
          <w:rFonts w:ascii="PT Astra Serif" w:eastAsia="Calibri" w:hAnsi="PT Astra Serif" w:cs="Calibri"/>
          <w:lang w:eastAsia="ru-RU"/>
        </w:rPr>
        <w:t xml:space="preserve">1688 </w:t>
      </w:r>
      <w:r w:rsidR="00361E8E">
        <w:rPr>
          <w:rFonts w:ascii="PT Astra Serif" w:eastAsia="Calibri" w:hAnsi="PT Astra Serif" w:cs="Calibri"/>
          <w:lang w:eastAsia="ru-RU"/>
        </w:rPr>
        <w:br/>
      </w:r>
      <w:r w:rsidRPr="001034DA">
        <w:rPr>
          <w:rFonts w:ascii="PT Astra Serif" w:eastAsia="Calibri" w:hAnsi="PT Astra Serif" w:cs="Calibri"/>
          <w:lang w:eastAsia="ru-RU"/>
        </w:rPr>
        <w:t>«О некоторых мерах по реализации государственной политики в сфере защиты детей-сирот и детей, оставшихся без попечения родителей»</w:t>
      </w:r>
      <w:r w:rsidRPr="001034DA">
        <w:rPr>
          <w:rFonts w:ascii="PT Astra Serif" w:eastAsia="Calibri" w:hAnsi="PT Astra Serif" w:cs="Calibri"/>
          <w:b/>
          <w:lang w:eastAsia="ru-RU"/>
        </w:rPr>
        <w:t xml:space="preserve"> </w:t>
      </w:r>
      <w:r w:rsidRPr="001034DA">
        <w:rPr>
          <w:rFonts w:ascii="PT Astra Serif" w:eastAsia="Calibri" w:hAnsi="PT Astra Serif" w:cs="Calibri"/>
          <w:lang w:eastAsia="ru-RU"/>
        </w:rPr>
        <w:t xml:space="preserve">заработная плата педагогических работников, оказывающих услуги детям-сиротам, и детям, оставшимся без попечения родителей, в текущем году должна составлять 51 172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По итогам 2025 года средняя заработная плата педагогических работников составила 49 518,4 </w:t>
      </w:r>
      <w:r w:rsidR="00075040" w:rsidRPr="001034DA">
        <w:rPr>
          <w:rFonts w:ascii="PT Astra Serif" w:eastAsia="Calibri" w:hAnsi="PT Astra Serif" w:cs="Calibri"/>
          <w:lang w:eastAsia="ru-RU"/>
        </w:rPr>
        <w:t>руб</w:t>
      </w:r>
      <w:r w:rsidR="00075040">
        <w:rPr>
          <w:rFonts w:ascii="PT Astra Serif" w:eastAsia="Calibri" w:hAnsi="PT Astra Serif" w:cs="Calibri"/>
          <w:lang w:eastAsia="ru-RU"/>
        </w:rPr>
        <w:t>лей</w:t>
      </w:r>
      <w:r w:rsidRPr="001034DA">
        <w:rPr>
          <w:rFonts w:ascii="PT Astra Serif" w:eastAsia="Calibri" w:hAnsi="PT Astra Serif" w:cs="Calibri"/>
          <w:lang w:eastAsia="ru-RU"/>
        </w:rPr>
        <w:t xml:space="preserve"> или 96,8% от целевого показателя.</w:t>
      </w:r>
    </w:p>
    <w:p w14:paraId="4406B760" w14:textId="77777777" w:rsidR="001034DA" w:rsidRPr="001034DA" w:rsidRDefault="001034DA" w:rsidP="001034DA">
      <w:pPr>
        <w:widowControl w:val="0"/>
        <w:contextualSpacing/>
        <w:rPr>
          <w:rFonts w:ascii="PT Astra Serif" w:eastAsia="Calibri" w:hAnsi="PT Astra Serif" w:cs="Calibri"/>
          <w:sz w:val="22"/>
          <w:lang w:eastAsia="ru-RU"/>
        </w:rPr>
      </w:pPr>
      <w:r w:rsidRPr="001034DA">
        <w:rPr>
          <w:rFonts w:ascii="PT Astra Serif" w:eastAsia="Calibri" w:hAnsi="PT Astra Serif" w:cs="Calibri"/>
          <w:lang w:eastAsia="ru-RU"/>
        </w:rPr>
        <w:t xml:space="preserve">Целевой показатель среднемесячной заработной платы по категориям «врачи», «средний и младший медицинский персонал», «педагогические работники» не достигнут в связи с тем, что медицинский персонал ОГАУСО СОЦ «Волжские просторы» в г. Новоульяновске по причине развёртывания пункта временного размещения для лиц, прибывающих на территорию Ульяновской области с 22 февраля 2022 года с территорий, граничащих </w:t>
      </w:r>
      <w:r w:rsidRPr="001034DA">
        <w:rPr>
          <w:rFonts w:ascii="PT Astra Serif" w:eastAsia="Calibri" w:hAnsi="PT Astra Serif" w:cs="Calibri"/>
          <w:lang w:eastAsia="ru-RU"/>
        </w:rPr>
        <w:br/>
        <w:t>с Российской Федерацией, не выполнял норму трудового времени в полном объёме, в ОГАУСО «Дом добра и помощи «Благо» в связи с открытием нового корпуса в с. </w:t>
      </w:r>
      <w:proofErr w:type="spellStart"/>
      <w:r w:rsidRPr="001034DA">
        <w:rPr>
          <w:rFonts w:ascii="PT Astra Serif" w:eastAsia="Calibri" w:hAnsi="PT Astra Serif" w:cs="Calibri"/>
          <w:lang w:eastAsia="ru-RU"/>
        </w:rPr>
        <w:t>Водорацк</w:t>
      </w:r>
      <w:proofErr w:type="spellEnd"/>
      <w:r w:rsidRPr="001034DA">
        <w:rPr>
          <w:rFonts w:ascii="PT Astra Serif" w:eastAsia="Calibri" w:hAnsi="PT Astra Serif" w:cs="Calibri"/>
          <w:lang w:eastAsia="ru-RU"/>
        </w:rPr>
        <w:t xml:space="preserve"> приём сотрудников осуществлялся планомерно по мере заполнения корпуса получателями социальных услуг. Кроме того, длительное отсутствие медицинских и педагогических работников отдельных учреждений по причине временной нетрудоспособности повлияло на значение целевого показателя в целом по сети из-за неизменной среднесписочной численности работников, но отсутствия начислений по фонду оплаты труда. </w:t>
      </w:r>
    </w:p>
    <w:p w14:paraId="50B5C833" w14:textId="77777777" w:rsidR="001034DA" w:rsidRPr="001034DA" w:rsidRDefault="001034DA" w:rsidP="001034DA">
      <w:pPr>
        <w:widowControl w:val="0"/>
        <w:tabs>
          <w:tab w:val="left" w:pos="1134"/>
        </w:tabs>
        <w:contextualSpacing/>
        <w:rPr>
          <w:rFonts w:ascii="PT Astra Serif" w:eastAsia="Calibri" w:hAnsi="PT Astra Serif" w:cs="Calibri"/>
          <w:b/>
          <w:szCs w:val="28"/>
          <w:u w:val="single"/>
          <w:lang w:eastAsia="ru-RU"/>
        </w:rPr>
      </w:pPr>
    </w:p>
    <w:p w14:paraId="68CE1CB3" w14:textId="77777777" w:rsidR="001034DA" w:rsidRPr="001034DA" w:rsidRDefault="001034DA" w:rsidP="001034DA">
      <w:pPr>
        <w:widowControl w:val="0"/>
        <w:tabs>
          <w:tab w:val="left" w:pos="1134"/>
        </w:tabs>
        <w:contextualSpacing/>
        <w:rPr>
          <w:rFonts w:ascii="PT Astra Serif" w:eastAsia="Calibri" w:hAnsi="PT Astra Serif" w:cs="Calibri"/>
          <w:b/>
          <w:szCs w:val="28"/>
          <w:u w:val="single"/>
          <w:lang w:eastAsia="ru-RU"/>
        </w:rPr>
      </w:pPr>
      <w:r w:rsidRPr="001034DA">
        <w:rPr>
          <w:rFonts w:ascii="PT Astra Serif" w:eastAsia="Calibri" w:hAnsi="PT Astra Serif" w:cs="Calibri"/>
          <w:b/>
          <w:szCs w:val="28"/>
          <w:u w:val="single"/>
          <w:lang w:eastAsia="ru-RU"/>
        </w:rPr>
        <w:t xml:space="preserve">7. Продолжение работы по предоставлению субсидии на покупку </w:t>
      </w:r>
      <w:r w:rsidRPr="001034DA">
        <w:rPr>
          <w:rFonts w:ascii="PT Astra Serif" w:eastAsia="Calibri" w:hAnsi="PT Astra Serif" w:cs="Calibri"/>
          <w:b/>
          <w:color w:val="000000"/>
          <w:szCs w:val="28"/>
          <w:u w:val="single"/>
          <w:lang w:eastAsia="ru-RU"/>
        </w:rPr>
        <w:lastRenderedPageBreak/>
        <w:t>газового оборудования и проведение работ внутри границ их земельных участков отдельным категориям граждан.</w:t>
      </w:r>
    </w:p>
    <w:p w14:paraId="462FE681" w14:textId="6DFDE80E"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Программа «Развитие энергетики» в части </w:t>
      </w:r>
      <w:proofErr w:type="spellStart"/>
      <w:r w:rsidRPr="001034DA">
        <w:rPr>
          <w:rFonts w:ascii="PT Astra Serif" w:eastAsia="Calibri" w:hAnsi="PT Astra Serif" w:cs="Times New Roman"/>
          <w:szCs w:val="28"/>
        </w:rPr>
        <w:t>догазификации</w:t>
      </w:r>
      <w:proofErr w:type="spellEnd"/>
      <w:r w:rsidRPr="001034DA">
        <w:rPr>
          <w:rFonts w:ascii="PT Astra Serif" w:eastAsia="Calibri" w:hAnsi="PT Astra Serif" w:cs="Times New Roman"/>
          <w:szCs w:val="28"/>
        </w:rPr>
        <w:t xml:space="preserve"> домовладений, отдельных категорий граждан, нуждающихся </w:t>
      </w:r>
      <w:r w:rsidR="002906CA">
        <w:rPr>
          <w:rFonts w:ascii="PT Astra Serif" w:eastAsia="Calibri" w:hAnsi="PT Astra Serif" w:cs="Times New Roman"/>
          <w:szCs w:val="28"/>
        </w:rPr>
        <w:br/>
      </w:r>
      <w:r w:rsidRPr="001034DA">
        <w:rPr>
          <w:rFonts w:ascii="PT Astra Serif" w:eastAsia="Calibri" w:hAnsi="PT Astra Serif" w:cs="Times New Roman"/>
          <w:szCs w:val="28"/>
        </w:rPr>
        <w:t xml:space="preserve">в государственной поддержки, была инициирована Президентом РФ </w:t>
      </w:r>
      <w:r w:rsidR="002906CA">
        <w:rPr>
          <w:rFonts w:ascii="PT Astra Serif" w:eastAsia="Calibri" w:hAnsi="PT Astra Serif" w:cs="Times New Roman"/>
          <w:szCs w:val="28"/>
        </w:rPr>
        <w:br/>
      </w:r>
      <w:r w:rsidRPr="001034DA">
        <w:rPr>
          <w:rFonts w:ascii="PT Astra Serif" w:eastAsia="Calibri" w:hAnsi="PT Astra Serif" w:cs="Times New Roman"/>
          <w:szCs w:val="28"/>
        </w:rPr>
        <w:t xml:space="preserve">и реализуется с 2023 года. На </w:t>
      </w:r>
      <w:proofErr w:type="spellStart"/>
      <w:r w:rsidRPr="001034DA">
        <w:rPr>
          <w:rFonts w:ascii="PT Astra Serif" w:eastAsia="Calibri" w:hAnsi="PT Astra Serif" w:cs="Times New Roman"/>
          <w:szCs w:val="28"/>
        </w:rPr>
        <w:t>догазификацию</w:t>
      </w:r>
      <w:proofErr w:type="spellEnd"/>
      <w:r w:rsidRPr="001034DA">
        <w:rPr>
          <w:rFonts w:ascii="PT Astra Serif" w:eastAsia="Calibri" w:hAnsi="PT Astra Serif" w:cs="Times New Roman"/>
          <w:szCs w:val="28"/>
        </w:rPr>
        <w:t xml:space="preserve"> всем регионам выделяются субсидии из федерального бюджета. Выплату могут получить:</w:t>
      </w:r>
    </w:p>
    <w:p w14:paraId="36AAB6C9"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ветераны, участники и инвалиды Великой Отечественной войны;</w:t>
      </w:r>
    </w:p>
    <w:p w14:paraId="4E330147"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участники специальной военной операции и члены их семей</w:t>
      </w:r>
    </w:p>
    <w:p w14:paraId="15C4ECD8"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ветераны и инвалиды боевых действий;</w:t>
      </w:r>
    </w:p>
    <w:p w14:paraId="3EBECB19"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члены семей погибших (умерших) инвалидов войны, участников Великой Отечественной войны, ветеранов боевых действий;</w:t>
      </w:r>
    </w:p>
    <w:p w14:paraId="38825380"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Times New Roman" w:hAnsi="PT Astra Serif" w:cs="Times New Roman"/>
          <w:szCs w:val="28"/>
          <w:lang w:eastAsia="ru-RU"/>
        </w:rPr>
        <w:t>многодетные семьи и другие льготные категории;</w:t>
      </w:r>
    </w:p>
    <w:p w14:paraId="7ACA3208"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малоимущие граждане;</w:t>
      </w:r>
    </w:p>
    <w:p w14:paraId="39EE699F"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 xml:space="preserve">малоимущие семьи с детьми </w:t>
      </w:r>
      <w:r w:rsidRPr="001034DA">
        <w:rPr>
          <w:rFonts w:ascii="PT Astra Serif" w:eastAsia="Calibri" w:hAnsi="PT Astra Serif" w:cs="Times New Roman"/>
          <w:i/>
          <w:szCs w:val="28"/>
        </w:rPr>
        <w:t>(при условии, что среднедушевой доход ниже величины прожиточного минимума на душу населения, установленной в Ульяновской области)</w:t>
      </w:r>
      <w:r w:rsidRPr="001034DA">
        <w:rPr>
          <w:rFonts w:ascii="PT Astra Serif" w:eastAsia="Calibri" w:hAnsi="PT Astra Serif" w:cs="Times New Roman"/>
          <w:szCs w:val="28"/>
        </w:rPr>
        <w:t>;</w:t>
      </w:r>
    </w:p>
    <w:p w14:paraId="0A56D766"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 xml:space="preserve">инвалиды первой группы; </w:t>
      </w:r>
    </w:p>
    <w:p w14:paraId="40922757" w14:textId="77777777" w:rsidR="001034DA" w:rsidRPr="001034DA" w:rsidRDefault="001034DA" w:rsidP="001034DA">
      <w:pPr>
        <w:widowControl w:val="0"/>
        <w:tabs>
          <w:tab w:val="left" w:pos="993"/>
        </w:tabs>
        <w:rPr>
          <w:rFonts w:ascii="PT Astra Serif" w:eastAsia="Calibri" w:hAnsi="PT Astra Serif" w:cs="Times New Roman"/>
          <w:szCs w:val="28"/>
        </w:rPr>
      </w:pPr>
      <w:r w:rsidRPr="001034DA">
        <w:rPr>
          <w:rFonts w:ascii="PT Astra Serif" w:eastAsia="Calibri" w:hAnsi="PT Astra Serif" w:cs="Times New Roman"/>
          <w:szCs w:val="28"/>
        </w:rPr>
        <w:t xml:space="preserve">лица, осуществляющие уход за детьми-инвалидами. </w:t>
      </w:r>
    </w:p>
    <w:p w14:paraId="41FC12CA" w14:textId="7B47F051"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По итогам 2025 года заключен 281 договор </w:t>
      </w:r>
      <w:r w:rsidRPr="001034DA">
        <w:rPr>
          <w:rFonts w:ascii="PT Astra Serif" w:eastAsia="Calibri" w:hAnsi="PT Astra Serif" w:cs="Times New Roman"/>
          <w:i/>
          <w:szCs w:val="28"/>
        </w:rPr>
        <w:t xml:space="preserve">(в 2024 году - 202 договора) </w:t>
      </w:r>
      <w:r w:rsidRPr="001034DA">
        <w:rPr>
          <w:rFonts w:ascii="PT Astra Serif" w:eastAsia="Calibri" w:hAnsi="PT Astra Serif" w:cs="Times New Roman"/>
          <w:szCs w:val="28"/>
        </w:rPr>
        <w:t xml:space="preserve">на предоставление субсидий на покупку и установку газоиспользующего оборудования, проведение работ внутри границ их земельных участков </w:t>
      </w:r>
      <w:r w:rsidRPr="001034DA">
        <w:rPr>
          <w:rFonts w:ascii="PT Astra Serif" w:eastAsia="Calibri" w:hAnsi="PT Astra Serif" w:cs="Times New Roman"/>
          <w:szCs w:val="28"/>
        </w:rPr>
        <w:br/>
        <w:t xml:space="preserve">и объектов капитального строительства к газораспределительным сетям при </w:t>
      </w:r>
      <w:proofErr w:type="spellStart"/>
      <w:r w:rsidRPr="001034DA">
        <w:rPr>
          <w:rFonts w:ascii="PT Astra Serif" w:eastAsia="Calibri" w:hAnsi="PT Astra Serif" w:cs="Times New Roman"/>
          <w:szCs w:val="28"/>
        </w:rPr>
        <w:t>догазификации</w:t>
      </w:r>
      <w:proofErr w:type="spellEnd"/>
      <w:r w:rsidRPr="001034DA">
        <w:rPr>
          <w:rFonts w:ascii="PT Astra Serif" w:eastAsia="Calibri" w:hAnsi="PT Astra Serif" w:cs="Times New Roman"/>
          <w:szCs w:val="28"/>
        </w:rPr>
        <w:t xml:space="preserve"> на сумму 27,9 млн рублей </w:t>
      </w:r>
      <w:r w:rsidRPr="001034DA">
        <w:rPr>
          <w:rFonts w:ascii="PT Astra Serif" w:eastAsia="Calibri" w:hAnsi="PT Astra Serif" w:cs="Times New Roman"/>
          <w:i/>
          <w:szCs w:val="28"/>
        </w:rPr>
        <w:t>(из них 23,5 млн рублей средства федерального бюджета и 4,5 млн рублей средства областного бюджета)</w:t>
      </w:r>
      <w:r w:rsidRPr="001034DA">
        <w:rPr>
          <w:rFonts w:ascii="PT Astra Serif" w:eastAsia="Calibri" w:hAnsi="PT Astra Serif" w:cs="Times New Roman"/>
          <w:szCs w:val="28"/>
        </w:rPr>
        <w:t>.</w:t>
      </w:r>
    </w:p>
    <w:p w14:paraId="7E69B595" w14:textId="77777777" w:rsidR="001034DA" w:rsidRPr="001034DA" w:rsidRDefault="001034DA" w:rsidP="001034DA">
      <w:pPr>
        <w:widowControl w:val="0"/>
        <w:contextualSpacing/>
        <w:rPr>
          <w:rFonts w:ascii="PT Astra Serif" w:eastAsia="Calibri" w:hAnsi="PT Astra Serif" w:cs="Calibri"/>
          <w:b/>
          <w:szCs w:val="28"/>
          <w:u w:val="single"/>
          <w:lang w:eastAsia="ru-RU"/>
        </w:rPr>
      </w:pPr>
    </w:p>
    <w:p w14:paraId="38680C0A" w14:textId="77777777" w:rsidR="001034DA" w:rsidRPr="001034DA" w:rsidRDefault="001034DA" w:rsidP="001034DA">
      <w:pPr>
        <w:widowControl w:val="0"/>
        <w:tabs>
          <w:tab w:val="left" w:pos="1134"/>
        </w:tabs>
        <w:contextualSpacing/>
        <w:rPr>
          <w:rFonts w:ascii="PT Astra Serif" w:eastAsia="PT Astra Serif" w:hAnsi="PT Astra Serif" w:cs="PT Astra Serif"/>
          <w:b/>
          <w:szCs w:val="28"/>
          <w:u w:val="single"/>
          <w:lang w:eastAsia="ru-RU"/>
        </w:rPr>
      </w:pPr>
      <w:r w:rsidRPr="001034DA">
        <w:rPr>
          <w:rFonts w:ascii="PT Astra Serif" w:eastAsia="PT Astra Serif" w:hAnsi="PT Astra Serif" w:cs="PT Astra Serif"/>
          <w:b/>
          <w:szCs w:val="28"/>
          <w:u w:val="single"/>
          <w:lang w:eastAsia="ru-RU"/>
        </w:rPr>
        <w:t>8. Работа над повышением доступности государственных услуг.</w:t>
      </w:r>
    </w:p>
    <w:p w14:paraId="0AA2BFAA" w14:textId="782FBFE5" w:rsidR="001034DA" w:rsidRPr="001034DA" w:rsidRDefault="001034DA" w:rsidP="001034DA">
      <w:pPr>
        <w:widowControl w:val="0"/>
        <w:rPr>
          <w:rFonts w:ascii="PT Astra Serif" w:eastAsia="Calibri" w:hAnsi="PT Astra Serif" w:cs="Times New Roman"/>
          <w:szCs w:val="24"/>
        </w:rPr>
      </w:pPr>
      <w:r w:rsidRPr="001034DA">
        <w:rPr>
          <w:rFonts w:ascii="PT Astra Serif" w:eastAsia="Calibri" w:hAnsi="PT Astra Serif" w:cs="Times New Roman"/>
          <w:szCs w:val="24"/>
        </w:rPr>
        <w:t>Министерством проведены работы по разработке интерактивных форм и выводу на «Единый портал государственных и муниципальных услуг (функций)» следующих услуг:</w:t>
      </w:r>
    </w:p>
    <w:p w14:paraId="209FA30B" w14:textId="77777777" w:rsidR="001034DA" w:rsidRPr="001034DA" w:rsidRDefault="001034DA" w:rsidP="001034DA">
      <w:pPr>
        <w:widowControl w:val="0"/>
        <w:rPr>
          <w:rFonts w:ascii="PT Astra Serif" w:eastAsia="Calibri" w:hAnsi="PT Astra Serif" w:cs="Times New Roman"/>
          <w:szCs w:val="24"/>
        </w:rPr>
      </w:pPr>
      <w:r w:rsidRPr="001034DA">
        <w:rPr>
          <w:rFonts w:ascii="PT Astra Serif" w:eastAsia="Calibri" w:hAnsi="PT Astra Serif" w:cs="Times New Roman"/>
          <w:szCs w:val="24"/>
        </w:rPr>
        <w:t>«Предоставление ежемесячной денежной выплаты ветеранам труда, труженикам тыла, реабилитированным лицам и лицам, признанным пострадавшими от политических репрессий»;</w:t>
      </w:r>
    </w:p>
    <w:p w14:paraId="273E9F02" w14:textId="77777777" w:rsidR="001034DA" w:rsidRPr="001034DA" w:rsidRDefault="001034DA" w:rsidP="001034DA">
      <w:pPr>
        <w:widowControl w:val="0"/>
        <w:rPr>
          <w:rFonts w:ascii="PT Astra Serif" w:eastAsia="Calibri" w:hAnsi="PT Astra Serif" w:cs="Times New Roman"/>
          <w:szCs w:val="24"/>
        </w:rPr>
      </w:pPr>
      <w:r w:rsidRPr="001034DA">
        <w:rPr>
          <w:rFonts w:ascii="PT Astra Serif" w:eastAsia="Calibri" w:hAnsi="PT Astra Serif" w:cs="Times New Roman"/>
          <w:szCs w:val="24"/>
        </w:rPr>
        <w:t>«Компенсация стоимости проезда до садовых или огородных земельных участков»;</w:t>
      </w:r>
    </w:p>
    <w:p w14:paraId="2866EA8B" w14:textId="77777777" w:rsidR="001034DA" w:rsidRPr="001034DA" w:rsidRDefault="001034DA" w:rsidP="001034DA">
      <w:pPr>
        <w:widowControl w:val="0"/>
        <w:rPr>
          <w:rFonts w:ascii="PT Astra Serif" w:eastAsia="Calibri" w:hAnsi="PT Astra Serif" w:cs="Times New Roman"/>
          <w:szCs w:val="24"/>
        </w:rPr>
      </w:pPr>
      <w:r w:rsidRPr="001034DA">
        <w:rPr>
          <w:rFonts w:ascii="PT Astra Serif" w:eastAsia="Calibri" w:hAnsi="PT Astra Serif" w:cs="Times New Roman"/>
          <w:szCs w:val="24"/>
        </w:rPr>
        <w:t>«Социальная поддержка на оплату жилого помещения и коммунальных услуг».</w:t>
      </w:r>
    </w:p>
    <w:p w14:paraId="0F408FAB" w14:textId="04DB695A" w:rsidR="001034DA" w:rsidRPr="001034DA" w:rsidRDefault="001034DA" w:rsidP="001034DA">
      <w:pPr>
        <w:widowControl w:val="0"/>
        <w:rPr>
          <w:rFonts w:ascii="PT Astra Serif" w:eastAsia="Calibri" w:hAnsi="PT Astra Serif" w:cs="Times New Roman"/>
          <w:szCs w:val="28"/>
        </w:rPr>
      </w:pPr>
      <w:r w:rsidRPr="001034DA">
        <w:rPr>
          <w:rFonts w:ascii="PT Astra Serif" w:eastAsia="Calibri" w:hAnsi="PT Astra Serif" w:cs="Times New Roman"/>
          <w:szCs w:val="28"/>
        </w:rPr>
        <w:t xml:space="preserve">Также </w:t>
      </w:r>
      <w:r w:rsidR="002906CA">
        <w:rPr>
          <w:rFonts w:ascii="PT Astra Serif" w:eastAsia="Calibri" w:hAnsi="PT Astra Serif" w:cs="Times New Roman"/>
          <w:szCs w:val="28"/>
        </w:rPr>
        <w:t>М</w:t>
      </w:r>
      <w:r w:rsidRPr="001034DA">
        <w:rPr>
          <w:rFonts w:ascii="PT Astra Serif" w:eastAsia="Calibri" w:hAnsi="PT Astra Serif" w:cs="Times New Roman"/>
          <w:szCs w:val="28"/>
        </w:rPr>
        <w:t xml:space="preserve">инистерство приняло участие в пилотном проекте Министерства цифрового развития по внедрению нового функционала </w:t>
      </w:r>
      <w:r w:rsidR="00761577">
        <w:rPr>
          <w:rFonts w:ascii="PT Astra Serif" w:eastAsia="Calibri" w:hAnsi="PT Astra Serif" w:cs="Times New Roman"/>
          <w:szCs w:val="28"/>
        </w:rPr>
        <w:br/>
      </w:r>
      <w:r w:rsidRPr="001034DA">
        <w:rPr>
          <w:rFonts w:ascii="PT Astra Serif" w:eastAsia="Calibri" w:hAnsi="PT Astra Serif" w:cs="Times New Roman"/>
          <w:szCs w:val="28"/>
        </w:rPr>
        <w:t>в существующие услуги и в проектируемые услуги, а именно возможность подать заявление с помощью робота Макса. В пилотном проекте был разработан функционал в услуге «Компенсация стоимости проезда до садовых или огородных земельных участков» и будет выведен в продуктивную среду вначале 2026 года. </w:t>
      </w:r>
    </w:p>
    <w:p w14:paraId="3AD45D4D" w14:textId="4393ACC9" w:rsidR="001034DA" w:rsidRPr="001034DA" w:rsidRDefault="001034DA" w:rsidP="001034DA">
      <w:pPr>
        <w:widowControl w:val="0"/>
        <w:tabs>
          <w:tab w:val="left" w:pos="1134"/>
        </w:tabs>
        <w:contextualSpacing/>
        <w:rPr>
          <w:rFonts w:ascii="PT Astra Serif" w:eastAsia="Calibri" w:hAnsi="PT Astra Serif" w:cs="Calibri"/>
          <w:szCs w:val="24"/>
          <w:lang w:eastAsia="ru-RU"/>
        </w:rPr>
      </w:pPr>
      <w:r w:rsidRPr="001034DA">
        <w:rPr>
          <w:rFonts w:ascii="PT Astra Serif" w:eastAsia="Calibri" w:hAnsi="PT Astra Serif" w:cs="Calibri"/>
          <w:szCs w:val="24"/>
          <w:lang w:eastAsia="ru-RU"/>
        </w:rPr>
        <w:t xml:space="preserve">В 2025 году в конструктор цифровых регламентов внесены карточки по </w:t>
      </w:r>
      <w:r w:rsidRPr="001034DA">
        <w:rPr>
          <w:rFonts w:ascii="PT Astra Serif" w:eastAsia="Calibri" w:hAnsi="PT Astra Serif" w:cs="Calibri"/>
          <w:szCs w:val="24"/>
          <w:lang w:eastAsia="ru-RU"/>
        </w:rPr>
        <w:lastRenderedPageBreak/>
        <w:t>всем государственным услугам, оказываемых Министерством.</w:t>
      </w:r>
    </w:p>
    <w:p w14:paraId="000C2613" w14:textId="77777777" w:rsidR="001034DA" w:rsidRPr="001034DA" w:rsidRDefault="001034DA" w:rsidP="001034DA">
      <w:pPr>
        <w:widowControl w:val="0"/>
        <w:tabs>
          <w:tab w:val="left" w:pos="1134"/>
        </w:tabs>
        <w:contextualSpacing/>
        <w:rPr>
          <w:rFonts w:ascii="PT Astra Serif" w:eastAsia="PT Astra Serif" w:hAnsi="PT Astra Serif" w:cs="PT Astra Serif"/>
          <w:b/>
          <w:sz w:val="32"/>
          <w:szCs w:val="28"/>
          <w:u w:val="single"/>
          <w:lang w:eastAsia="ru-RU"/>
        </w:rPr>
      </w:pPr>
    </w:p>
    <w:p w14:paraId="6D1D44DF" w14:textId="77777777" w:rsidR="001034DA" w:rsidRPr="001034DA" w:rsidRDefault="001034DA" w:rsidP="001034DA">
      <w:pPr>
        <w:widowControl w:val="0"/>
        <w:tabs>
          <w:tab w:val="left" w:pos="1134"/>
        </w:tabs>
        <w:contextualSpacing/>
        <w:rPr>
          <w:rFonts w:ascii="PT Astra Serif" w:eastAsia="PT Astra Serif" w:hAnsi="PT Astra Serif" w:cs="PT Astra Serif"/>
          <w:b/>
          <w:szCs w:val="28"/>
          <w:u w:val="single"/>
          <w:lang w:eastAsia="ru-RU"/>
        </w:rPr>
      </w:pPr>
      <w:r w:rsidRPr="001034DA">
        <w:rPr>
          <w:rFonts w:ascii="PT Astra Serif" w:eastAsia="PT Astra Serif" w:hAnsi="PT Astra Serif" w:cs="PT Astra Serif"/>
          <w:b/>
          <w:szCs w:val="28"/>
          <w:u w:val="single"/>
          <w:lang w:eastAsia="ru-RU"/>
        </w:rPr>
        <w:t>9. Дополнить функционал электронного сертификата тремя мерами социальной поддержки.</w:t>
      </w:r>
    </w:p>
    <w:p w14:paraId="16E81208" w14:textId="77777777" w:rsidR="001034DA" w:rsidRPr="001034DA" w:rsidRDefault="001034DA" w:rsidP="001034DA">
      <w:pPr>
        <w:widowControl w:val="0"/>
        <w:shd w:val="clear" w:color="auto" w:fill="FFFFFF"/>
        <w:rPr>
          <w:rFonts w:ascii="PT Astra Serif" w:eastAsia="Times New Roman" w:hAnsi="PT Astra Serif" w:cs="Arial"/>
          <w:szCs w:val="28"/>
          <w:lang w:eastAsia="ru-RU"/>
        </w:rPr>
      </w:pPr>
      <w:r w:rsidRPr="001034DA">
        <w:rPr>
          <w:rFonts w:ascii="PT Astra Serif" w:eastAsia="Times New Roman" w:hAnsi="PT Astra Serif" w:cs="Arial"/>
          <w:szCs w:val="28"/>
          <w:lang w:eastAsia="ru-RU"/>
        </w:rPr>
        <w:t>С марта 2025 года на территории Ульяновской области стартовал проект по оказанию малоимущим гражданам государственной социальной помощи на приобретение продуктов питания с использованием электронного сертификата.</w:t>
      </w:r>
    </w:p>
    <w:p w14:paraId="60087720" w14:textId="77777777" w:rsidR="001034DA" w:rsidRPr="001034DA" w:rsidRDefault="001034DA" w:rsidP="001034DA">
      <w:pPr>
        <w:widowControl w:val="0"/>
        <w:shd w:val="clear" w:color="auto" w:fill="FFFFFF"/>
        <w:rPr>
          <w:rFonts w:ascii="PT Astra Serif" w:eastAsia="Times New Roman" w:hAnsi="PT Astra Serif" w:cs="Arial"/>
          <w:szCs w:val="28"/>
          <w:lang w:eastAsia="ru-RU"/>
        </w:rPr>
      </w:pPr>
      <w:r w:rsidRPr="001034DA">
        <w:rPr>
          <w:rFonts w:ascii="PT Astra Serif" w:eastAsia="Times New Roman" w:hAnsi="PT Astra Serif" w:cs="Arial"/>
          <w:szCs w:val="28"/>
          <w:lang w:eastAsia="ru-RU"/>
        </w:rPr>
        <w:t>Электронный сертификат – это новый цифровой инструмент, позволяющий гражданам, нуждающимся в помощи, приобретать жизненно важные продукты, определённые специальным перечнем. Сертификат является реестровой записью, которая отражается на карте «Мир» любого банка. Оплата продуктов из перечня по электронному сертификату осуществляется так же по карте «Мир», но при этом расходуются средства областного бюджета, предоставленные гражданам в качестве государственной социальной помощи.</w:t>
      </w:r>
    </w:p>
    <w:p w14:paraId="3FCEE5A2" w14:textId="77777777" w:rsidR="001034DA" w:rsidRPr="001034DA" w:rsidRDefault="001034DA" w:rsidP="001034DA">
      <w:pPr>
        <w:widowControl w:val="0"/>
        <w:contextualSpacing/>
        <w:rPr>
          <w:rFonts w:ascii="PT Astra Serif" w:eastAsia="Calibri" w:hAnsi="PT Astra Serif" w:cs="Arial"/>
          <w:szCs w:val="28"/>
          <w:lang w:eastAsia="ru-RU"/>
        </w:rPr>
      </w:pPr>
      <w:r w:rsidRPr="001034DA">
        <w:rPr>
          <w:rFonts w:ascii="PT Astra Serif" w:eastAsia="Calibri" w:hAnsi="PT Astra Serif" w:cs="Arial"/>
          <w:szCs w:val="28"/>
          <w:lang w:eastAsia="ru-RU"/>
        </w:rPr>
        <w:t xml:space="preserve">Преимущества сертификата в том, что воспользоваться им можно на всей территории региона в любое время, в выходные и праздничные дни. Можно выбрать любого производителя продуктов с учётом личных предпочтений. </w:t>
      </w:r>
      <w:r w:rsidRPr="001034DA">
        <w:rPr>
          <w:rFonts w:ascii="PT Astra Serif" w:eastAsia="Calibri" w:hAnsi="PT Astra Serif" w:cs="Calibri"/>
          <w:szCs w:val="28"/>
          <w:lang w:eastAsia="ru-RU"/>
        </w:rPr>
        <w:t>Использовать электронный сертификат на приобретение продуктов питания в настоящее время в нашем регионе возможно в торговой сети магазинов «Пятерочка», которая широко развита на всей территории региона, и «Перекрёсток»</w:t>
      </w:r>
      <w:r w:rsidRPr="001034DA">
        <w:rPr>
          <w:rFonts w:ascii="PT Astra Serif" w:eastAsia="Calibri" w:hAnsi="PT Astra Serif" w:cs="Arial"/>
          <w:szCs w:val="28"/>
          <w:lang w:eastAsia="ru-RU"/>
        </w:rPr>
        <w:t xml:space="preserve">. Воспользоваться электронным сертификатом можно и в других субъектах Российской Федерации. Электронный сертификат обеспечивает </w:t>
      </w:r>
      <w:r w:rsidRPr="001034DA">
        <w:rPr>
          <w:rFonts w:ascii="PT Astra Serif" w:eastAsia="Calibri" w:hAnsi="PT Astra Serif" w:cs="Calibri"/>
          <w:szCs w:val="28"/>
          <w:lang w:eastAsia="ru-RU"/>
        </w:rPr>
        <w:t>целевое использование средств областного бюджета Ульяновской области.</w:t>
      </w:r>
      <w:r w:rsidRPr="001034DA">
        <w:rPr>
          <w:rFonts w:ascii="PT Astra Serif" w:eastAsia="Calibri" w:hAnsi="PT Astra Serif" w:cs="Arial"/>
          <w:szCs w:val="28"/>
          <w:lang w:eastAsia="ru-RU"/>
        </w:rPr>
        <w:t xml:space="preserve"> По нему нельзя обналичить денежные средства, списание денежных средств происходит в момент покупки и только на те товары, которые определены перечнем.</w:t>
      </w:r>
    </w:p>
    <w:p w14:paraId="7F4C5DFA" w14:textId="77777777" w:rsidR="001034DA" w:rsidRPr="001034DA" w:rsidRDefault="001034DA" w:rsidP="001034DA">
      <w:pPr>
        <w:widowControl w:val="0"/>
        <w:shd w:val="clear" w:color="auto" w:fill="FFFFFF"/>
        <w:rPr>
          <w:rFonts w:ascii="PT Astra Serif" w:eastAsia="Times New Roman" w:hAnsi="PT Astra Serif" w:cs="Arial"/>
          <w:szCs w:val="28"/>
          <w:lang w:eastAsia="ru-RU"/>
        </w:rPr>
      </w:pPr>
      <w:r w:rsidRPr="001034DA">
        <w:rPr>
          <w:rFonts w:ascii="PT Astra Serif" w:eastAsia="Times New Roman" w:hAnsi="PT Astra Serif" w:cs="Arial"/>
          <w:szCs w:val="28"/>
          <w:lang w:eastAsia="ru-RU"/>
        </w:rPr>
        <w:t>С использованием электронного сертификата можно приобрести порядка 80 позиций продуктов и необходимых для полноценного питания: молочная, мясная продукция, овощи, чай, хлеб и т.д. Электронный сертификат предоставляется из расчёта 1 000 рублей в месяц на срок до 6 месяцев.</w:t>
      </w:r>
    </w:p>
    <w:p w14:paraId="2FBE2FC4" w14:textId="77777777" w:rsidR="001034DA" w:rsidRPr="001034DA" w:rsidRDefault="001034DA" w:rsidP="001034DA">
      <w:pPr>
        <w:widowControl w:val="0"/>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Приобретать продукты по электронному сертификату можно совместно с остальными продуктами, не входящими в перечень. Приобретаемые продукты из перечня будут оплачены с использованием электронного сертификата, оплата остальных продуктов будет произведена за счёт личных денежных средств. При превышении стоимости продуктов из перечня сумы средств на сертификате имеется возможность доплаты этого превышения личными денежными средствами.</w:t>
      </w:r>
    </w:p>
    <w:p w14:paraId="2E3B3411" w14:textId="77777777" w:rsidR="001034DA" w:rsidRPr="001034DA" w:rsidRDefault="001034DA" w:rsidP="001034DA">
      <w:pPr>
        <w:widowControl w:val="0"/>
        <w:shd w:val="clear" w:color="auto" w:fill="FFFFFF"/>
        <w:rPr>
          <w:rFonts w:ascii="PT Astra Serif" w:eastAsia="Times New Roman" w:hAnsi="PT Astra Serif" w:cs="Arial"/>
          <w:szCs w:val="28"/>
          <w:lang w:eastAsia="ru-RU"/>
        </w:rPr>
      </w:pPr>
      <w:r w:rsidRPr="001034DA">
        <w:rPr>
          <w:rFonts w:ascii="PT Astra Serif" w:eastAsia="Times New Roman" w:hAnsi="PT Astra Serif" w:cs="Calibri"/>
          <w:szCs w:val="28"/>
          <w:shd w:val="clear" w:color="auto" w:fill="FFFFFF"/>
          <w:lang w:eastAsia="ru-RU"/>
        </w:rPr>
        <w:t>В 2025 году с использованием электронного сертификата стало возможным приобретение одежды для посещения учебных занятий, а также спортивной формы на весь период обучения на каждого из детей школьного возраста в многодетных семьях. Данная мера социальной поддержки предоставляется ежегодно.</w:t>
      </w:r>
    </w:p>
    <w:p w14:paraId="30493D0E" w14:textId="4F640014" w:rsidR="001034DA" w:rsidRPr="001034DA" w:rsidRDefault="001034DA" w:rsidP="001034DA">
      <w:pPr>
        <w:widowControl w:val="0"/>
        <w:contextualSpacing/>
        <w:rPr>
          <w:rFonts w:ascii="PT Astra Serif" w:eastAsia="Times New Roman" w:hAnsi="PT Astra Serif" w:cs="Calibri"/>
          <w:szCs w:val="28"/>
          <w:lang w:eastAsia="ru-RU"/>
        </w:rPr>
      </w:pPr>
      <w:r w:rsidRPr="001034DA">
        <w:rPr>
          <w:rFonts w:ascii="PT Astra Serif" w:eastAsia="Calibri" w:hAnsi="PT Astra Serif" w:cs="Arial"/>
          <w:szCs w:val="28"/>
          <w:lang w:eastAsia="ru-RU"/>
        </w:rPr>
        <w:t xml:space="preserve">По итогам 2025 года государственная социальная помощь </w:t>
      </w:r>
      <w:r w:rsidRPr="001034DA">
        <w:rPr>
          <w:rFonts w:ascii="PT Astra Serif" w:eastAsia="Calibri" w:hAnsi="PT Astra Serif" w:cs="Arial"/>
          <w:szCs w:val="28"/>
          <w:lang w:eastAsia="ru-RU"/>
        </w:rPr>
        <w:br/>
      </w:r>
      <w:r w:rsidRPr="001034DA">
        <w:rPr>
          <w:rFonts w:ascii="PT Astra Serif" w:eastAsia="Calibri" w:hAnsi="PT Astra Serif" w:cs="Arial"/>
          <w:szCs w:val="28"/>
          <w:lang w:eastAsia="ru-RU"/>
        </w:rPr>
        <w:lastRenderedPageBreak/>
        <w:t>с использованием электронного сертификата оказана - 391 чел</w:t>
      </w:r>
      <w:r w:rsidR="00EB6C68">
        <w:rPr>
          <w:rFonts w:ascii="PT Astra Serif" w:eastAsia="Calibri" w:hAnsi="PT Astra Serif" w:cs="Arial"/>
          <w:szCs w:val="28"/>
          <w:lang w:eastAsia="ru-RU"/>
        </w:rPr>
        <w:t>овек на сумму 1,7 млн</w:t>
      </w:r>
      <w:r w:rsidRPr="001034DA">
        <w:rPr>
          <w:rFonts w:ascii="PT Astra Serif" w:eastAsia="Calibri" w:hAnsi="PT Astra Serif" w:cs="Arial"/>
          <w:szCs w:val="28"/>
          <w:lang w:eastAsia="ru-RU"/>
        </w:rPr>
        <w:t xml:space="preserve"> рублей.</w:t>
      </w:r>
    </w:p>
    <w:p w14:paraId="04B80381" w14:textId="77777777" w:rsidR="001034DA" w:rsidRPr="001034DA" w:rsidRDefault="001034DA" w:rsidP="001034DA">
      <w:pPr>
        <w:widowControl w:val="0"/>
        <w:tabs>
          <w:tab w:val="left" w:pos="993"/>
        </w:tabs>
        <w:contextualSpacing/>
        <w:rPr>
          <w:rFonts w:ascii="PT Astra Serif" w:eastAsia="Calibri" w:hAnsi="PT Astra Serif" w:cs="Calibri"/>
          <w:szCs w:val="28"/>
          <w:lang w:eastAsia="ru-RU"/>
        </w:rPr>
      </w:pPr>
    </w:p>
    <w:p w14:paraId="226B0EEF" w14:textId="77777777" w:rsidR="001034DA" w:rsidRPr="001034DA" w:rsidRDefault="001034DA" w:rsidP="001034DA">
      <w:pPr>
        <w:widowControl w:val="0"/>
        <w:ind w:firstLine="0"/>
        <w:contextualSpacing/>
        <w:jc w:val="center"/>
        <w:rPr>
          <w:rFonts w:ascii="PT Astra Serif" w:eastAsia="Calibri" w:hAnsi="PT Astra Serif" w:cs="Calibri"/>
          <w:b/>
          <w:szCs w:val="28"/>
          <w:lang w:eastAsia="ru-RU"/>
        </w:rPr>
      </w:pPr>
      <w:r w:rsidRPr="001034DA">
        <w:rPr>
          <w:rFonts w:ascii="PT Astra Serif" w:eastAsia="Calibri" w:hAnsi="PT Astra Serif" w:cs="Calibri"/>
          <w:b/>
          <w:szCs w:val="28"/>
          <w:lang w:eastAsia="ru-RU"/>
        </w:rPr>
        <w:t>Задачи в сфере социальной защиты населения на 2026 год</w:t>
      </w:r>
    </w:p>
    <w:p w14:paraId="00289A9B" w14:textId="77777777" w:rsidR="001034DA" w:rsidRPr="001034DA" w:rsidRDefault="001034DA" w:rsidP="001034DA">
      <w:pPr>
        <w:widowControl w:val="0"/>
        <w:ind w:firstLine="0"/>
        <w:contextualSpacing/>
        <w:jc w:val="center"/>
        <w:rPr>
          <w:rFonts w:ascii="PT Astra Serif" w:eastAsia="Calibri" w:hAnsi="PT Astra Serif" w:cs="Calibri"/>
          <w:b/>
          <w:szCs w:val="28"/>
          <w:lang w:eastAsia="ru-RU"/>
        </w:rPr>
      </w:pPr>
    </w:p>
    <w:p w14:paraId="30BFCD21" w14:textId="77777777" w:rsidR="001034DA" w:rsidRPr="001034DA" w:rsidRDefault="001034DA" w:rsidP="001034DA">
      <w:pPr>
        <w:widowControl w:val="0"/>
        <w:tabs>
          <w:tab w:val="left" w:pos="1134"/>
        </w:tabs>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Основным направлением работы отрасли в 2026 году остается:</w:t>
      </w:r>
    </w:p>
    <w:p w14:paraId="492D33E5" w14:textId="77777777" w:rsidR="001034DA" w:rsidRPr="001034DA" w:rsidRDefault="001034DA" w:rsidP="001034DA">
      <w:pPr>
        <w:widowControl w:val="0"/>
        <w:tabs>
          <w:tab w:val="left" w:pos="1134"/>
        </w:tabs>
        <w:contextualSpacing/>
        <w:rPr>
          <w:rFonts w:ascii="PT Astra Serif" w:eastAsia="Calibri" w:hAnsi="PT Astra Serif" w:cs="Calibri"/>
          <w:szCs w:val="28"/>
          <w:lang w:eastAsia="ru-RU"/>
        </w:rPr>
      </w:pPr>
      <w:r w:rsidRPr="001034DA">
        <w:rPr>
          <w:rFonts w:ascii="PT Astra Serif" w:eastAsia="Calibri" w:hAnsi="PT Astra Serif" w:cs="Calibri"/>
          <w:szCs w:val="28"/>
          <w:lang w:eastAsia="ru-RU"/>
        </w:rPr>
        <w:t>дальнейшее сопровождение и помощь семьям, в том числе и семьям, участников специальной военной операции;</w:t>
      </w:r>
    </w:p>
    <w:p w14:paraId="662CB64D" w14:textId="77777777" w:rsidR="001034DA" w:rsidRPr="001034DA" w:rsidRDefault="001034DA" w:rsidP="001034DA">
      <w:pPr>
        <w:widowControl w:val="0"/>
        <w:tabs>
          <w:tab w:val="left" w:pos="1134"/>
        </w:tabs>
        <w:rPr>
          <w:rFonts w:ascii="PT Astra Serif" w:eastAsia="Calibri" w:hAnsi="PT Astra Serif" w:cs="Times New Roman"/>
          <w:color w:val="0E0E0F"/>
          <w:szCs w:val="28"/>
        </w:rPr>
      </w:pPr>
      <w:r w:rsidRPr="001034DA">
        <w:rPr>
          <w:rFonts w:ascii="PT Astra Serif" w:eastAsia="Calibri" w:hAnsi="PT Astra Serif" w:cs="Times New Roman"/>
          <w:color w:val="0E0E0F"/>
          <w:szCs w:val="28"/>
        </w:rPr>
        <w:t>повышение доходов семей с низким достатком. Оказание социальной поддержки нуждающимся гражданам;</w:t>
      </w:r>
    </w:p>
    <w:p w14:paraId="5C5A8735" w14:textId="77777777" w:rsidR="001034DA" w:rsidRPr="001034DA" w:rsidRDefault="001034DA" w:rsidP="001034DA">
      <w:pPr>
        <w:widowControl w:val="0"/>
        <w:tabs>
          <w:tab w:val="left" w:pos="1134"/>
        </w:tabs>
        <w:rPr>
          <w:rFonts w:ascii="PT Astra Serif" w:eastAsia="Calibri" w:hAnsi="PT Astra Serif" w:cs="Times New Roman"/>
          <w:szCs w:val="28"/>
        </w:rPr>
      </w:pPr>
      <w:r w:rsidRPr="001034DA">
        <w:rPr>
          <w:rFonts w:ascii="PT Astra Serif" w:eastAsia="Calibri" w:hAnsi="PT Astra Serif" w:cs="Times New Roman"/>
          <w:szCs w:val="28"/>
        </w:rPr>
        <w:t>реализация национального проекта «Семья»;</w:t>
      </w:r>
    </w:p>
    <w:p w14:paraId="1801D0ED" w14:textId="77777777" w:rsidR="001034DA" w:rsidRPr="001034DA" w:rsidRDefault="001034DA" w:rsidP="001034DA">
      <w:pPr>
        <w:widowControl w:val="0"/>
        <w:shd w:val="clear" w:color="auto" w:fill="FFFFFF"/>
        <w:tabs>
          <w:tab w:val="left" w:pos="1134"/>
        </w:tabs>
        <w:rPr>
          <w:rFonts w:ascii="PT Astra Serif" w:eastAsia="Times New Roman" w:hAnsi="PT Astra Serif" w:cs="Arial"/>
          <w:color w:val="000000"/>
          <w:szCs w:val="28"/>
          <w:shd w:val="clear" w:color="auto" w:fill="FFFFFF"/>
          <w:lang w:eastAsia="ru-RU"/>
        </w:rPr>
      </w:pPr>
      <w:r w:rsidRPr="001034DA">
        <w:rPr>
          <w:rFonts w:ascii="PT Astra Serif" w:eastAsia="Times New Roman" w:hAnsi="PT Astra Serif" w:cs="Arial"/>
          <w:color w:val="000000"/>
          <w:szCs w:val="26"/>
          <w:shd w:val="clear" w:color="auto" w:fill="FFFFFF"/>
          <w:lang w:eastAsia="ru-RU"/>
        </w:rPr>
        <w:t>актуализация мер поддержки различных категорий семей в рамках демографического меню</w:t>
      </w:r>
      <w:r w:rsidRPr="001034DA">
        <w:rPr>
          <w:rFonts w:ascii="PT Astra Serif" w:eastAsia="Times New Roman" w:hAnsi="PT Astra Serif" w:cs="Arial"/>
          <w:color w:val="000000"/>
          <w:szCs w:val="28"/>
          <w:shd w:val="clear" w:color="auto" w:fill="FFFFFF"/>
          <w:lang w:eastAsia="ru-RU"/>
        </w:rPr>
        <w:t>;</w:t>
      </w:r>
    </w:p>
    <w:p w14:paraId="18B8D151" w14:textId="77777777" w:rsidR="001034DA" w:rsidRPr="001034DA" w:rsidRDefault="001034DA" w:rsidP="001034DA">
      <w:pPr>
        <w:widowControl w:val="0"/>
        <w:shd w:val="clear" w:color="auto" w:fill="FFFFFF"/>
        <w:tabs>
          <w:tab w:val="left" w:pos="1134"/>
        </w:tabs>
        <w:rPr>
          <w:rFonts w:ascii="PT Astra Serif" w:eastAsia="Times New Roman" w:hAnsi="PT Astra Serif" w:cs="Arial"/>
          <w:color w:val="000000"/>
          <w:szCs w:val="28"/>
          <w:shd w:val="clear" w:color="auto" w:fill="FFFFFF"/>
          <w:lang w:eastAsia="ru-RU"/>
        </w:rPr>
      </w:pPr>
      <w:r w:rsidRPr="001034DA">
        <w:rPr>
          <w:rFonts w:ascii="PT Astra Serif" w:eastAsia="Times New Roman" w:hAnsi="PT Astra Serif" w:cs="Arial"/>
          <w:color w:val="000000"/>
          <w:szCs w:val="28"/>
          <w:shd w:val="clear" w:color="auto" w:fill="FFFFFF"/>
          <w:lang w:eastAsia="ru-RU"/>
        </w:rPr>
        <w:t xml:space="preserve">открытие 6 семейных многофункциональных центров в Кузоватовском, Старомайнском, Радищевском, Сурском, Базарносызганском районах </w:t>
      </w:r>
      <w:r w:rsidRPr="001034DA">
        <w:rPr>
          <w:rFonts w:ascii="PT Astra Serif" w:eastAsia="Times New Roman" w:hAnsi="PT Astra Serif" w:cs="Arial"/>
          <w:color w:val="000000"/>
          <w:szCs w:val="28"/>
          <w:shd w:val="clear" w:color="auto" w:fill="FFFFFF"/>
          <w:lang w:eastAsia="ru-RU"/>
        </w:rPr>
        <w:br/>
        <w:t>и городе Новоульяновске;</w:t>
      </w:r>
    </w:p>
    <w:p w14:paraId="0542D344" w14:textId="77777777" w:rsidR="001034DA" w:rsidRPr="001034DA" w:rsidRDefault="001034DA" w:rsidP="001034DA">
      <w:pPr>
        <w:widowControl w:val="0"/>
        <w:shd w:val="clear" w:color="auto" w:fill="FFFFFF"/>
        <w:tabs>
          <w:tab w:val="left" w:pos="1134"/>
        </w:tabs>
        <w:rPr>
          <w:rFonts w:ascii="PT Astra Serif" w:eastAsia="Times New Roman" w:hAnsi="PT Astra Serif" w:cs="Arial"/>
          <w:szCs w:val="28"/>
          <w:lang w:eastAsia="ru-RU"/>
        </w:rPr>
      </w:pPr>
      <w:r w:rsidRPr="001034DA">
        <w:rPr>
          <w:rFonts w:ascii="PT Astra Serif" w:eastAsia="Times New Roman" w:hAnsi="PT Astra Serif" w:cs="Arial"/>
          <w:szCs w:val="28"/>
          <w:lang w:eastAsia="ru-RU"/>
        </w:rPr>
        <w:t>расширение функционала электронного сертификата на использование детской продуктовой карты;</w:t>
      </w:r>
    </w:p>
    <w:p w14:paraId="6FAF8C13" w14:textId="128AF714" w:rsidR="001034DA" w:rsidRPr="001034DA" w:rsidRDefault="001034DA" w:rsidP="001034DA">
      <w:pPr>
        <w:widowControl w:val="0"/>
        <w:shd w:val="clear" w:color="auto" w:fill="FFFFFF"/>
        <w:tabs>
          <w:tab w:val="left" w:pos="1134"/>
        </w:tabs>
        <w:rPr>
          <w:rFonts w:ascii="PT Astra Serif" w:eastAsia="Times New Roman" w:hAnsi="PT Astra Serif" w:cs="Arial"/>
          <w:color w:val="000000"/>
          <w:szCs w:val="28"/>
          <w:shd w:val="clear" w:color="auto" w:fill="FFFFFF"/>
          <w:lang w:eastAsia="ru-RU"/>
        </w:rPr>
      </w:pPr>
      <w:r w:rsidRPr="001034DA">
        <w:rPr>
          <w:rFonts w:ascii="PT Astra Serif" w:eastAsia="Times New Roman" w:hAnsi="PT Astra Serif" w:cs="Arial"/>
          <w:color w:val="000000"/>
          <w:szCs w:val="28"/>
          <w:shd w:val="clear" w:color="auto" w:fill="FFFFFF"/>
          <w:lang w:eastAsia="ru-RU"/>
        </w:rPr>
        <w:t xml:space="preserve">организация и проведение шестого Всероссийского форума «Мы </w:t>
      </w:r>
      <w:r w:rsidR="00761577">
        <w:rPr>
          <w:rFonts w:ascii="PT Astra Serif" w:eastAsia="Times New Roman" w:hAnsi="PT Astra Serif" w:cs="Arial"/>
          <w:color w:val="000000"/>
          <w:szCs w:val="28"/>
          <w:shd w:val="clear" w:color="auto" w:fill="FFFFFF"/>
          <w:lang w:eastAsia="ru-RU"/>
        </w:rPr>
        <w:br/>
      </w:r>
      <w:r w:rsidRPr="001034DA">
        <w:rPr>
          <w:rFonts w:ascii="PT Astra Serif" w:eastAsia="Times New Roman" w:hAnsi="PT Astra Serif" w:cs="Arial"/>
          <w:color w:val="000000"/>
          <w:szCs w:val="28"/>
          <w:shd w:val="clear" w:color="auto" w:fill="FFFFFF"/>
          <w:lang w:eastAsia="ru-RU"/>
        </w:rPr>
        <w:t>в ответе за наших детей»;</w:t>
      </w:r>
    </w:p>
    <w:p w14:paraId="3C9DB3D5" w14:textId="4A531E9E" w:rsidR="001034DA" w:rsidRPr="001034DA" w:rsidRDefault="001034DA" w:rsidP="001034DA">
      <w:pPr>
        <w:widowControl w:val="0"/>
        <w:tabs>
          <w:tab w:val="left" w:pos="1134"/>
        </w:tabs>
        <w:contextualSpacing/>
        <w:rPr>
          <w:rFonts w:ascii="PT Astra Serif" w:eastAsia="Calibri" w:hAnsi="PT Astra Serif" w:cs="Arial"/>
          <w:color w:val="000000"/>
          <w:szCs w:val="28"/>
          <w:shd w:val="clear" w:color="auto" w:fill="FFFFFF"/>
          <w:lang w:eastAsia="ru-RU"/>
        </w:rPr>
      </w:pPr>
      <w:r w:rsidRPr="001034DA">
        <w:rPr>
          <w:rFonts w:ascii="PT Astra Serif" w:eastAsia="Calibri" w:hAnsi="PT Astra Serif" w:cs="Arial"/>
          <w:color w:val="000000"/>
          <w:szCs w:val="28"/>
          <w:shd w:val="clear" w:color="auto" w:fill="FFFFFF"/>
          <w:lang w:eastAsia="ru-RU"/>
        </w:rPr>
        <w:t xml:space="preserve">создание комплексных центров по защите прав и интересов детей </w:t>
      </w:r>
      <w:r w:rsidRPr="001034DA">
        <w:rPr>
          <w:rFonts w:ascii="PT Astra Serif" w:eastAsia="Calibri" w:hAnsi="PT Astra Serif" w:cs="Arial"/>
          <w:color w:val="000000"/>
          <w:szCs w:val="28"/>
          <w:shd w:val="clear" w:color="auto" w:fill="FFFFFF"/>
          <w:lang w:eastAsia="ru-RU"/>
        </w:rPr>
        <w:br/>
        <w:t xml:space="preserve">в организациях для детей-сирот и детей, оставшихся без попечения родителей, социально - реабилитационных центрах для несовершеннолетних </w:t>
      </w:r>
      <w:r w:rsidR="00761577">
        <w:rPr>
          <w:rFonts w:ascii="PT Astra Serif" w:eastAsia="Calibri" w:hAnsi="PT Astra Serif" w:cs="Arial"/>
          <w:color w:val="000000"/>
          <w:szCs w:val="28"/>
          <w:shd w:val="clear" w:color="auto" w:fill="FFFFFF"/>
          <w:lang w:eastAsia="ru-RU"/>
        </w:rPr>
        <w:br/>
      </w:r>
      <w:r w:rsidRPr="001034DA">
        <w:rPr>
          <w:rFonts w:ascii="PT Astra Serif" w:eastAsia="Calibri" w:hAnsi="PT Astra Serif" w:cs="Arial"/>
          <w:color w:val="000000"/>
          <w:szCs w:val="28"/>
          <w:shd w:val="clear" w:color="auto" w:fill="FFFFFF"/>
          <w:lang w:eastAsia="ru-RU"/>
        </w:rPr>
        <w:t xml:space="preserve">и социальных приютах для детей и подростков. </w:t>
      </w:r>
    </w:p>
    <w:p w14:paraId="575E1E50" w14:textId="43D2147E" w:rsidR="001034DA" w:rsidRDefault="001034DA" w:rsidP="0076482B">
      <w:pPr>
        <w:pStyle w:val="afffff4"/>
        <w:widowControl w:val="0"/>
        <w:rPr>
          <w:color w:val="000000" w:themeColor="text1"/>
          <w:highlight w:val="yellow"/>
        </w:rPr>
      </w:pPr>
    </w:p>
    <w:p w14:paraId="6D691018" w14:textId="2153CD81" w:rsidR="001034DA" w:rsidRDefault="001034DA" w:rsidP="0076482B">
      <w:pPr>
        <w:pStyle w:val="afffff4"/>
        <w:widowControl w:val="0"/>
        <w:rPr>
          <w:color w:val="000000" w:themeColor="text1"/>
          <w:highlight w:val="yellow"/>
        </w:rPr>
      </w:pPr>
    </w:p>
    <w:p w14:paraId="26FF969C" w14:textId="77777777" w:rsidR="001034DA" w:rsidRDefault="001034DA" w:rsidP="0076482B">
      <w:pPr>
        <w:pStyle w:val="afffff4"/>
        <w:widowControl w:val="0"/>
        <w:rPr>
          <w:color w:val="000000" w:themeColor="text1"/>
          <w:highlight w:val="yellow"/>
        </w:rPr>
      </w:pPr>
    </w:p>
    <w:p w14:paraId="61A0DA47" w14:textId="4F4A9D40" w:rsidR="003F165B" w:rsidRPr="00996B2B" w:rsidRDefault="003F165B" w:rsidP="0076482B">
      <w:pPr>
        <w:widowControl w:val="0"/>
        <w:rPr>
          <w:rFonts w:ascii="PT Astra Serif" w:eastAsiaTheme="majorEastAsia" w:hAnsi="PT Astra Serif" w:cstheme="majorBidi"/>
          <w:b/>
          <w:color w:val="000000" w:themeColor="text1"/>
          <w:szCs w:val="28"/>
          <w:highlight w:val="yellow"/>
        </w:rPr>
      </w:pPr>
      <w:r w:rsidRPr="00996B2B">
        <w:rPr>
          <w:rFonts w:ascii="PT Astra Serif" w:eastAsiaTheme="majorEastAsia" w:hAnsi="PT Astra Serif" w:cstheme="majorBidi"/>
          <w:b/>
          <w:color w:val="000000" w:themeColor="text1"/>
          <w:szCs w:val="28"/>
          <w:highlight w:val="yellow"/>
        </w:rPr>
        <w:br w:type="page"/>
      </w:r>
    </w:p>
    <w:p w14:paraId="72E2B493" w14:textId="2C143BD9" w:rsidR="000F0288" w:rsidRDefault="00BD23CB" w:rsidP="0076482B">
      <w:pPr>
        <w:pStyle w:val="1ff0"/>
        <w:widowControl w:val="0"/>
      </w:pPr>
      <w:bookmarkStart w:id="7" w:name="_Toc226016700"/>
      <w:r w:rsidRPr="002B5076">
        <w:lastRenderedPageBreak/>
        <w:t>РЫНОК ТРУДА</w:t>
      </w:r>
      <w:bookmarkEnd w:id="7"/>
    </w:p>
    <w:p w14:paraId="18BA97B4" w14:textId="77777777" w:rsidR="002E14EA" w:rsidRPr="002E14EA" w:rsidRDefault="002E14EA" w:rsidP="002E14EA">
      <w:pPr>
        <w:widowControl w:val="0"/>
        <w:rPr>
          <w:rFonts w:ascii="PT Astra Serif" w:eastAsia="Calibri" w:hAnsi="PT Astra Serif" w:cs="Times New Roman"/>
          <w:b/>
          <w:bCs/>
          <w:szCs w:val="28"/>
        </w:rPr>
      </w:pPr>
    </w:p>
    <w:p w14:paraId="495A8099" w14:textId="77777777" w:rsidR="002E14EA" w:rsidRPr="002E14EA" w:rsidRDefault="002E14EA" w:rsidP="002E14EA">
      <w:pPr>
        <w:widowControl w:val="0"/>
        <w:ind w:firstLine="0"/>
        <w:jc w:val="center"/>
        <w:rPr>
          <w:rFonts w:ascii="PT Astra Serif" w:eastAsia="Calibri" w:hAnsi="PT Astra Serif" w:cs="Times New Roman"/>
          <w:b/>
          <w:szCs w:val="28"/>
        </w:rPr>
      </w:pPr>
      <w:r w:rsidRPr="002E14EA">
        <w:rPr>
          <w:rFonts w:ascii="PT Astra Serif" w:eastAsia="Calibri" w:hAnsi="PT Astra Serif" w:cs="Times New Roman"/>
          <w:b/>
          <w:szCs w:val="28"/>
        </w:rPr>
        <w:t>Объёмы финансирования в 2025 году</w:t>
      </w:r>
    </w:p>
    <w:p w14:paraId="30044DDE" w14:textId="77777777" w:rsidR="002E14EA" w:rsidRPr="002E14EA" w:rsidRDefault="002E14EA" w:rsidP="002E14EA">
      <w:pPr>
        <w:widowControl w:val="0"/>
        <w:ind w:firstLine="0"/>
        <w:jc w:val="center"/>
        <w:rPr>
          <w:rFonts w:ascii="PT Astra Serif" w:eastAsia="Calibri" w:hAnsi="PT Astra Serif" w:cs="Times New Roman"/>
          <w:b/>
          <w:szCs w:val="28"/>
        </w:rPr>
      </w:pPr>
    </w:p>
    <w:p w14:paraId="302C00C9" w14:textId="77777777" w:rsidR="002E14EA" w:rsidRPr="002E14EA" w:rsidRDefault="002E14EA" w:rsidP="002E14EA">
      <w:pPr>
        <w:widowControl w:val="0"/>
        <w:rPr>
          <w:rFonts w:ascii="PT Astra Serif" w:eastAsia="Calibri" w:hAnsi="PT Astra Serif" w:cs="Times New Roman"/>
          <w:szCs w:val="28"/>
        </w:rPr>
      </w:pPr>
      <w:r w:rsidRPr="002E14EA">
        <w:rPr>
          <w:rFonts w:ascii="PT Astra Serif" w:eastAsia="Calibri" w:hAnsi="PT Astra Serif" w:cs="Times New Roman"/>
          <w:szCs w:val="28"/>
        </w:rPr>
        <w:t>Мероприятия в сфере занятости населения, труда и социального партнерства, а также их финансовое обеспечение осуществляется в рамках реализации государственной программы Ульяновской области «Содействие занятости и развитие трудовых ресурсов в Ульяновской области, утвержденной постановлением Правительства Ульяновской области от 30.11.2023 №32/630-П.</w:t>
      </w:r>
    </w:p>
    <w:p w14:paraId="2326EF45"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
          <w:bCs/>
          <w:szCs w:val="28"/>
          <w:lang w:eastAsia="ru-RU"/>
        </w:rPr>
        <w:t>Объём ассигнований</w:t>
      </w:r>
      <w:r w:rsidRPr="002E14EA">
        <w:rPr>
          <w:rFonts w:ascii="PT Astra Serif" w:eastAsia="Calibri" w:hAnsi="PT Astra Serif" w:cs="Times New Roman"/>
          <w:bCs/>
          <w:szCs w:val="28"/>
          <w:lang w:eastAsia="ru-RU"/>
        </w:rPr>
        <w:t xml:space="preserve">, предусмотренных Агентству по развитию человеческого потенциала и трудовых ресурсов Ульяновской области (далее — Агентство) и подведомственному учреждению, находящемуся в его ведении, </w:t>
      </w:r>
      <w:r w:rsidRPr="002E14EA">
        <w:rPr>
          <w:rFonts w:ascii="PT Astra Serif" w:eastAsia="Calibri" w:hAnsi="PT Astra Serif" w:cs="Times New Roman"/>
          <w:b/>
          <w:bCs/>
          <w:szCs w:val="28"/>
          <w:lang w:eastAsia="ru-RU"/>
        </w:rPr>
        <w:t>в 2025 году составил 435 538,6 тыс. рублей, из которых 148 805,5 тыс. рублей средства федерального бюджета.</w:t>
      </w:r>
      <w:r w:rsidRPr="002E14EA">
        <w:rPr>
          <w:rFonts w:ascii="PT Astra Serif" w:eastAsia="Calibri" w:hAnsi="PT Astra Serif" w:cs="Times New Roman"/>
          <w:bCs/>
          <w:szCs w:val="28"/>
          <w:lang w:eastAsia="ru-RU"/>
        </w:rPr>
        <w:t xml:space="preserve"> Таким образом, сфера занятости населения и труда традиционно привлекает для реализации полномочий значительные федеральные средства.</w:t>
      </w:r>
    </w:p>
    <w:p w14:paraId="27B5F226" w14:textId="4083F382"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Cs/>
          <w:szCs w:val="28"/>
          <w:lang w:eastAsia="ru-RU"/>
        </w:rPr>
        <w:t xml:space="preserve">На реализацию переданного полномочия Российской Федерации по осуществлению </w:t>
      </w:r>
      <w:r w:rsidRPr="002E14EA">
        <w:rPr>
          <w:rFonts w:ascii="PT Astra Serif" w:eastAsia="Calibri" w:hAnsi="PT Astra Serif" w:cs="Times New Roman"/>
          <w:b/>
          <w:bCs/>
          <w:szCs w:val="28"/>
          <w:lang w:eastAsia="ru-RU"/>
        </w:rPr>
        <w:t>социальных выплат</w:t>
      </w:r>
      <w:r w:rsidRPr="002E14EA">
        <w:rPr>
          <w:rFonts w:ascii="PT Astra Serif" w:eastAsia="Calibri" w:hAnsi="PT Astra Serif" w:cs="Times New Roman"/>
          <w:bCs/>
          <w:szCs w:val="28"/>
          <w:lang w:eastAsia="ru-RU"/>
        </w:rPr>
        <w:t xml:space="preserve"> гражданам, признанным </w:t>
      </w:r>
      <w:r w:rsidR="00150597">
        <w:rPr>
          <w:rFonts w:ascii="PT Astra Serif" w:eastAsia="Calibri" w:hAnsi="PT Astra Serif" w:cs="Times New Roman"/>
          <w:bCs/>
          <w:szCs w:val="28"/>
          <w:lang w:eastAsia="ru-RU"/>
        </w:rPr>
        <w:br/>
      </w:r>
      <w:r w:rsidRPr="002E14EA">
        <w:rPr>
          <w:rFonts w:ascii="PT Astra Serif" w:eastAsia="Calibri" w:hAnsi="PT Astra Serif" w:cs="Times New Roman"/>
          <w:bCs/>
          <w:szCs w:val="28"/>
          <w:lang w:eastAsia="ru-RU"/>
        </w:rPr>
        <w:t xml:space="preserve">в установленном порядке </w:t>
      </w:r>
      <w:r w:rsidRPr="002E14EA">
        <w:rPr>
          <w:rFonts w:ascii="PT Astra Serif" w:eastAsia="Calibri" w:hAnsi="PT Astra Serif" w:cs="Times New Roman"/>
          <w:b/>
          <w:bCs/>
          <w:szCs w:val="28"/>
          <w:lang w:eastAsia="ru-RU"/>
        </w:rPr>
        <w:t>безработными</w:t>
      </w:r>
      <w:r w:rsidRPr="002E14EA">
        <w:rPr>
          <w:rFonts w:ascii="PT Astra Serif" w:eastAsia="Calibri" w:hAnsi="PT Astra Serif" w:cs="Times New Roman"/>
          <w:bCs/>
          <w:szCs w:val="28"/>
          <w:lang w:eastAsia="ru-RU"/>
        </w:rPr>
        <w:t xml:space="preserve">, было предусмотрено </w:t>
      </w:r>
      <w:r w:rsidRPr="002E14EA">
        <w:rPr>
          <w:rFonts w:ascii="PT Astra Serif" w:eastAsia="Calibri" w:hAnsi="PT Astra Serif" w:cs="Times New Roman"/>
          <w:b/>
          <w:bCs/>
          <w:szCs w:val="28"/>
          <w:lang w:eastAsia="ru-RU"/>
        </w:rPr>
        <w:t>138 745,5 тыс. рублей</w:t>
      </w:r>
      <w:r w:rsidRPr="002E14EA">
        <w:rPr>
          <w:rFonts w:ascii="PT Astra Serif" w:eastAsia="Calibri" w:hAnsi="PT Astra Serif" w:cs="Times New Roman"/>
          <w:bCs/>
          <w:szCs w:val="28"/>
          <w:lang w:eastAsia="ru-RU"/>
        </w:rPr>
        <w:t xml:space="preserve"> из средств федерального бюджета, что в полном объёме обеспечило социальную защищённость безработных граждан в 2025 году. </w:t>
      </w:r>
      <w:bookmarkStart w:id="8" w:name="_Hlk190338660"/>
    </w:p>
    <w:p w14:paraId="0A176B9B"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Cs/>
          <w:szCs w:val="28"/>
          <w:lang w:eastAsia="ru-RU"/>
        </w:rPr>
        <w:t xml:space="preserve">В рамках реализации </w:t>
      </w:r>
      <w:r w:rsidRPr="002E14EA">
        <w:rPr>
          <w:rFonts w:ascii="PT Astra Serif" w:eastAsia="Calibri" w:hAnsi="PT Astra Serif" w:cs="Times New Roman"/>
          <w:b/>
          <w:bCs/>
          <w:szCs w:val="28"/>
          <w:lang w:eastAsia="ru-RU"/>
        </w:rPr>
        <w:t>регионального</w:t>
      </w:r>
      <w:r w:rsidRPr="002E14EA">
        <w:rPr>
          <w:rFonts w:ascii="PT Astra Serif" w:eastAsia="Calibri" w:hAnsi="PT Astra Serif" w:cs="Times New Roman"/>
          <w:b/>
          <w:szCs w:val="28"/>
          <w:lang w:eastAsia="ru-RU"/>
        </w:rPr>
        <w:t xml:space="preserve"> проекта «Образование для рынка труда»</w:t>
      </w:r>
      <w:r w:rsidRPr="002E14EA">
        <w:rPr>
          <w:rFonts w:ascii="PT Astra Serif" w:eastAsia="Calibri" w:hAnsi="PT Astra Serif" w:cs="Times New Roman"/>
          <w:szCs w:val="28"/>
          <w:lang w:eastAsia="ru-RU"/>
        </w:rPr>
        <w:t>, входящего в состав национального проекта «Кадры»,</w:t>
      </w:r>
      <w:r w:rsidRPr="002E14EA">
        <w:rPr>
          <w:rFonts w:ascii="PT Astra Serif" w:eastAsia="Calibri" w:hAnsi="PT Astra Serif" w:cs="Times New Roman"/>
          <w:bCs/>
          <w:szCs w:val="28"/>
          <w:lang w:eastAsia="ru-RU"/>
        </w:rPr>
        <w:t xml:space="preserve"> в 2025 году привлечены средства в </w:t>
      </w:r>
      <w:r w:rsidRPr="002E14EA">
        <w:rPr>
          <w:rFonts w:ascii="PT Astra Serif" w:eastAsia="Calibri" w:hAnsi="PT Astra Serif" w:cs="Times New Roman"/>
          <w:b/>
          <w:bCs/>
          <w:szCs w:val="28"/>
          <w:lang w:eastAsia="ru-RU"/>
        </w:rPr>
        <w:t>размере 9 949,9 тыс. рублей</w:t>
      </w:r>
      <w:r w:rsidRPr="002E14EA">
        <w:rPr>
          <w:rFonts w:ascii="PT Astra Serif" w:eastAsia="Calibri" w:hAnsi="PT Astra Serif" w:cs="Times New Roman"/>
          <w:bCs/>
          <w:szCs w:val="28"/>
          <w:lang w:eastAsia="ru-RU"/>
        </w:rPr>
        <w:t xml:space="preserve">, из которых 9 651,4 тыс. рублей средства федерального бюджета и 298,5 тыс. рублей средства регионального бюджета. </w:t>
      </w:r>
      <w:bookmarkStart w:id="9" w:name="_Hlk190417085"/>
      <w:bookmarkEnd w:id="8"/>
    </w:p>
    <w:p w14:paraId="3F87DDF1" w14:textId="4FE79C2D"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szCs w:val="28"/>
          <w:lang w:eastAsia="ru-RU"/>
        </w:rPr>
        <w:t>На мероприятие «Предоставление мер социальной поддержки», предусмотренных подпрограммой «Оказание содействия добровольному переселению в Ульяновскую область соотечественников, проживающих за рубежом»</w:t>
      </w:r>
      <w:r w:rsidRPr="002E14EA">
        <w:rPr>
          <w:rFonts w:ascii="PT Astra Serif" w:eastAsia="Calibri" w:hAnsi="PT Astra Serif" w:cs="Times New Roman"/>
          <w:bCs/>
          <w:szCs w:val="28"/>
          <w:lang w:eastAsia="ru-RU"/>
        </w:rPr>
        <w:t xml:space="preserve"> в 2025 году привлечены средства в размере 486,3 тыс. рублей, </w:t>
      </w:r>
      <w:r w:rsidR="00574169">
        <w:rPr>
          <w:rFonts w:ascii="PT Astra Serif" w:eastAsia="Calibri" w:hAnsi="PT Astra Serif" w:cs="Times New Roman"/>
          <w:bCs/>
          <w:szCs w:val="28"/>
          <w:lang w:eastAsia="ru-RU"/>
        </w:rPr>
        <w:br/>
      </w:r>
      <w:r w:rsidRPr="002E14EA">
        <w:rPr>
          <w:rFonts w:ascii="PT Astra Serif" w:eastAsia="Calibri" w:hAnsi="PT Astra Serif" w:cs="Times New Roman"/>
          <w:bCs/>
          <w:szCs w:val="28"/>
          <w:lang w:eastAsia="ru-RU"/>
        </w:rPr>
        <w:t xml:space="preserve">из которых 408,6 тысяч рублей средства федерального бюджета и 77,7 тыс. рублей средства регионального бюджета. </w:t>
      </w:r>
      <w:bookmarkStart w:id="10" w:name="_Hlk190338799"/>
      <w:bookmarkEnd w:id="9"/>
    </w:p>
    <w:p w14:paraId="5A5A4F13" w14:textId="0C35D89B"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Cs/>
          <w:szCs w:val="28"/>
          <w:lang w:eastAsia="ru-RU"/>
        </w:rPr>
        <w:t xml:space="preserve">Более 8,0 млн рублей из средств областного бюджета Ульяновской области направлено в 2025 году на реализацию мер активной политики занятости населения. Часть указанные средств использована на организацию временного трудоустройства несовершеннолетних граждан в возрасте </w:t>
      </w:r>
      <w:r w:rsidRPr="002E14EA">
        <w:rPr>
          <w:rFonts w:ascii="PT Astra Serif" w:eastAsia="Calibri" w:hAnsi="PT Astra Serif" w:cs="Times New Roman"/>
          <w:bCs/>
          <w:szCs w:val="28"/>
          <w:lang w:eastAsia="ru-RU"/>
        </w:rPr>
        <w:br/>
        <w:t>от 14 до 18 лет 6 680,1 тыс. рублей, что позволило обеспечить занятостью более 4,3 тысяч ребят.</w:t>
      </w:r>
      <w:bookmarkEnd w:id="10"/>
    </w:p>
    <w:p w14:paraId="559874A7"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bCs/>
          <w:szCs w:val="28"/>
        </w:rPr>
      </w:pPr>
    </w:p>
    <w:p w14:paraId="6518054B" w14:textId="4878A5DB" w:rsidR="002E14EA" w:rsidRDefault="002E14EA" w:rsidP="002E14EA">
      <w:pPr>
        <w:widowControl w:val="0"/>
        <w:pBdr>
          <w:bottom w:val="single" w:sz="4" w:space="31" w:color="FFFFFF"/>
        </w:pBdr>
        <w:ind w:firstLine="0"/>
        <w:contextualSpacing/>
        <w:jc w:val="center"/>
        <w:rPr>
          <w:rFonts w:ascii="PT Astra Serif" w:eastAsia="Calibri" w:hAnsi="PT Astra Serif" w:cs="Times New Roman"/>
          <w:b/>
          <w:bCs/>
          <w:szCs w:val="28"/>
        </w:rPr>
      </w:pPr>
      <w:r w:rsidRPr="002E14EA">
        <w:rPr>
          <w:rFonts w:ascii="PT Astra Serif" w:eastAsia="Calibri" w:hAnsi="PT Astra Serif" w:cs="Times New Roman"/>
          <w:b/>
          <w:bCs/>
          <w:szCs w:val="28"/>
        </w:rPr>
        <w:t>Основные агрегированные показатели деятельности, позиции Ульяновской области в окружных, всероссийских и международных рейтингах</w:t>
      </w:r>
    </w:p>
    <w:p w14:paraId="577FA17E" w14:textId="77777777" w:rsidR="00815ABC" w:rsidRPr="002E14EA" w:rsidRDefault="00815ABC" w:rsidP="002E14EA">
      <w:pPr>
        <w:widowControl w:val="0"/>
        <w:pBdr>
          <w:bottom w:val="single" w:sz="4" w:space="31" w:color="FFFFFF"/>
        </w:pBdr>
        <w:ind w:firstLine="0"/>
        <w:contextualSpacing/>
        <w:jc w:val="center"/>
        <w:rPr>
          <w:rFonts w:ascii="PT Astra Serif" w:eastAsia="Calibri" w:hAnsi="PT Astra Serif" w:cs="Times New Roman"/>
          <w:b/>
          <w:bCs/>
          <w:szCs w:val="28"/>
        </w:rPr>
      </w:pPr>
    </w:p>
    <w:p w14:paraId="659000A9" w14:textId="37BA18BE" w:rsidR="002E14EA" w:rsidRDefault="002E14EA" w:rsidP="002E14EA">
      <w:pPr>
        <w:widowControl w:val="0"/>
        <w:pBdr>
          <w:bottom w:val="single" w:sz="4" w:space="31" w:color="FFFFFF"/>
        </w:pBdr>
        <w:contextualSpacing/>
        <w:rPr>
          <w:rFonts w:ascii="PT Astra Serif" w:eastAsia="Calibri" w:hAnsi="PT Astra Serif" w:cs="Times New Roman"/>
          <w:kern w:val="2"/>
          <w:szCs w:val="28"/>
        </w:rPr>
      </w:pPr>
      <w:r w:rsidRPr="002E14EA">
        <w:rPr>
          <w:rFonts w:ascii="PT Astra Serif" w:eastAsia="Calibri" w:hAnsi="PT Astra Serif" w:cs="Times New Roman"/>
          <w:kern w:val="2"/>
          <w:szCs w:val="28"/>
        </w:rPr>
        <w:t xml:space="preserve">По данным </w:t>
      </w:r>
      <w:proofErr w:type="spellStart"/>
      <w:r w:rsidRPr="002E14EA">
        <w:rPr>
          <w:rFonts w:ascii="PT Astra Serif" w:eastAsia="Calibri" w:hAnsi="PT Astra Serif" w:cs="Times New Roman"/>
          <w:kern w:val="2"/>
          <w:szCs w:val="28"/>
        </w:rPr>
        <w:t>Ульяновскстат</w:t>
      </w:r>
      <w:proofErr w:type="spellEnd"/>
      <w:r w:rsidRPr="002E14EA">
        <w:rPr>
          <w:rFonts w:ascii="PT Astra Serif" w:eastAsia="Calibri" w:hAnsi="PT Astra Serif" w:cs="Times New Roman"/>
          <w:kern w:val="2"/>
          <w:szCs w:val="28"/>
        </w:rPr>
        <w:t xml:space="preserve"> </w:t>
      </w:r>
      <w:r w:rsidRPr="002E14EA">
        <w:rPr>
          <w:rFonts w:ascii="PT Astra Serif" w:eastAsia="Calibri" w:hAnsi="PT Astra Serif" w:cs="Times New Roman"/>
          <w:b/>
          <w:kern w:val="2"/>
          <w:szCs w:val="28"/>
        </w:rPr>
        <w:t>численность занятых граждан</w:t>
      </w:r>
      <w:r w:rsidRPr="002E14EA">
        <w:rPr>
          <w:rFonts w:ascii="PT Astra Serif" w:eastAsia="Calibri" w:hAnsi="PT Astra Serif" w:cs="Times New Roman"/>
          <w:kern w:val="2"/>
          <w:szCs w:val="28"/>
        </w:rPr>
        <w:t xml:space="preserve"> в регионе </w:t>
      </w:r>
      <w:r w:rsidRPr="002E14EA">
        <w:rPr>
          <w:rFonts w:ascii="PT Astra Serif" w:eastAsia="Calibri" w:hAnsi="PT Astra Serif" w:cs="Times New Roman"/>
          <w:kern w:val="2"/>
          <w:szCs w:val="28"/>
        </w:rPr>
        <w:br/>
      </w:r>
      <w:r w:rsidR="00150597" w:rsidRPr="00150597">
        <w:rPr>
          <w:rFonts w:ascii="PT Astra Serif" w:eastAsia="Calibri" w:hAnsi="PT Astra Serif" w:cs="Times New Roman"/>
          <w:kern w:val="2"/>
          <w:szCs w:val="28"/>
        </w:rPr>
        <w:lastRenderedPageBreak/>
        <w:t xml:space="preserve">за 2025 год составила </w:t>
      </w:r>
      <w:r w:rsidR="00150597" w:rsidRPr="00150597">
        <w:rPr>
          <w:rFonts w:ascii="PT Astra Serif" w:eastAsia="Calibri" w:hAnsi="PT Astra Serif" w:cs="Times New Roman"/>
          <w:b/>
          <w:kern w:val="2"/>
          <w:szCs w:val="28"/>
        </w:rPr>
        <w:t>577,4 тысячи человек</w:t>
      </w:r>
      <w:r w:rsidR="00150597" w:rsidRPr="00150597">
        <w:rPr>
          <w:rFonts w:ascii="PT Astra Serif" w:eastAsia="Calibri" w:hAnsi="PT Astra Serif" w:cs="Times New Roman"/>
          <w:kern w:val="2"/>
          <w:szCs w:val="28"/>
        </w:rPr>
        <w:t>, а уровень участия рабочей силы достиг 59,4%.</w:t>
      </w:r>
      <w:r w:rsidR="00150597" w:rsidRPr="002E14EA">
        <w:rPr>
          <w:rFonts w:ascii="PT Astra Serif" w:eastAsia="Calibri" w:hAnsi="PT Astra Serif" w:cs="Times New Roman"/>
          <w:kern w:val="2"/>
          <w:szCs w:val="28"/>
        </w:rPr>
        <w:t xml:space="preserve"> </w:t>
      </w:r>
      <w:r w:rsidRPr="002E14EA">
        <w:rPr>
          <w:rFonts w:ascii="PT Astra Serif" w:eastAsia="Calibri" w:hAnsi="PT Astra Serif" w:cs="Times New Roman"/>
          <w:kern w:val="2"/>
          <w:szCs w:val="28"/>
        </w:rPr>
        <w:t>Отмечается рост доли занятых граждан</w:t>
      </w:r>
      <w:r w:rsidR="00150597">
        <w:rPr>
          <w:rFonts w:ascii="PT Astra Serif" w:eastAsia="Calibri" w:hAnsi="PT Astra Serif" w:cs="Times New Roman"/>
          <w:kern w:val="2"/>
          <w:szCs w:val="28"/>
        </w:rPr>
        <w:t xml:space="preserve"> </w:t>
      </w:r>
      <w:r w:rsidRPr="002E14EA">
        <w:rPr>
          <w:rFonts w:ascii="PT Astra Serif" w:eastAsia="Calibri" w:hAnsi="PT Astra Serif" w:cs="Times New Roman"/>
          <w:kern w:val="2"/>
          <w:szCs w:val="28"/>
        </w:rPr>
        <w:t xml:space="preserve">в возрастной группе от 60 лет и старше на </w:t>
      </w:r>
      <w:r w:rsidR="00150597">
        <w:rPr>
          <w:rFonts w:ascii="PT Astra Serif" w:eastAsia="Calibri" w:hAnsi="PT Astra Serif" w:cs="Times New Roman"/>
          <w:kern w:val="2"/>
          <w:szCs w:val="28"/>
        </w:rPr>
        <w:t xml:space="preserve">9,3 тысячи </w:t>
      </w:r>
      <w:r w:rsidRPr="002E14EA">
        <w:rPr>
          <w:rFonts w:ascii="PT Astra Serif" w:eastAsia="Calibri" w:hAnsi="PT Astra Serif" w:cs="Times New Roman"/>
          <w:kern w:val="2"/>
          <w:szCs w:val="28"/>
        </w:rPr>
        <w:t>человек в 2025 год</w:t>
      </w:r>
      <w:r w:rsidR="00150597">
        <w:rPr>
          <w:rFonts w:ascii="PT Astra Serif" w:eastAsia="Calibri" w:hAnsi="PT Astra Serif" w:cs="Times New Roman"/>
          <w:kern w:val="2"/>
          <w:szCs w:val="28"/>
        </w:rPr>
        <w:t>у</w:t>
      </w:r>
      <w:r w:rsidRPr="002E14EA">
        <w:rPr>
          <w:rFonts w:ascii="PT Astra Serif" w:eastAsia="Calibri" w:hAnsi="PT Astra Serif" w:cs="Times New Roman"/>
          <w:kern w:val="2"/>
          <w:szCs w:val="28"/>
        </w:rPr>
        <w:t xml:space="preserve"> по сравнению с 2024 годом.</w:t>
      </w:r>
    </w:p>
    <w:p w14:paraId="14688229" w14:textId="192B8DCA" w:rsidR="00343E0D" w:rsidRDefault="00343E0D" w:rsidP="00150597">
      <w:pPr>
        <w:widowControl w:val="0"/>
        <w:pBdr>
          <w:bottom w:val="single" w:sz="4" w:space="31" w:color="FFFFFF"/>
        </w:pBdr>
        <w:contextualSpacing/>
        <w:rPr>
          <w:rFonts w:ascii="PT Astra Serif" w:eastAsia="Calibri" w:hAnsi="PT Astra Serif" w:cs="Times New Roman"/>
          <w:kern w:val="2"/>
          <w:szCs w:val="28"/>
        </w:rPr>
      </w:pPr>
      <w:r>
        <w:rPr>
          <w:rFonts w:ascii="PT Astra Serif" w:eastAsia="Calibri" w:hAnsi="PT Astra Serif" w:cs="Times New Roman"/>
          <w:kern w:val="2"/>
          <w:szCs w:val="28"/>
        </w:rPr>
        <w:t xml:space="preserve">По данным 2025 года прирост занятых граждан по сравнению с 2024 годом отмечается в сферах «Сельское, лесное хозяйство, охота, рыболовство </w:t>
      </w:r>
      <w:r>
        <w:rPr>
          <w:rFonts w:ascii="PT Astra Serif" w:eastAsia="Calibri" w:hAnsi="PT Astra Serif" w:cs="Times New Roman"/>
          <w:kern w:val="2"/>
          <w:szCs w:val="28"/>
        </w:rPr>
        <w:br/>
        <w:t>и рыбоводство (на 13,5 тысяч человек)., «Транспортировка и хранение, деятельность в области информации и связи» (на 6,0 тысяч человек), «Деятельность в области здравоохранения и социальных услуг» (на 3,8 тысяч человек), «Добыча полезных ископаемых»(на 1,9 тысяч человек), «Водоснабжение, водоотведение, организация сбора и утилизация отходов, деятельность по ликвидации загрязнений»(на 0,9 тысяч человек)</w:t>
      </w:r>
      <w:r>
        <w:rPr>
          <w:rFonts w:ascii="PT Astra Serif" w:eastAsia="Calibri" w:hAnsi="PT Astra Serif" w:cs="Times New Roman"/>
          <w:kern w:val="2"/>
          <w:szCs w:val="28"/>
        </w:rPr>
        <w:t>.</w:t>
      </w:r>
    </w:p>
    <w:p w14:paraId="0585D824" w14:textId="5134D5F1" w:rsidR="00150597" w:rsidRPr="002E14EA" w:rsidRDefault="002E14EA" w:rsidP="00150597">
      <w:pPr>
        <w:widowControl w:val="0"/>
        <w:pBdr>
          <w:bottom w:val="single" w:sz="4" w:space="31" w:color="FFFFFF"/>
        </w:pBdr>
        <w:contextualSpacing/>
        <w:rPr>
          <w:rFonts w:ascii="PT Astra Serif" w:eastAsia="Calibri" w:hAnsi="PT Astra Serif" w:cs="Times New Roman"/>
          <w:kern w:val="2"/>
          <w:szCs w:val="28"/>
        </w:rPr>
      </w:pPr>
      <w:r w:rsidRPr="002E14EA">
        <w:rPr>
          <w:rFonts w:ascii="PT Astra Serif" w:eastAsia="Calibri" w:hAnsi="PT Astra Serif" w:cs="Times New Roman"/>
          <w:kern w:val="2"/>
          <w:szCs w:val="28"/>
        </w:rPr>
        <w:t xml:space="preserve">По </w:t>
      </w:r>
      <w:r w:rsidR="00150597">
        <w:rPr>
          <w:rFonts w:ascii="PT Astra Serif" w:eastAsia="Calibri" w:hAnsi="PT Astra Serif" w:cs="Times New Roman"/>
          <w:kern w:val="2"/>
          <w:szCs w:val="28"/>
        </w:rPr>
        <w:t>итогам 2025 года</w:t>
      </w:r>
      <w:r w:rsidRPr="002E14EA">
        <w:rPr>
          <w:rFonts w:ascii="PT Astra Serif" w:eastAsia="Calibri" w:hAnsi="PT Astra Serif" w:cs="Times New Roman"/>
          <w:kern w:val="2"/>
          <w:szCs w:val="28"/>
        </w:rPr>
        <w:t xml:space="preserve"> </w:t>
      </w:r>
      <w:r w:rsidRPr="002E14EA">
        <w:rPr>
          <w:rFonts w:ascii="PT Astra Serif" w:eastAsia="Calibri" w:hAnsi="PT Astra Serif" w:cs="Times New Roman"/>
          <w:b/>
          <w:color w:val="000000"/>
          <w:kern w:val="2"/>
          <w:szCs w:val="28"/>
        </w:rPr>
        <w:t xml:space="preserve">уровень безработицы, рассчитанный </w:t>
      </w:r>
      <w:r w:rsidRPr="002E14EA">
        <w:rPr>
          <w:rFonts w:ascii="PT Astra Serif" w:eastAsia="Calibri" w:hAnsi="PT Astra Serif" w:cs="Times New Roman"/>
          <w:b/>
          <w:color w:val="000000"/>
          <w:kern w:val="2"/>
          <w:szCs w:val="28"/>
        </w:rPr>
        <w:br/>
        <w:t>по методологии Международной организации труда, составил 1,</w:t>
      </w:r>
      <w:r w:rsidR="00150597">
        <w:rPr>
          <w:rFonts w:ascii="PT Astra Serif" w:eastAsia="Calibri" w:hAnsi="PT Astra Serif" w:cs="Times New Roman"/>
          <w:b/>
          <w:color w:val="000000"/>
          <w:kern w:val="2"/>
          <w:szCs w:val="28"/>
        </w:rPr>
        <w:t>6</w:t>
      </w:r>
      <w:r w:rsidRPr="002E14EA">
        <w:rPr>
          <w:rFonts w:ascii="PT Astra Serif" w:eastAsia="Calibri" w:hAnsi="PT Astra Serif" w:cs="Times New Roman"/>
          <w:b/>
          <w:color w:val="000000"/>
          <w:kern w:val="2"/>
          <w:szCs w:val="28"/>
        </w:rPr>
        <w:t>%,</w:t>
      </w:r>
      <w:r w:rsidRPr="002E14EA">
        <w:rPr>
          <w:rFonts w:ascii="PT Astra Serif" w:eastAsia="Calibri" w:hAnsi="PT Astra Serif" w:cs="Times New Roman"/>
          <w:kern w:val="2"/>
          <w:szCs w:val="28"/>
        </w:rPr>
        <w:t xml:space="preserve"> </w:t>
      </w:r>
      <w:r w:rsidRPr="002E14EA">
        <w:rPr>
          <w:rFonts w:ascii="PT Astra Serif" w:eastAsia="Calibri" w:hAnsi="PT Astra Serif" w:cs="Times New Roman"/>
          <w:kern w:val="2"/>
          <w:szCs w:val="28"/>
        </w:rPr>
        <w:br/>
        <w:t>а общая численность безработных граждан порядка 9,</w:t>
      </w:r>
      <w:r w:rsidR="00150597">
        <w:rPr>
          <w:rFonts w:ascii="PT Astra Serif" w:eastAsia="Calibri" w:hAnsi="PT Astra Serif" w:cs="Times New Roman"/>
          <w:kern w:val="2"/>
          <w:szCs w:val="28"/>
        </w:rPr>
        <w:t>4</w:t>
      </w:r>
      <w:r w:rsidRPr="002E14EA">
        <w:rPr>
          <w:rFonts w:ascii="PT Astra Serif" w:eastAsia="Calibri" w:hAnsi="PT Astra Serif" w:cs="Times New Roman"/>
          <w:kern w:val="2"/>
          <w:szCs w:val="28"/>
        </w:rPr>
        <w:t xml:space="preserve"> тысяч человек. Это исторически низкие значения данных показателей по региону. По Российской Федерации (</w:t>
      </w:r>
      <w:r w:rsidR="00150597">
        <w:rPr>
          <w:rFonts w:ascii="PT Astra Serif" w:eastAsia="Calibri" w:hAnsi="PT Astra Serif" w:cs="Times New Roman"/>
          <w:kern w:val="2"/>
          <w:szCs w:val="28"/>
        </w:rPr>
        <w:t>2,2</w:t>
      </w:r>
      <w:r w:rsidRPr="002E14EA">
        <w:rPr>
          <w:rFonts w:ascii="PT Astra Serif" w:eastAsia="Calibri" w:hAnsi="PT Astra Serif" w:cs="Times New Roman"/>
          <w:kern w:val="2"/>
          <w:szCs w:val="28"/>
        </w:rPr>
        <w:t xml:space="preserve">%) </w:t>
      </w:r>
      <w:r w:rsidRPr="00150597">
        <w:rPr>
          <w:rFonts w:ascii="PT Astra Serif" w:eastAsia="Calibri" w:hAnsi="PT Astra Serif" w:cs="Times New Roman"/>
          <w:kern w:val="2"/>
          <w:szCs w:val="28"/>
        </w:rPr>
        <w:t xml:space="preserve">регион </w:t>
      </w:r>
      <w:r w:rsidR="00150597" w:rsidRPr="00150597">
        <w:rPr>
          <w:rFonts w:ascii="PT Astra Serif" w:eastAsia="Calibri" w:hAnsi="PT Astra Serif" w:cs="Times New Roman"/>
          <w:kern w:val="2"/>
          <w:szCs w:val="28"/>
        </w:rPr>
        <w:t>делит с 16 по 24 места вместе с Московской, Орловской, Тамбовской, Кировской, Саратовской, Пензенской, Челябинской областями и Республикой Башкортостан.</w:t>
      </w:r>
      <w:r w:rsidR="00150597" w:rsidRPr="002E14EA">
        <w:rPr>
          <w:rFonts w:ascii="PT Astra Serif" w:eastAsia="Calibri" w:hAnsi="PT Astra Serif" w:cs="Times New Roman"/>
          <w:kern w:val="2"/>
          <w:szCs w:val="28"/>
        </w:rPr>
        <w:t xml:space="preserve"> </w:t>
      </w:r>
    </w:p>
    <w:p w14:paraId="4B36B689" w14:textId="3DD676A9" w:rsidR="002E14EA" w:rsidRPr="002E14EA" w:rsidRDefault="002E14EA" w:rsidP="002E14EA">
      <w:pPr>
        <w:widowControl w:val="0"/>
        <w:pBdr>
          <w:bottom w:val="single" w:sz="4" w:space="31" w:color="FFFFFF"/>
        </w:pBdr>
        <w:contextualSpacing/>
        <w:rPr>
          <w:rFonts w:ascii="PT Astra Serif" w:eastAsia="Calibri" w:hAnsi="PT Astra Serif" w:cs="Times New Roman"/>
          <w:iCs/>
          <w:kern w:val="2"/>
          <w:szCs w:val="28"/>
        </w:rPr>
      </w:pPr>
      <w:r w:rsidRPr="002E14EA">
        <w:rPr>
          <w:rFonts w:ascii="PT Astra Serif" w:eastAsia="Calibri" w:hAnsi="PT Astra Serif" w:cs="Times New Roman"/>
          <w:iCs/>
          <w:kern w:val="2"/>
          <w:szCs w:val="28"/>
        </w:rPr>
        <w:t>По итогам 3 квартала 2025 года в Ульяновской области значения целевых показателей по уровню безработицы среди молодежи составили в возрасте от 15 до 24 лет 3,7% при плановом показателе на 2025 год 8,0%, в возрасте от 15 до 29 лет 1,7% при плановом показателе на 2025 год 5,0%.</w:t>
      </w:r>
    </w:p>
    <w:p w14:paraId="0D0593B1" w14:textId="4C7F98EF" w:rsidR="002E14EA" w:rsidRPr="002E14EA" w:rsidRDefault="002E14EA" w:rsidP="002E14EA">
      <w:pPr>
        <w:widowControl w:val="0"/>
        <w:pBdr>
          <w:bottom w:val="single" w:sz="4" w:space="31" w:color="FFFFFF"/>
        </w:pBdr>
        <w:contextualSpacing/>
        <w:rPr>
          <w:rFonts w:ascii="PT Astra Serif" w:eastAsia="Calibri" w:hAnsi="PT Astra Serif" w:cs="Times New Roman"/>
          <w:iCs/>
          <w:kern w:val="2"/>
          <w:szCs w:val="28"/>
        </w:rPr>
      </w:pPr>
      <w:r w:rsidRPr="002E14EA">
        <w:rPr>
          <w:rFonts w:ascii="PT Astra Serif" w:eastAsia="Calibri" w:hAnsi="PT Astra Serif" w:cs="Times New Roman"/>
          <w:iCs/>
          <w:kern w:val="2"/>
          <w:szCs w:val="28"/>
        </w:rPr>
        <w:t>Уровень безработицы среди молодежи в регионе в возрастных категориях от 15 до 24 лет и от 15 до 29 лет по данным за 3 квартал 2025 года снизился в 2 раза по сравнению с аналогичным периодом 2024 года. Кроме этого, растёт уровень занятости молодежи в регионе – в возрастной категории от 15 до 24 лет в 2025 году прирост в 3% по сравнению с аналогичным периодом 2024 года.</w:t>
      </w:r>
    </w:p>
    <w:p w14:paraId="29FFB2B0" w14:textId="72CF8015" w:rsidR="002E14EA" w:rsidRPr="002E14EA" w:rsidRDefault="002E14EA" w:rsidP="002E14EA">
      <w:pPr>
        <w:widowControl w:val="0"/>
        <w:pBdr>
          <w:bottom w:val="single" w:sz="4" w:space="31" w:color="FFFFFF"/>
        </w:pBdr>
        <w:tabs>
          <w:tab w:val="left" w:pos="2870"/>
        </w:tabs>
        <w:contextualSpacing/>
        <w:rPr>
          <w:rFonts w:ascii="PT Astra Serif" w:eastAsia="Calibri" w:hAnsi="PT Astra Serif" w:cs="Times New Roman"/>
          <w:bCs/>
          <w:color w:val="000000"/>
          <w:kern w:val="2"/>
          <w:szCs w:val="28"/>
        </w:rPr>
      </w:pPr>
      <w:r w:rsidRPr="002E14EA">
        <w:rPr>
          <w:rFonts w:ascii="PT Astra Serif" w:eastAsia="Calibri" w:hAnsi="PT Astra Serif" w:cs="Times New Roman"/>
          <w:b/>
          <w:bCs/>
          <w:color w:val="000000"/>
          <w:kern w:val="2"/>
          <w:szCs w:val="28"/>
        </w:rPr>
        <w:t>Уровень регистрируемой безработицы</w:t>
      </w:r>
      <w:r w:rsidRPr="002E14EA">
        <w:rPr>
          <w:rFonts w:ascii="PT Astra Serif" w:eastAsia="Calibri" w:hAnsi="PT Astra Serif" w:cs="Times New Roman"/>
          <w:bCs/>
          <w:color w:val="000000"/>
          <w:kern w:val="2"/>
          <w:szCs w:val="28"/>
        </w:rPr>
        <w:t xml:space="preserve"> по состоянию на 01.01.2026 снизился по сравнению с аналогичным периодом прошлого года </w:t>
      </w:r>
      <w:r w:rsidRPr="002E14EA">
        <w:rPr>
          <w:rFonts w:ascii="PT Astra Serif" w:eastAsia="Calibri" w:hAnsi="PT Astra Serif" w:cs="Times New Roman"/>
          <w:bCs/>
          <w:color w:val="000000"/>
          <w:kern w:val="2"/>
          <w:szCs w:val="28"/>
        </w:rPr>
        <w:br/>
        <w:t xml:space="preserve">на 0,02 процентных пункта и </w:t>
      </w:r>
      <w:r w:rsidRPr="002E14EA">
        <w:rPr>
          <w:rFonts w:ascii="PT Astra Serif" w:eastAsia="Calibri" w:hAnsi="PT Astra Serif" w:cs="Times New Roman"/>
          <w:b/>
          <w:bCs/>
          <w:color w:val="000000"/>
          <w:kern w:val="2"/>
          <w:szCs w:val="28"/>
        </w:rPr>
        <w:t>составил 0,21%.</w:t>
      </w:r>
      <w:r w:rsidRPr="002E14EA">
        <w:rPr>
          <w:rFonts w:ascii="PT Astra Serif" w:eastAsia="Calibri" w:hAnsi="PT Astra Serif" w:cs="Times New Roman"/>
          <w:bCs/>
          <w:color w:val="000000"/>
          <w:kern w:val="2"/>
          <w:szCs w:val="28"/>
        </w:rPr>
        <w:t xml:space="preserve"> По данному показателю Ульяновская область занимает 4 место по П</w:t>
      </w:r>
      <w:r w:rsidR="00150597">
        <w:rPr>
          <w:rFonts w:ascii="PT Astra Serif" w:eastAsia="Calibri" w:hAnsi="PT Astra Serif" w:cs="Times New Roman"/>
          <w:bCs/>
          <w:color w:val="000000"/>
          <w:kern w:val="2"/>
          <w:szCs w:val="28"/>
        </w:rPr>
        <w:t xml:space="preserve">ФО </w:t>
      </w:r>
      <w:r w:rsidRPr="002E14EA">
        <w:rPr>
          <w:rFonts w:ascii="PT Astra Serif" w:eastAsia="Calibri" w:hAnsi="PT Astra Serif" w:cs="Times New Roman"/>
          <w:bCs/>
          <w:color w:val="000000"/>
          <w:kern w:val="2"/>
          <w:szCs w:val="28"/>
        </w:rPr>
        <w:t>после Нижегородской области, Кировской области и Республики Татарстан.</w:t>
      </w:r>
    </w:p>
    <w:p w14:paraId="54728FFD" w14:textId="3341A111" w:rsidR="002E14EA" w:rsidRDefault="002E14EA" w:rsidP="002E14EA">
      <w:pPr>
        <w:widowControl w:val="0"/>
        <w:pBdr>
          <w:bottom w:val="single" w:sz="4" w:space="31" w:color="FFFFFF"/>
        </w:pBdr>
        <w:contextualSpacing/>
        <w:rPr>
          <w:rFonts w:ascii="PT Astra Serif" w:eastAsia="Times New Roman" w:hAnsi="PT Astra Serif" w:cs="Times New Roman"/>
          <w:b/>
          <w:kern w:val="2"/>
          <w:szCs w:val="28"/>
        </w:rPr>
      </w:pPr>
      <w:r w:rsidRPr="002E14EA">
        <w:rPr>
          <w:rFonts w:ascii="PT Astra Serif" w:eastAsia="Calibri" w:hAnsi="PT Astra Serif" w:cs="Times New Roman"/>
          <w:bCs/>
          <w:szCs w:val="28"/>
        </w:rPr>
        <w:t>В 2025 году в органы службы занятости региона</w:t>
      </w:r>
      <w:r w:rsidRPr="002E14EA">
        <w:rPr>
          <w:rFonts w:ascii="PT Astra Serif" w:eastAsia="Calibri" w:hAnsi="PT Astra Serif" w:cs="Times New Roman"/>
          <w:szCs w:val="28"/>
        </w:rPr>
        <w:t xml:space="preserve"> </w:t>
      </w:r>
      <w:r w:rsidRPr="002E14EA">
        <w:rPr>
          <w:rFonts w:ascii="PT Astra Serif" w:eastAsia="Times New Roman" w:hAnsi="PT Astra Serif" w:cs="Times New Roman"/>
          <w:b/>
          <w:kern w:val="2"/>
          <w:szCs w:val="28"/>
        </w:rPr>
        <w:t>обратилось за содействием в поиске работы более 15,1 тысяч человек,</w:t>
      </w:r>
      <w:r w:rsidRPr="002E14EA">
        <w:rPr>
          <w:rFonts w:ascii="PT Astra Serif" w:eastAsia="Times New Roman" w:hAnsi="PT Astra Serif" w:cs="Times New Roman"/>
          <w:kern w:val="2"/>
          <w:szCs w:val="28"/>
        </w:rPr>
        <w:t xml:space="preserve"> оказано свыше 73,0 тысяч мер государственной поддержки услуг. При содействии службы занятости в 2025 году трудоустроено свыше 8,5 тысяч человек. Процент трудоустройства составляет 58,1%. Благодаря проделанной работе ежемесячно в региональный бюджет в виде </w:t>
      </w:r>
      <w:r w:rsidRPr="002E14EA">
        <w:rPr>
          <w:rFonts w:ascii="PT Astra Serif" w:eastAsia="Times New Roman" w:hAnsi="PT Astra Serif" w:cs="Times New Roman"/>
          <w:b/>
          <w:kern w:val="2"/>
          <w:szCs w:val="28"/>
        </w:rPr>
        <w:t>налога на доходы физических лиц привлекается более 1,4 млн рублей.</w:t>
      </w:r>
    </w:p>
    <w:p w14:paraId="77CCD8F9" w14:textId="77777777" w:rsidR="00343E0D" w:rsidRPr="002E14EA" w:rsidRDefault="00343E0D" w:rsidP="002E14EA">
      <w:pPr>
        <w:widowControl w:val="0"/>
        <w:pBdr>
          <w:bottom w:val="single" w:sz="4" w:space="31" w:color="FFFFFF"/>
        </w:pBdr>
        <w:contextualSpacing/>
        <w:rPr>
          <w:rFonts w:ascii="PT Astra Serif" w:eastAsia="Calibri" w:hAnsi="PT Astra Serif" w:cs="Times New Roman"/>
          <w:b/>
          <w:bCs/>
          <w:szCs w:val="28"/>
        </w:rPr>
      </w:pPr>
    </w:p>
    <w:p w14:paraId="7C2DD097" w14:textId="7E231403" w:rsidR="002E14EA" w:rsidRDefault="002E14EA" w:rsidP="002E14EA">
      <w:pPr>
        <w:widowControl w:val="0"/>
        <w:pBdr>
          <w:bottom w:val="single" w:sz="4" w:space="31" w:color="FFFFFF"/>
        </w:pBdr>
        <w:ind w:firstLine="0"/>
        <w:contextualSpacing/>
        <w:jc w:val="center"/>
        <w:rPr>
          <w:rFonts w:ascii="PT Astra Serif" w:eastAsia="Calibri" w:hAnsi="PT Astra Serif" w:cs="Times New Roman"/>
          <w:b/>
          <w:bCs/>
          <w:szCs w:val="28"/>
        </w:rPr>
      </w:pPr>
      <w:r w:rsidRPr="002E14EA">
        <w:rPr>
          <w:rFonts w:ascii="PT Astra Serif" w:eastAsia="Calibri" w:hAnsi="PT Astra Serif" w:cs="Times New Roman"/>
          <w:b/>
          <w:bCs/>
          <w:szCs w:val="28"/>
        </w:rPr>
        <w:t>Число занятых в отрасли. Харак</w:t>
      </w:r>
      <w:r w:rsidR="00150597">
        <w:rPr>
          <w:rFonts w:ascii="PT Astra Serif" w:eastAsia="Calibri" w:hAnsi="PT Astra Serif" w:cs="Times New Roman"/>
          <w:b/>
          <w:bCs/>
          <w:szCs w:val="28"/>
        </w:rPr>
        <w:t>теристика подведомственной сети</w:t>
      </w:r>
    </w:p>
    <w:p w14:paraId="22C3ADB4" w14:textId="77777777" w:rsidR="00150597" w:rsidRPr="002E14EA" w:rsidRDefault="00150597" w:rsidP="002E14EA">
      <w:pPr>
        <w:widowControl w:val="0"/>
        <w:pBdr>
          <w:bottom w:val="single" w:sz="4" w:space="31" w:color="FFFFFF"/>
        </w:pBdr>
        <w:ind w:firstLine="0"/>
        <w:contextualSpacing/>
        <w:jc w:val="center"/>
        <w:rPr>
          <w:rFonts w:ascii="PT Astra Serif" w:eastAsia="Times New Roman" w:hAnsi="PT Astra Serif" w:cs="Times New Roman"/>
          <w:szCs w:val="28"/>
          <w:lang w:eastAsia="ru-RU"/>
        </w:rPr>
      </w:pPr>
    </w:p>
    <w:p w14:paraId="04A8375B"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rPr>
      </w:pPr>
      <w:r w:rsidRPr="002E14EA">
        <w:rPr>
          <w:rFonts w:ascii="PT Astra Serif" w:eastAsia="Calibri" w:hAnsi="PT Astra Serif" w:cs="Times New Roman"/>
          <w:bCs/>
          <w:szCs w:val="28"/>
        </w:rPr>
        <w:t xml:space="preserve">У Агентства одно подведомственное учреждение областное государственное казенное учреждение «Кадровый центр Ульяновской </w:t>
      </w:r>
      <w:r w:rsidRPr="002E14EA">
        <w:rPr>
          <w:rFonts w:ascii="PT Astra Serif" w:eastAsia="Calibri" w:hAnsi="PT Astra Serif" w:cs="Times New Roman"/>
          <w:bCs/>
          <w:szCs w:val="28"/>
        </w:rPr>
        <w:lastRenderedPageBreak/>
        <w:t xml:space="preserve">области» (далее – ОГКУ Кадровый центр). Структура ОГКУ Кадровый центр включает 13 отделов и 26 филиалов с утверждённой штатная численностью </w:t>
      </w:r>
      <w:r w:rsidRPr="002E14EA">
        <w:rPr>
          <w:rFonts w:ascii="PT Astra Serif" w:eastAsia="Calibri" w:hAnsi="PT Astra Serif" w:cs="Times New Roman"/>
          <w:bCs/>
          <w:szCs w:val="28"/>
        </w:rPr>
        <w:br/>
        <w:t xml:space="preserve">в 340 единиц (в 2024 году — 341 человек). </w:t>
      </w:r>
    </w:p>
    <w:p w14:paraId="44605355"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u w:val="single"/>
        </w:rPr>
      </w:pPr>
    </w:p>
    <w:p w14:paraId="3E69C357"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szCs w:val="28"/>
        </w:rPr>
      </w:pPr>
      <w:r w:rsidRPr="002E14EA">
        <w:rPr>
          <w:rFonts w:ascii="PT Astra Serif" w:eastAsia="Calibri" w:hAnsi="PT Astra Serif" w:cs="Times New Roman"/>
          <w:b/>
          <w:szCs w:val="28"/>
        </w:rPr>
        <w:t xml:space="preserve">Итоги реализации </w:t>
      </w:r>
      <w:r w:rsidRPr="002E14EA">
        <w:rPr>
          <w:rFonts w:ascii="PT Astra Serif" w:eastAsia="Calibri" w:hAnsi="PT Astra Serif" w:cs="Times New Roman"/>
          <w:b/>
          <w:szCs w:val="28"/>
        </w:rPr>
        <w:br/>
        <w:t>национальных (федеральных) проектов (программ)</w:t>
      </w:r>
    </w:p>
    <w:p w14:paraId="7A77A3D0"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szCs w:val="28"/>
        </w:rPr>
      </w:pPr>
    </w:p>
    <w:p w14:paraId="5AD46024" w14:textId="69B97AD0" w:rsidR="002E14EA" w:rsidRPr="002E14EA" w:rsidRDefault="002E14EA" w:rsidP="002E14EA">
      <w:pPr>
        <w:widowControl w:val="0"/>
        <w:pBdr>
          <w:bottom w:val="single" w:sz="4" w:space="31" w:color="FFFFFF"/>
        </w:pBdr>
        <w:contextualSpacing/>
        <w:rPr>
          <w:rFonts w:ascii="PT Astra Serif" w:eastAsia="Times New Roman" w:hAnsi="PT Astra Serif" w:cs="Times New Roman"/>
          <w:szCs w:val="28"/>
          <w:lang w:eastAsia="ru-RU"/>
        </w:rPr>
      </w:pPr>
      <w:r w:rsidRPr="002E14EA">
        <w:rPr>
          <w:rFonts w:ascii="PT Astra Serif" w:eastAsia="Calibri" w:hAnsi="PT Astra Serif" w:cs="Times New Roman"/>
          <w:szCs w:val="28"/>
        </w:rPr>
        <w:t xml:space="preserve">Начиная с 2025 года, Агентство участвует в реализации национального проекта «Кадры». </w:t>
      </w:r>
      <w:r w:rsidRPr="002E14EA">
        <w:rPr>
          <w:rFonts w:ascii="PT Astra Serif" w:eastAsia="Times New Roman" w:hAnsi="PT Astra Serif" w:cs="Times New Roman"/>
          <w:color w:val="000000"/>
          <w:szCs w:val="28"/>
          <w:lang w:eastAsia="ru-RU"/>
        </w:rPr>
        <w:t xml:space="preserve">В рамках регионального проекта «Образование для рынка труда» национального проекта «Кадры», в целях обеспечения кадрами необходимой квалификации предприятий оборонно-промышленного комплекса (далее – ОПК), проводится работа, направленная на реализацию мероприятий по организации профессионального обучения </w:t>
      </w:r>
      <w:r w:rsidR="00150597">
        <w:rPr>
          <w:rFonts w:ascii="PT Astra Serif" w:eastAsia="Times New Roman" w:hAnsi="PT Astra Serif" w:cs="Times New Roman"/>
          <w:color w:val="000000"/>
          <w:szCs w:val="28"/>
          <w:lang w:eastAsia="ru-RU"/>
        </w:rPr>
        <w:br/>
      </w:r>
      <w:r w:rsidRPr="002E14EA">
        <w:rPr>
          <w:rFonts w:ascii="PT Astra Serif" w:eastAsia="Times New Roman" w:hAnsi="PT Astra Serif" w:cs="Times New Roman"/>
          <w:color w:val="000000"/>
          <w:szCs w:val="28"/>
          <w:lang w:eastAsia="ru-RU"/>
        </w:rPr>
        <w:t xml:space="preserve">и дополнительного профессионального образования работников организаций ОПК, а также граждан, обратившихся в органы службы занятости за содействием в поиске подходящей работы и заключивших ученический договор с предприятиями ОПК. Плановый показатель по численности работников, </w:t>
      </w:r>
      <w:r w:rsidRPr="002E14EA">
        <w:rPr>
          <w:rFonts w:ascii="PT Astra Serif" w:eastAsia="Times New Roman" w:hAnsi="PT Astra Serif" w:cs="Times New Roman"/>
          <w:b/>
          <w:color w:val="000000"/>
          <w:szCs w:val="28"/>
          <w:lang w:eastAsia="ru-RU"/>
        </w:rPr>
        <w:t>прошедших обучение, составил 167 человек.</w:t>
      </w:r>
      <w:r w:rsidRPr="002E14EA">
        <w:rPr>
          <w:rFonts w:ascii="PT Astra Serif" w:eastAsia="Times New Roman" w:hAnsi="PT Astra Serif" w:cs="Times New Roman"/>
          <w:color w:val="000000"/>
          <w:szCs w:val="28"/>
          <w:lang w:eastAsia="ru-RU"/>
        </w:rPr>
        <w:t xml:space="preserve"> По состоянию на 01.01.2026 </w:t>
      </w:r>
      <w:r w:rsidRPr="002E14EA">
        <w:rPr>
          <w:rFonts w:ascii="PT Astra Serif" w:eastAsia="Times New Roman" w:hAnsi="PT Astra Serif" w:cs="Times New Roman"/>
          <w:szCs w:val="28"/>
          <w:lang w:eastAsia="ru-RU"/>
        </w:rPr>
        <w:t>целевой показатель выполнен на 402% (671 человек).</w:t>
      </w:r>
    </w:p>
    <w:p w14:paraId="20792F67" w14:textId="77777777" w:rsidR="002E14EA" w:rsidRPr="002E14EA" w:rsidRDefault="002E14EA" w:rsidP="002E14EA">
      <w:pPr>
        <w:widowControl w:val="0"/>
        <w:pBdr>
          <w:bottom w:val="single" w:sz="4" w:space="31" w:color="FFFFFF"/>
        </w:pBdr>
        <w:contextualSpacing/>
        <w:rPr>
          <w:rFonts w:ascii="PT Astra Serif" w:eastAsia="Times New Roman" w:hAnsi="PT Astra Serif" w:cs="Times New Roman"/>
          <w:szCs w:val="28"/>
          <w:lang w:eastAsia="ru-RU"/>
        </w:rPr>
      </w:pPr>
      <w:r w:rsidRPr="002E14EA">
        <w:rPr>
          <w:rFonts w:ascii="PT Astra Serif" w:eastAsia="Times New Roman" w:hAnsi="PT Astra Serif" w:cs="Times New Roman"/>
          <w:szCs w:val="28"/>
          <w:lang w:eastAsia="ru-RU"/>
        </w:rPr>
        <w:t xml:space="preserve">Во исполнение мероприятий </w:t>
      </w:r>
      <w:r w:rsidRPr="002E14EA">
        <w:rPr>
          <w:rFonts w:ascii="PT Astra Serif" w:eastAsia="Times New Roman" w:hAnsi="PT Astra Serif" w:cs="Times New Roman"/>
          <w:b/>
          <w:szCs w:val="28"/>
          <w:lang w:eastAsia="ru-RU"/>
        </w:rPr>
        <w:t>федерального проекта «Активные меры содействия занятости»</w:t>
      </w:r>
      <w:r w:rsidRPr="002E14EA">
        <w:rPr>
          <w:rFonts w:ascii="PT Astra Serif" w:eastAsia="Times New Roman" w:hAnsi="PT Astra Serif" w:cs="Times New Roman"/>
          <w:szCs w:val="28"/>
          <w:lang w:eastAsia="ru-RU"/>
        </w:rPr>
        <w:t xml:space="preserve"> национального проекта «Кадры» Агентством </w:t>
      </w:r>
      <w:r w:rsidRPr="002E14EA">
        <w:rPr>
          <w:rFonts w:ascii="PT Astra Serif" w:eastAsia="Times New Roman" w:hAnsi="PT Astra Serif" w:cs="Times New Roman"/>
          <w:b/>
          <w:szCs w:val="28"/>
          <w:lang w:eastAsia="ru-RU"/>
        </w:rPr>
        <w:t>достигнуты следующие показатели</w:t>
      </w:r>
      <w:r w:rsidRPr="002E14EA">
        <w:rPr>
          <w:rFonts w:ascii="PT Astra Serif" w:eastAsia="Times New Roman" w:hAnsi="PT Astra Serif" w:cs="Times New Roman"/>
          <w:szCs w:val="28"/>
          <w:lang w:eastAsia="ru-RU"/>
        </w:rPr>
        <w:t xml:space="preserve"> за 2025 год: </w:t>
      </w:r>
    </w:p>
    <w:p w14:paraId="641C5297" w14:textId="5F50CE7D" w:rsidR="002E14EA" w:rsidRPr="002E14EA" w:rsidRDefault="002E14EA" w:rsidP="002E14EA">
      <w:pPr>
        <w:widowControl w:val="0"/>
        <w:pBdr>
          <w:bottom w:val="single" w:sz="4" w:space="31" w:color="FFFFFF"/>
        </w:pBdr>
        <w:contextualSpacing/>
        <w:rPr>
          <w:rFonts w:ascii="PT Astra Serif" w:eastAsia="Times New Roman" w:hAnsi="PT Astra Serif" w:cs="Times New Roman"/>
          <w:color w:val="000000"/>
          <w:szCs w:val="28"/>
          <w:shd w:val="clear" w:color="auto" w:fill="FFFFFF"/>
          <w:lang w:eastAsia="ru-RU"/>
        </w:rPr>
      </w:pPr>
      <w:r w:rsidRPr="002E14EA">
        <w:rPr>
          <w:rFonts w:ascii="PT Astra Serif" w:eastAsia="Times New Roman" w:hAnsi="PT Astra Serif" w:cs="Times New Roman"/>
          <w:color w:val="000000"/>
          <w:szCs w:val="28"/>
          <w:shd w:val="clear" w:color="auto" w:fill="FFFFFF"/>
          <w:lang w:eastAsia="ru-RU"/>
        </w:rPr>
        <w:t xml:space="preserve">3 работодателя («Частное учреждение «Ульяновский культурно – спортивный реабилитационный центр Всероссийского общества слепых»; </w:t>
      </w:r>
      <w:r w:rsidRPr="002E14EA">
        <w:rPr>
          <w:rFonts w:ascii="PT Astra Serif" w:eastAsia="Times New Roman" w:hAnsi="PT Astra Serif" w:cs="Times New Roman"/>
          <w:szCs w:val="28"/>
          <w:lang w:eastAsia="ru-RU"/>
        </w:rPr>
        <w:t>Потребительский кооператив «</w:t>
      </w:r>
      <w:proofErr w:type="spellStart"/>
      <w:r w:rsidRPr="002E14EA">
        <w:rPr>
          <w:rFonts w:ascii="PT Astra Serif" w:eastAsia="Times New Roman" w:hAnsi="PT Astra Serif" w:cs="Times New Roman"/>
          <w:szCs w:val="28"/>
          <w:lang w:eastAsia="ru-RU"/>
        </w:rPr>
        <w:t>Барышское</w:t>
      </w:r>
      <w:proofErr w:type="spellEnd"/>
      <w:r w:rsidRPr="002E14EA">
        <w:rPr>
          <w:rFonts w:ascii="PT Astra Serif" w:eastAsia="Times New Roman" w:hAnsi="PT Astra Serif" w:cs="Times New Roman"/>
          <w:szCs w:val="28"/>
          <w:lang w:eastAsia="ru-RU"/>
        </w:rPr>
        <w:t xml:space="preserve"> </w:t>
      </w:r>
      <w:proofErr w:type="spellStart"/>
      <w:r w:rsidRPr="002E14EA">
        <w:rPr>
          <w:rFonts w:ascii="PT Astra Serif" w:eastAsia="Times New Roman" w:hAnsi="PT Astra Serif" w:cs="Times New Roman"/>
          <w:szCs w:val="28"/>
          <w:lang w:eastAsia="ru-RU"/>
        </w:rPr>
        <w:t>Райпо</w:t>
      </w:r>
      <w:proofErr w:type="spellEnd"/>
      <w:r w:rsidRPr="002E14EA">
        <w:rPr>
          <w:rFonts w:ascii="PT Astra Serif" w:eastAsia="Times New Roman" w:hAnsi="PT Astra Serif" w:cs="Times New Roman"/>
          <w:szCs w:val="28"/>
          <w:lang w:eastAsia="ru-RU"/>
        </w:rPr>
        <w:t xml:space="preserve">»; ООО Частная охранная организация «Союз+») </w:t>
      </w:r>
      <w:r w:rsidRPr="002E14EA">
        <w:rPr>
          <w:rFonts w:ascii="PT Astra Serif" w:eastAsia="Times New Roman" w:hAnsi="PT Astra Serif" w:cs="Times New Roman"/>
          <w:color w:val="000000"/>
          <w:szCs w:val="28"/>
          <w:shd w:val="clear" w:color="auto" w:fill="FFFFFF"/>
          <w:lang w:eastAsia="ru-RU"/>
        </w:rPr>
        <w:t xml:space="preserve">закупили оборудование для организации рабочих мест для 4 инвалидов </w:t>
      </w:r>
      <w:r w:rsidRPr="002E14EA">
        <w:rPr>
          <w:rFonts w:ascii="PT Astra Serif" w:eastAsia="Times New Roman" w:hAnsi="PT Astra Serif" w:cs="Times New Roman"/>
          <w:bCs/>
          <w:iCs/>
          <w:szCs w:val="28"/>
          <w:lang w:eastAsia="ru-RU"/>
        </w:rPr>
        <w:t xml:space="preserve">I и II группы во исполнение приказа Фонда пенсионного </w:t>
      </w:r>
      <w:r w:rsidR="00815ABC">
        <w:rPr>
          <w:rFonts w:ascii="PT Astra Serif" w:eastAsia="Times New Roman" w:hAnsi="PT Astra Serif" w:cs="Times New Roman"/>
          <w:bCs/>
          <w:iCs/>
          <w:szCs w:val="28"/>
          <w:lang w:eastAsia="ru-RU"/>
        </w:rPr>
        <w:br/>
      </w:r>
      <w:r w:rsidRPr="002E14EA">
        <w:rPr>
          <w:rFonts w:ascii="PT Astra Serif" w:eastAsia="Times New Roman" w:hAnsi="PT Astra Serif" w:cs="Times New Roman"/>
          <w:bCs/>
          <w:iCs/>
          <w:szCs w:val="28"/>
          <w:lang w:eastAsia="ru-RU"/>
        </w:rPr>
        <w:t>и социального страхования Российской Федерации от 29.12.2025 № 2712 «Об утверждении Решения о порядке предоставления субсидий в целях создания (оборудования) рабочих мест для трудоустройства инвалидов»</w:t>
      </w:r>
      <w:r w:rsidRPr="002E14EA">
        <w:rPr>
          <w:rFonts w:ascii="PT Astra Serif" w:eastAsia="Times New Roman" w:hAnsi="PT Astra Serif" w:cs="Times New Roman"/>
          <w:color w:val="000000"/>
          <w:szCs w:val="28"/>
          <w:shd w:val="clear" w:color="auto" w:fill="FFFFFF"/>
          <w:lang w:eastAsia="ru-RU"/>
        </w:rPr>
        <w:t>. Прогнозный показател</w:t>
      </w:r>
      <w:r w:rsidR="00150597">
        <w:rPr>
          <w:rFonts w:ascii="PT Astra Serif" w:eastAsia="Times New Roman" w:hAnsi="PT Astra Serif" w:cs="Times New Roman"/>
          <w:color w:val="000000"/>
          <w:szCs w:val="28"/>
          <w:shd w:val="clear" w:color="auto" w:fill="FFFFFF"/>
          <w:lang w:eastAsia="ru-RU"/>
        </w:rPr>
        <w:t>ь по реализации приказа Фонда № </w:t>
      </w:r>
      <w:r w:rsidRPr="002E14EA">
        <w:rPr>
          <w:rFonts w:ascii="PT Astra Serif" w:eastAsia="Times New Roman" w:hAnsi="PT Astra Serif" w:cs="Times New Roman"/>
          <w:color w:val="000000"/>
          <w:szCs w:val="28"/>
          <w:shd w:val="clear" w:color="auto" w:fill="FFFFFF"/>
          <w:lang w:eastAsia="ru-RU"/>
        </w:rPr>
        <w:t>2712 выполнена 133,3%;</w:t>
      </w:r>
    </w:p>
    <w:p w14:paraId="2D995255" w14:textId="12266273" w:rsidR="002E14EA" w:rsidRPr="002E14EA" w:rsidRDefault="002E14EA" w:rsidP="002E14EA">
      <w:pPr>
        <w:widowControl w:val="0"/>
        <w:pBdr>
          <w:bottom w:val="single" w:sz="4" w:space="31" w:color="FFFFFF"/>
        </w:pBdr>
        <w:contextualSpacing/>
        <w:rPr>
          <w:rFonts w:ascii="PT Astra Serif" w:eastAsia="Times New Roman" w:hAnsi="PT Astra Serif" w:cs="Times New Roman"/>
          <w:color w:val="000000"/>
          <w:spacing w:val="-4"/>
          <w:szCs w:val="28"/>
          <w:lang w:eastAsia="ru-RU"/>
        </w:rPr>
      </w:pPr>
      <w:r w:rsidRPr="002E14EA">
        <w:rPr>
          <w:rFonts w:ascii="PT Astra Serif" w:eastAsia="Times New Roman" w:hAnsi="PT Astra Serif" w:cs="Times New Roman"/>
          <w:color w:val="000000"/>
          <w:spacing w:val="-4"/>
          <w:szCs w:val="28"/>
          <w:lang w:eastAsia="ru-RU"/>
        </w:rPr>
        <w:t>на предприятия Ульяновской области трудоустроено 18 граждан, переехавших с целью трудоустройства из другой местности или других территорий в рамках исполнения приказа Фонда пенсионного и социального страхования Росси</w:t>
      </w:r>
      <w:r w:rsidR="00150597">
        <w:rPr>
          <w:rFonts w:ascii="PT Astra Serif" w:eastAsia="Times New Roman" w:hAnsi="PT Astra Serif" w:cs="Times New Roman"/>
          <w:color w:val="000000"/>
          <w:spacing w:val="-4"/>
          <w:szCs w:val="28"/>
          <w:lang w:eastAsia="ru-RU"/>
        </w:rPr>
        <w:t>йской Федерации от 29.12.2025 № </w:t>
      </w:r>
      <w:r w:rsidRPr="002E14EA">
        <w:rPr>
          <w:rFonts w:ascii="PT Astra Serif" w:eastAsia="Times New Roman" w:hAnsi="PT Astra Serif" w:cs="Times New Roman"/>
          <w:color w:val="000000"/>
          <w:spacing w:val="-4"/>
          <w:szCs w:val="28"/>
          <w:lang w:eastAsia="ru-RU"/>
        </w:rPr>
        <w:t xml:space="preserve">2713 «Об утверждении Решения о порядке предоставления субсидии на </w:t>
      </w:r>
      <w:proofErr w:type="gramStart"/>
      <w:r w:rsidRPr="002E14EA">
        <w:rPr>
          <w:rFonts w:ascii="PT Astra Serif" w:eastAsia="Times New Roman" w:hAnsi="PT Astra Serif" w:cs="Times New Roman"/>
          <w:color w:val="000000"/>
          <w:spacing w:val="-4"/>
          <w:szCs w:val="28"/>
          <w:lang w:eastAsia="ru-RU"/>
        </w:rPr>
        <w:t>государственную</w:t>
      </w:r>
      <w:proofErr w:type="gramEnd"/>
      <w:r w:rsidRPr="002E14EA">
        <w:rPr>
          <w:rFonts w:ascii="PT Astra Serif" w:eastAsia="Times New Roman" w:hAnsi="PT Astra Serif" w:cs="Times New Roman"/>
          <w:color w:val="000000"/>
          <w:spacing w:val="-4"/>
          <w:szCs w:val="28"/>
          <w:lang w:eastAsia="ru-RU"/>
        </w:rPr>
        <w:t xml:space="preserve"> поддержу трудоустройства работников из другой местности или других территорий». Выполнение прогнозного показателя составляет 180,0%;</w:t>
      </w:r>
    </w:p>
    <w:p w14:paraId="6DF85ACC" w14:textId="0F6C463C" w:rsidR="002E14EA" w:rsidRPr="002E14EA" w:rsidRDefault="002E14EA" w:rsidP="002E14EA">
      <w:pPr>
        <w:widowControl w:val="0"/>
        <w:pBdr>
          <w:bottom w:val="single" w:sz="4" w:space="31" w:color="FFFFFF"/>
        </w:pBdr>
        <w:contextualSpacing/>
        <w:rPr>
          <w:rFonts w:ascii="PT Astra Serif" w:eastAsia="Times New Roman" w:hAnsi="PT Astra Serif" w:cs="Times New Roman"/>
          <w:szCs w:val="28"/>
          <w:lang w:eastAsia="ru-RU"/>
        </w:rPr>
      </w:pPr>
      <w:r w:rsidRPr="002E14EA">
        <w:rPr>
          <w:rFonts w:ascii="PT Astra Serif" w:eastAsia="Times New Roman" w:hAnsi="PT Astra Serif" w:cs="Times New Roman"/>
          <w:color w:val="000000"/>
          <w:szCs w:val="28"/>
          <w:shd w:val="clear" w:color="auto" w:fill="FFFFFF"/>
          <w:lang w:eastAsia="ru-RU"/>
        </w:rPr>
        <w:t>в рамках исполнения приказа Фонда пенсионного и социального страхования Росси</w:t>
      </w:r>
      <w:r w:rsidR="00150597">
        <w:rPr>
          <w:rFonts w:ascii="PT Astra Serif" w:eastAsia="Times New Roman" w:hAnsi="PT Astra Serif" w:cs="Times New Roman"/>
          <w:color w:val="000000"/>
          <w:szCs w:val="28"/>
          <w:shd w:val="clear" w:color="auto" w:fill="FFFFFF"/>
          <w:lang w:eastAsia="ru-RU"/>
        </w:rPr>
        <w:t>йской Федерации от 29.12.2025 № </w:t>
      </w:r>
      <w:r w:rsidRPr="002E14EA">
        <w:rPr>
          <w:rFonts w:ascii="PT Astra Serif" w:eastAsia="Times New Roman" w:hAnsi="PT Astra Serif" w:cs="Times New Roman"/>
          <w:color w:val="000000"/>
          <w:szCs w:val="28"/>
          <w:shd w:val="clear" w:color="auto" w:fill="FFFFFF"/>
          <w:lang w:eastAsia="ru-RU"/>
        </w:rPr>
        <w:t xml:space="preserve">2714 </w:t>
      </w:r>
      <w:r w:rsidRPr="002E14EA">
        <w:rPr>
          <w:rFonts w:ascii="PT Astra Serif" w:eastAsia="Calibri" w:hAnsi="PT Astra Serif" w:cs="Times New Roman"/>
          <w:color w:val="000000"/>
          <w:szCs w:val="28"/>
          <w:shd w:val="clear" w:color="auto" w:fill="FFFFFF"/>
          <w:lang w:eastAsia="ru-RU"/>
        </w:rPr>
        <w:t>«Об утверждении Решения о порядке предоставления субсидии на государственную поддержку стимулирования найма отдельных категорий граждан»</w:t>
      </w:r>
      <w:r w:rsidRPr="002E14EA">
        <w:rPr>
          <w:rFonts w:ascii="PT Astra Serif" w:eastAsia="Times New Roman" w:hAnsi="PT Astra Serif" w:cs="Times New Roman"/>
          <w:color w:val="000000"/>
          <w:szCs w:val="28"/>
          <w:shd w:val="clear" w:color="auto" w:fill="FFFFFF"/>
          <w:lang w:eastAsia="ru-RU"/>
        </w:rPr>
        <w:t xml:space="preserve"> работодателями Ульяновской области трудоустроено 24 гражданина </w:t>
      </w:r>
      <w:r w:rsidRPr="002E14EA">
        <w:rPr>
          <w:rFonts w:ascii="PT Astra Serif" w:eastAsia="Times New Roman" w:hAnsi="PT Astra Serif" w:cs="Times New Roman"/>
          <w:szCs w:val="28"/>
          <w:lang w:eastAsia="ru-RU"/>
        </w:rPr>
        <w:t xml:space="preserve">отдельной категории, </w:t>
      </w:r>
      <w:r w:rsidRPr="002E14EA">
        <w:rPr>
          <w:rFonts w:ascii="PT Astra Serif" w:eastAsia="Times New Roman" w:hAnsi="PT Astra Serif" w:cs="Times New Roman"/>
          <w:szCs w:val="28"/>
          <w:lang w:eastAsia="ru-RU"/>
        </w:rPr>
        <w:br/>
        <w:t xml:space="preserve">в том числе </w:t>
      </w:r>
      <w:r w:rsidRPr="002E14EA">
        <w:rPr>
          <w:rFonts w:ascii="PT Astra Serif" w:eastAsia="Times New Roman" w:hAnsi="PT Astra Serif" w:cs="Times New Roman"/>
          <w:color w:val="000000"/>
          <w:szCs w:val="28"/>
          <w:shd w:val="clear" w:color="auto" w:fill="FFFFFF"/>
          <w:lang w:eastAsia="ru-RU"/>
        </w:rPr>
        <w:t xml:space="preserve">6 ветеранов боевых действий, принимавших участие (содействовавшими выполнению задач) в СВО; 5 граждан, признанных </w:t>
      </w:r>
      <w:r w:rsidRPr="002E14EA">
        <w:rPr>
          <w:rFonts w:ascii="PT Astra Serif" w:eastAsia="Times New Roman" w:hAnsi="PT Astra Serif" w:cs="Times New Roman"/>
          <w:color w:val="000000"/>
          <w:szCs w:val="28"/>
          <w:shd w:val="clear" w:color="auto" w:fill="FFFFFF"/>
          <w:lang w:eastAsia="ru-RU"/>
        </w:rPr>
        <w:br/>
      </w:r>
      <w:r w:rsidRPr="002E14EA">
        <w:rPr>
          <w:rFonts w:ascii="PT Astra Serif" w:eastAsia="Times New Roman" w:hAnsi="PT Astra Serif" w:cs="Times New Roman"/>
          <w:color w:val="000000"/>
          <w:szCs w:val="28"/>
          <w:shd w:val="clear" w:color="auto" w:fill="FFFFFF"/>
          <w:lang w:eastAsia="ru-RU"/>
        </w:rPr>
        <w:lastRenderedPageBreak/>
        <w:t xml:space="preserve">в установленном порядке инвалидами; 7 граждан, уволенных с военной службы; 6 женщины из категорий одинокие и многодетные родители. </w:t>
      </w:r>
      <w:r w:rsidRPr="002E14EA">
        <w:rPr>
          <w:rFonts w:ascii="PT Astra Serif" w:eastAsia="Times New Roman" w:hAnsi="PT Astra Serif" w:cs="Times New Roman"/>
          <w:szCs w:val="28"/>
          <w:lang w:eastAsia="ru-RU"/>
        </w:rPr>
        <w:t>Выполнение прогнозного показателя составляет 141,2%;</w:t>
      </w:r>
    </w:p>
    <w:p w14:paraId="6BC02EBB"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rPr>
      </w:pPr>
      <w:r w:rsidRPr="002E14EA">
        <w:rPr>
          <w:rFonts w:ascii="PT Astra Serif" w:eastAsia="Calibri" w:hAnsi="PT Astra Serif" w:cs="Times New Roman"/>
          <w:bCs/>
          <w:szCs w:val="28"/>
        </w:rPr>
        <w:t>прошли обучение 1 178 человек, что составило 117,3% от годового показателя, в том числе 798 человек, относящихся к категории граждан, ищущих работу по приоритетным направлениям на рынке труда. Занятость граждан после завершения обучения составила 80,3%.</w:t>
      </w:r>
    </w:p>
    <w:p w14:paraId="46CDA80E" w14:textId="5EC3E8A3"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Cs/>
          <w:szCs w:val="28"/>
          <w:lang w:eastAsia="ru-RU"/>
        </w:rPr>
        <w:t>В рамках регионального проекта «Содействие занятости» национального проекта «Демография» по итогам 2024 года значение показателя «Доля занятых граждан из числа участников дополнительных мероприятий» составило 99,7%.</w:t>
      </w:r>
    </w:p>
    <w:p w14:paraId="5AB4FF1F" w14:textId="05850346" w:rsidR="002E14EA" w:rsidRPr="002E14EA" w:rsidRDefault="002E14EA" w:rsidP="002E14EA">
      <w:pPr>
        <w:widowControl w:val="0"/>
        <w:pBdr>
          <w:bottom w:val="single" w:sz="4" w:space="31" w:color="FFFFFF"/>
        </w:pBdr>
        <w:contextualSpacing/>
        <w:rPr>
          <w:rFonts w:ascii="PT Astra Serif" w:eastAsia="Calibri" w:hAnsi="PT Astra Serif" w:cs="Times New Roman"/>
          <w:szCs w:val="28"/>
          <w:lang w:eastAsia="ru-RU"/>
        </w:rPr>
      </w:pPr>
      <w:r w:rsidRPr="002E14EA">
        <w:rPr>
          <w:rFonts w:ascii="PT Astra Serif" w:eastAsia="Calibri" w:hAnsi="PT Astra Serif" w:cs="Times New Roman"/>
          <w:bCs/>
          <w:szCs w:val="28"/>
          <w:lang w:eastAsia="ru-RU"/>
        </w:rPr>
        <w:t xml:space="preserve">Благодаря реализации национального проекта с 2021 по 2023 годы прошла </w:t>
      </w:r>
      <w:r w:rsidRPr="002E14EA">
        <w:rPr>
          <w:rFonts w:ascii="PT Astra Serif" w:eastAsia="Calibri" w:hAnsi="PT Astra Serif" w:cs="Times New Roman"/>
          <w:b/>
          <w:bCs/>
          <w:szCs w:val="28"/>
          <w:lang w:eastAsia="ru-RU"/>
        </w:rPr>
        <w:t>модернизация</w:t>
      </w:r>
      <w:r w:rsidRPr="002E14EA">
        <w:rPr>
          <w:rFonts w:ascii="PT Astra Serif" w:eastAsia="Calibri" w:hAnsi="PT Astra Serif" w:cs="Times New Roman"/>
          <w:b/>
          <w:szCs w:val="28"/>
          <w:lang w:eastAsia="ru-RU"/>
        </w:rPr>
        <w:t xml:space="preserve"> службы занятости региона</w:t>
      </w:r>
      <w:r w:rsidRPr="002E14EA">
        <w:rPr>
          <w:rFonts w:ascii="PT Astra Serif" w:eastAsia="Calibri" w:hAnsi="PT Astra Serif" w:cs="Times New Roman"/>
          <w:szCs w:val="28"/>
          <w:lang w:eastAsia="ru-RU"/>
        </w:rPr>
        <w:t>. В результате в каждом муниципальном образовании Ульяновской области появился модернизированны</w:t>
      </w:r>
      <w:r w:rsidR="00150597">
        <w:rPr>
          <w:rFonts w:ascii="PT Astra Serif" w:eastAsia="Calibri" w:hAnsi="PT Astra Serif" w:cs="Times New Roman"/>
          <w:szCs w:val="28"/>
          <w:lang w:eastAsia="ru-RU"/>
        </w:rPr>
        <w:t>й</w:t>
      </w:r>
      <w:r w:rsidRPr="002E14EA">
        <w:rPr>
          <w:rFonts w:ascii="PT Astra Serif" w:eastAsia="Calibri" w:hAnsi="PT Astra Serif" w:cs="Times New Roman"/>
          <w:szCs w:val="28"/>
          <w:lang w:eastAsia="ru-RU"/>
        </w:rPr>
        <w:t xml:space="preserve"> кадровый центр</w:t>
      </w:r>
      <w:r w:rsidRPr="002E14EA">
        <w:rPr>
          <w:rFonts w:ascii="PT Astra Serif" w:eastAsia="Calibri" w:hAnsi="PT Astra Serif" w:cs="Times New Roman"/>
          <w:bCs/>
          <w:szCs w:val="28"/>
          <w:lang w:eastAsia="ru-RU"/>
        </w:rPr>
        <w:t xml:space="preserve">. </w:t>
      </w:r>
      <w:r w:rsidRPr="002E14EA">
        <w:rPr>
          <w:rFonts w:ascii="PT Astra Serif" w:eastAsia="Calibri" w:hAnsi="PT Astra Serif" w:cs="Times New Roman"/>
          <w:szCs w:val="28"/>
          <w:lang w:eastAsia="ru-RU"/>
        </w:rPr>
        <w:t xml:space="preserve">Итогом работы обновленный центров </w:t>
      </w:r>
      <w:r w:rsidR="00150597">
        <w:rPr>
          <w:rFonts w:ascii="PT Astra Serif" w:eastAsia="Calibri" w:hAnsi="PT Astra Serif" w:cs="Times New Roman"/>
          <w:szCs w:val="28"/>
          <w:lang w:eastAsia="ru-RU"/>
        </w:rPr>
        <w:br/>
      </w:r>
      <w:r w:rsidRPr="002E14EA">
        <w:rPr>
          <w:rFonts w:ascii="PT Astra Serif" w:eastAsia="Calibri" w:hAnsi="PT Astra Serif" w:cs="Times New Roman"/>
          <w:szCs w:val="28"/>
          <w:lang w:eastAsia="ru-RU"/>
        </w:rPr>
        <w:t xml:space="preserve">в 2024 году стало сокращение по сравнению с базовым годом (2021 годом) на 38% основных показателей модернизации «Среднее время трудоустройства граждан, обратившихся в центр занятости за содействием в поиске подходящей работы» (снижено с 113 до 70 дней) и «Среднее время состояния на регистрационном учете в качестве безработного в центре занятости населения» (снижено с 117 до 72 дней). </w:t>
      </w:r>
    </w:p>
    <w:p w14:paraId="6CAC2086"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Cs/>
          <w:szCs w:val="28"/>
          <w:lang w:eastAsia="ru-RU"/>
        </w:rPr>
      </w:pPr>
      <w:r w:rsidRPr="002E14EA">
        <w:rPr>
          <w:rFonts w:ascii="PT Astra Serif" w:eastAsia="Calibri" w:hAnsi="PT Astra Serif" w:cs="Times New Roman"/>
          <w:bCs/>
          <w:szCs w:val="28"/>
          <w:lang w:eastAsia="ru-RU"/>
        </w:rPr>
        <w:t>В 2024 году в рамках реализации региональной программы «Содействие занятости» национального проекта «Демография» 244 гражданина, ищущих работу и зарегистрированных в региональной службе занятости, включая безработных граждан, приняли участие в оплачиваемых общественных работах и прошли переобучение 545 работников предприятий оборонно-промышленного комплекса.</w:t>
      </w:r>
    </w:p>
    <w:p w14:paraId="2268B3D6"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u w:val="single"/>
        </w:rPr>
      </w:pPr>
    </w:p>
    <w:p w14:paraId="25C7D5A9" w14:textId="77777777" w:rsidR="002E14EA" w:rsidRPr="002E14EA" w:rsidRDefault="002E14EA" w:rsidP="00574169">
      <w:pPr>
        <w:widowControl w:val="0"/>
        <w:pBdr>
          <w:bottom w:val="single" w:sz="4" w:space="31" w:color="FFFFFF"/>
        </w:pBdr>
        <w:ind w:firstLine="0"/>
        <w:contextualSpacing/>
        <w:jc w:val="center"/>
        <w:rPr>
          <w:rFonts w:ascii="PT Astra Serif" w:eastAsia="Calibri" w:hAnsi="PT Astra Serif" w:cs="Times New Roman"/>
          <w:b/>
          <w:szCs w:val="28"/>
        </w:rPr>
      </w:pPr>
      <w:r w:rsidRPr="002E14EA">
        <w:rPr>
          <w:rFonts w:ascii="PT Astra Serif" w:eastAsia="Calibri" w:hAnsi="PT Astra Serif" w:cs="Times New Roman"/>
          <w:b/>
          <w:szCs w:val="28"/>
        </w:rPr>
        <w:t>Итоги 2025 года</w:t>
      </w:r>
    </w:p>
    <w:p w14:paraId="7E5C81B8" w14:textId="77777777" w:rsidR="002E14EA" w:rsidRPr="002E14EA" w:rsidRDefault="002E14EA" w:rsidP="00574169">
      <w:pPr>
        <w:widowControl w:val="0"/>
        <w:pBdr>
          <w:bottom w:val="single" w:sz="4" w:space="31" w:color="FFFFFF"/>
        </w:pBdr>
        <w:ind w:firstLine="0"/>
        <w:contextualSpacing/>
        <w:jc w:val="center"/>
        <w:rPr>
          <w:rFonts w:ascii="PT Astra Serif" w:eastAsia="Calibri" w:hAnsi="PT Astra Serif" w:cs="Times New Roman"/>
          <w:b/>
          <w:szCs w:val="28"/>
          <w:u w:val="single"/>
        </w:rPr>
      </w:pPr>
    </w:p>
    <w:p w14:paraId="3DE95B11" w14:textId="77777777" w:rsidR="002E14EA" w:rsidRPr="002E14EA" w:rsidRDefault="002E14EA" w:rsidP="00574169">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Качественное прогнозирование рынка труда. Анализ опроса перспективной кадровой потребности в целях формирования КЦП</w:t>
      </w:r>
    </w:p>
    <w:p w14:paraId="3C577251"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szCs w:val="28"/>
        </w:rPr>
      </w:pPr>
    </w:p>
    <w:p w14:paraId="6C2BED25" w14:textId="77777777" w:rsidR="00343E0D"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рамках федерального проекта «Управление рынком труда», входящего в структуру национального проекта «Кадры» предусмотрено формирование </w:t>
      </w:r>
      <w:r w:rsidR="00815ABC">
        <w:rPr>
          <w:rFonts w:ascii="PT Astra Serif" w:eastAsia="Calibri" w:hAnsi="PT Astra Serif" w:cs="Times New Roman"/>
          <w:szCs w:val="28"/>
        </w:rPr>
        <w:br/>
      </w:r>
      <w:r w:rsidRPr="002E14EA">
        <w:rPr>
          <w:rFonts w:ascii="PT Astra Serif" w:eastAsia="Calibri" w:hAnsi="PT Astra Serif" w:cs="Times New Roman"/>
          <w:szCs w:val="28"/>
        </w:rPr>
        <w:t xml:space="preserve">и ежегодная актуализация прогноза потребности отраслей экономики в кадрах на семилетний период. Прогноз потребности в кадрах формируется ежегодно в отраслевом, региональном и профессионально-квалификационном разрезах, в основе которого, в первую очередь, лежат результаты Всероссийского опроса работодателей (далее — Опрос). </w:t>
      </w:r>
    </w:p>
    <w:p w14:paraId="27F87CF4" w14:textId="4E31EBB2"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При формировании прогноза на 2026 - 2032 годы учитывались сведения более 3,5 тысяч работодателей о потребности в профессиональных кадрах, полученные в рамках Опроса в 2025 году, тенденции в изменении профессионально-квалификационной структуры занятых и структуры спроса на труд, целевые экономические показатели социально-экономического </w:t>
      </w:r>
      <w:r w:rsidRPr="002E14EA">
        <w:rPr>
          <w:rFonts w:ascii="PT Astra Serif" w:eastAsia="Calibri" w:hAnsi="PT Astra Serif" w:cs="Times New Roman"/>
          <w:szCs w:val="28"/>
        </w:rPr>
        <w:lastRenderedPageBreak/>
        <w:t>развития Ульяновской области, проекты, включённые в документы стратегического планирования и будущие демографические тренды.</w:t>
      </w:r>
    </w:p>
    <w:p w14:paraId="02DE5D63"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перспективе до 2032 года ежегодная численность занятых </w:t>
      </w:r>
      <w:r w:rsidRPr="002E14EA">
        <w:rPr>
          <w:rFonts w:ascii="PT Astra Serif" w:eastAsia="Calibri" w:hAnsi="PT Astra Serif" w:cs="Times New Roman"/>
          <w:szCs w:val="28"/>
        </w:rPr>
        <w:br/>
        <w:t xml:space="preserve">в Ульяновской области прогнозируется в среднем 558,8 тысяч человек. Суммарная замещающая потребность в кадрах за последующие пять лет может составить 68,0 тысяч человек. </w:t>
      </w:r>
    </w:p>
    <w:p w14:paraId="27B140AF"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Можно отметить, что наибольшую потребность в кадрах на прогнозный период будет отражена в таких отраслях, как: обрабатывающее производство, обеспечение электроэнергией, деятельность в области информации и связи, транспортировка и хранение. </w:t>
      </w:r>
    </w:p>
    <w:p w14:paraId="560B4960" w14:textId="7C76F521"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профессионально-квалификационном разрезе сохранится высокая потребность в квалифицированных рабочих, среднем медицинском персонале и специалистах высшей квалификации - в первую очередь инженеры, </w:t>
      </w:r>
      <w:r w:rsidR="00B50768">
        <w:rPr>
          <w:rFonts w:ascii="PT Astra Serif" w:eastAsia="Calibri" w:hAnsi="PT Astra Serif" w:cs="Times New Roman"/>
          <w:szCs w:val="28"/>
        </w:rPr>
        <w:br/>
      </w:r>
      <w:r w:rsidRPr="002E14EA">
        <w:rPr>
          <w:rFonts w:ascii="PT Astra Serif" w:eastAsia="Calibri" w:hAnsi="PT Astra Serif" w:cs="Times New Roman"/>
          <w:szCs w:val="28"/>
        </w:rPr>
        <w:t>IT-специалисты, врачи и учёные.</w:t>
      </w:r>
    </w:p>
    <w:p w14:paraId="0A0AC384"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p>
    <w:p w14:paraId="59FB580C"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Трудоустройство участников СВО и ветеранов боевых действий</w:t>
      </w:r>
    </w:p>
    <w:p w14:paraId="1A6DADF0"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p>
    <w:p w14:paraId="7CB6810A" w14:textId="5F216A99"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На территории Ульяновской области выстроена комплексная системная работа кадровых центров «Работа России» совместно с филиалом Государственного фонда поддержки участников СВО «Защитники Отечества» по Ульяновской области</w:t>
      </w:r>
      <w:r w:rsidR="00B014EB">
        <w:rPr>
          <w:rFonts w:ascii="PT Astra Serif" w:eastAsia="Calibri" w:hAnsi="PT Astra Serif" w:cs="Times New Roman"/>
          <w:szCs w:val="28"/>
        </w:rPr>
        <w:t xml:space="preserve"> (</w:t>
      </w:r>
      <w:proofErr w:type="spellStart"/>
      <w:r w:rsidR="00B014EB">
        <w:rPr>
          <w:rFonts w:ascii="PT Astra Serif" w:eastAsia="Calibri" w:hAnsi="PT Astra Serif" w:cs="Times New Roman"/>
          <w:szCs w:val="28"/>
        </w:rPr>
        <w:t>далеее</w:t>
      </w:r>
      <w:proofErr w:type="spellEnd"/>
      <w:r w:rsidR="00B014EB">
        <w:rPr>
          <w:rFonts w:ascii="PT Astra Serif" w:eastAsia="Calibri" w:hAnsi="PT Astra Serif" w:cs="Times New Roman"/>
          <w:szCs w:val="28"/>
        </w:rPr>
        <w:t xml:space="preserve"> – Фонд </w:t>
      </w:r>
      <w:r w:rsidR="00B014EB" w:rsidRPr="002E14EA">
        <w:rPr>
          <w:rFonts w:ascii="PT Astra Serif" w:eastAsia="Calibri" w:hAnsi="PT Astra Serif" w:cs="Times New Roman"/>
          <w:szCs w:val="28"/>
        </w:rPr>
        <w:t>«Защитники Отечества»</w:t>
      </w:r>
      <w:r w:rsidR="00B014EB">
        <w:rPr>
          <w:rFonts w:ascii="PT Astra Serif" w:eastAsia="Calibri" w:hAnsi="PT Astra Serif" w:cs="Times New Roman"/>
          <w:szCs w:val="28"/>
        </w:rPr>
        <w:t>)</w:t>
      </w:r>
      <w:r w:rsidRPr="002E14EA">
        <w:rPr>
          <w:rFonts w:ascii="PT Astra Serif" w:eastAsia="Calibri" w:hAnsi="PT Astra Serif" w:cs="Times New Roman"/>
          <w:szCs w:val="28"/>
        </w:rPr>
        <w:t xml:space="preserve">, федеральными органами медико-социальной экспертизы, главами администраций муниципальных образований и городских округов региона </w:t>
      </w:r>
      <w:r w:rsidR="00B014EB">
        <w:rPr>
          <w:rFonts w:ascii="PT Astra Serif" w:eastAsia="Calibri" w:hAnsi="PT Astra Serif" w:cs="Times New Roman"/>
          <w:szCs w:val="28"/>
        </w:rPr>
        <w:br/>
      </w:r>
      <w:r w:rsidRPr="002E14EA">
        <w:rPr>
          <w:rFonts w:ascii="PT Astra Serif" w:eastAsia="Calibri" w:hAnsi="PT Astra Serif" w:cs="Times New Roman"/>
          <w:szCs w:val="28"/>
        </w:rPr>
        <w:t xml:space="preserve">и работодателями-партнёрами по вопросам трудоустройства участников специальной военной операции, ветеранов боевых действий, в том числе </w:t>
      </w:r>
      <w:r w:rsidR="00B014EB">
        <w:rPr>
          <w:rFonts w:ascii="PT Astra Serif" w:eastAsia="Calibri" w:hAnsi="PT Astra Serif" w:cs="Times New Roman"/>
          <w:szCs w:val="28"/>
        </w:rPr>
        <w:br/>
      </w:r>
      <w:r w:rsidRPr="002E14EA">
        <w:rPr>
          <w:rFonts w:ascii="PT Astra Serif" w:eastAsia="Calibri" w:hAnsi="PT Astra Serif" w:cs="Times New Roman"/>
          <w:szCs w:val="28"/>
        </w:rPr>
        <w:t>с инвалидностью, получивших ранение (травму, контузию, увечье) или заболевание в связи с участием в боевых действиях, с учётом индивидуальной жизненной ситуации каждого гражданина. Ведомства работают сообща, обеспечивая бесшовный маршрут от выявления потребности в доходном деле до трудоустройства.</w:t>
      </w:r>
    </w:p>
    <w:p w14:paraId="008146F6" w14:textId="0AB61DBD"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По данным филиала Фонда </w:t>
      </w:r>
      <w:r w:rsidR="00B014EB" w:rsidRPr="002E14EA">
        <w:rPr>
          <w:rFonts w:ascii="PT Astra Serif" w:eastAsia="Calibri" w:hAnsi="PT Astra Serif" w:cs="Times New Roman"/>
          <w:szCs w:val="28"/>
        </w:rPr>
        <w:t xml:space="preserve">«Защитники Отечества» </w:t>
      </w:r>
      <w:r w:rsidRPr="002E14EA">
        <w:rPr>
          <w:rFonts w:ascii="PT Astra Serif" w:eastAsia="Calibri" w:hAnsi="PT Astra Serif" w:cs="Times New Roman"/>
          <w:szCs w:val="28"/>
        </w:rPr>
        <w:t xml:space="preserve">на сегодняшний день </w:t>
      </w:r>
      <w:r w:rsidRPr="002E14EA">
        <w:rPr>
          <w:rFonts w:ascii="PT Astra Serif" w:eastAsia="Calibri" w:hAnsi="PT Astra Serif" w:cs="Times New Roman"/>
          <w:b/>
          <w:szCs w:val="28"/>
        </w:rPr>
        <w:t>1 1</w:t>
      </w:r>
      <w:r w:rsidR="00B014EB">
        <w:rPr>
          <w:rFonts w:ascii="PT Astra Serif" w:eastAsia="Calibri" w:hAnsi="PT Astra Serif" w:cs="Times New Roman"/>
          <w:b/>
          <w:szCs w:val="28"/>
        </w:rPr>
        <w:t>68</w:t>
      </w:r>
      <w:r w:rsidRPr="002E14EA">
        <w:rPr>
          <w:rFonts w:ascii="PT Astra Serif" w:eastAsia="Calibri" w:hAnsi="PT Astra Serif" w:cs="Times New Roman"/>
          <w:b/>
          <w:szCs w:val="28"/>
        </w:rPr>
        <w:t xml:space="preserve"> бойцов вернулось в регион. </w:t>
      </w:r>
      <w:r w:rsidRPr="002E14EA">
        <w:rPr>
          <w:rFonts w:ascii="PT Astra Serif" w:eastAsia="Calibri" w:hAnsi="PT Astra Serif" w:cs="Times New Roman"/>
          <w:szCs w:val="28"/>
        </w:rPr>
        <w:t>В том числе 3</w:t>
      </w:r>
      <w:r w:rsidR="00B014EB">
        <w:rPr>
          <w:rFonts w:ascii="PT Astra Serif" w:eastAsia="Calibri" w:hAnsi="PT Astra Serif" w:cs="Times New Roman"/>
          <w:szCs w:val="28"/>
        </w:rPr>
        <w:t>56</w:t>
      </w:r>
      <w:r w:rsidRPr="002E14EA">
        <w:rPr>
          <w:rFonts w:ascii="PT Astra Serif" w:eastAsia="Calibri" w:hAnsi="PT Astra Serif" w:cs="Times New Roman"/>
          <w:szCs w:val="28"/>
        </w:rPr>
        <w:t xml:space="preserve"> человек </w:t>
      </w:r>
      <w:r w:rsidR="00B014EB">
        <w:rPr>
          <w:rFonts w:ascii="PT Astra Serif" w:eastAsia="Calibri" w:hAnsi="PT Astra Serif" w:cs="Times New Roman"/>
          <w:szCs w:val="28"/>
        </w:rPr>
        <w:br/>
      </w:r>
      <w:r w:rsidRPr="002E14EA">
        <w:rPr>
          <w:rFonts w:ascii="PT Astra Serif" w:eastAsia="Calibri" w:hAnsi="PT Astra Serif" w:cs="Times New Roman"/>
          <w:szCs w:val="28"/>
        </w:rPr>
        <w:t>с инвалидностью, 279 человек с судимостью. Из числа вернувшихся граждан 60% уже нашли свое рабочее место (6</w:t>
      </w:r>
      <w:r w:rsidR="00B014EB">
        <w:rPr>
          <w:rFonts w:ascii="PT Astra Serif" w:eastAsia="Calibri" w:hAnsi="PT Astra Serif" w:cs="Times New Roman"/>
          <w:szCs w:val="28"/>
        </w:rPr>
        <w:t>92</w:t>
      </w:r>
      <w:r w:rsidRPr="002E14EA">
        <w:rPr>
          <w:rFonts w:ascii="PT Astra Serif" w:eastAsia="Calibri" w:hAnsi="PT Astra Serif" w:cs="Times New Roman"/>
          <w:szCs w:val="28"/>
        </w:rPr>
        <w:t xml:space="preserve"> человек трудоустроено, из них 34,</w:t>
      </w:r>
      <w:r w:rsidR="00B014EB">
        <w:rPr>
          <w:rFonts w:ascii="PT Astra Serif" w:eastAsia="Calibri" w:hAnsi="PT Astra Serif" w:cs="Times New Roman"/>
          <w:szCs w:val="28"/>
        </w:rPr>
        <w:t>8</w:t>
      </w:r>
      <w:r w:rsidRPr="002E14EA">
        <w:rPr>
          <w:rFonts w:ascii="PT Astra Serif" w:eastAsia="Calibri" w:hAnsi="PT Astra Serif" w:cs="Times New Roman"/>
          <w:szCs w:val="28"/>
        </w:rPr>
        <w:t xml:space="preserve">% инвалидов, </w:t>
      </w:r>
      <w:r w:rsidR="00B014EB">
        <w:rPr>
          <w:rFonts w:ascii="PT Astra Serif" w:eastAsia="Calibri" w:hAnsi="PT Astra Serif" w:cs="Times New Roman"/>
          <w:szCs w:val="28"/>
        </w:rPr>
        <w:t>62,0</w:t>
      </w:r>
      <w:r w:rsidRPr="002E14EA">
        <w:rPr>
          <w:rFonts w:ascii="PT Astra Serif" w:eastAsia="Calibri" w:hAnsi="PT Astra Serif" w:cs="Times New Roman"/>
          <w:szCs w:val="28"/>
        </w:rPr>
        <w:t>% имеет судимость).</w:t>
      </w:r>
    </w:p>
    <w:p w14:paraId="7A8BF540"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2025 году </w:t>
      </w:r>
      <w:r w:rsidRPr="002E14EA">
        <w:rPr>
          <w:rFonts w:ascii="PT Astra Serif" w:eastAsia="Calibri" w:hAnsi="PT Astra Serif" w:cs="Times New Roman"/>
          <w:b/>
          <w:szCs w:val="28"/>
        </w:rPr>
        <w:t>в кадровые центры обратилось 124 участника СВО</w:t>
      </w:r>
      <w:r w:rsidRPr="002E14EA">
        <w:rPr>
          <w:rFonts w:ascii="PT Astra Serif" w:eastAsia="Calibri" w:hAnsi="PT Astra Serif" w:cs="Times New Roman"/>
          <w:szCs w:val="28"/>
        </w:rPr>
        <w:t xml:space="preserve">, </w:t>
      </w:r>
      <w:r w:rsidRPr="002E14EA">
        <w:rPr>
          <w:rFonts w:ascii="PT Astra Serif" w:eastAsia="Calibri" w:hAnsi="PT Astra Serif" w:cs="Times New Roman"/>
          <w:szCs w:val="28"/>
        </w:rPr>
        <w:br/>
        <w:t xml:space="preserve">в том числе с инвалидностью 30 человек, из которых трудоустроен 41 человек, из них 7 человек с инвалидностью. </w:t>
      </w:r>
    </w:p>
    <w:p w14:paraId="664C86B2" w14:textId="60BE56B6"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При первом обращении в филиал </w:t>
      </w:r>
      <w:r w:rsidR="00B014EB">
        <w:rPr>
          <w:rFonts w:ascii="PT Astra Serif" w:eastAsia="Calibri" w:hAnsi="PT Astra Serif" w:cs="Times New Roman"/>
          <w:szCs w:val="28"/>
        </w:rPr>
        <w:t>Фонда</w:t>
      </w:r>
      <w:r w:rsidRPr="002E14EA">
        <w:rPr>
          <w:rFonts w:ascii="PT Astra Serif" w:eastAsia="Calibri" w:hAnsi="PT Astra Serif" w:cs="Times New Roman"/>
          <w:szCs w:val="28"/>
        </w:rPr>
        <w:t xml:space="preserve"> </w:t>
      </w:r>
      <w:r w:rsidR="00B014EB" w:rsidRPr="002E14EA">
        <w:rPr>
          <w:rFonts w:ascii="PT Astra Serif" w:eastAsia="Calibri" w:hAnsi="PT Astra Serif" w:cs="Times New Roman"/>
          <w:szCs w:val="28"/>
        </w:rPr>
        <w:t xml:space="preserve">«Защитники Отечества» </w:t>
      </w:r>
      <w:r w:rsidRPr="002E14EA">
        <w:rPr>
          <w:rFonts w:ascii="PT Astra Serif" w:eastAsia="Calibri" w:hAnsi="PT Astra Serif" w:cs="Times New Roman"/>
          <w:szCs w:val="28"/>
        </w:rPr>
        <w:t>проводится опрос по выявлению желания пройти обучение. Выявлено 56 человек, желающих получить новую профессию либо повысить квалификацию по имеющейся. Так, например, выявлено 10 человек, желающих пройти обучение по профессии «водитель» различных категорий.</w:t>
      </w:r>
    </w:p>
    <w:p w14:paraId="20D83601"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2025 году прошли обучение 11 ветеранов боевых действий в ДНР, ЛНР, Запорожье, Херсоне и на Украине, уволенных с военной службы, по </w:t>
      </w:r>
      <w:r w:rsidRPr="002E14EA">
        <w:rPr>
          <w:rFonts w:ascii="PT Astra Serif" w:eastAsia="Calibri" w:hAnsi="PT Astra Serif" w:cs="Times New Roman"/>
          <w:szCs w:val="28"/>
        </w:rPr>
        <w:lastRenderedPageBreak/>
        <w:t xml:space="preserve">таким программам, как водитель автомобиля категории D, водитель погрузчика, тракторист категории С, </w:t>
      </w:r>
      <w:proofErr w:type="spellStart"/>
      <w:r w:rsidRPr="002E14EA">
        <w:rPr>
          <w:rFonts w:ascii="PT Astra Serif" w:eastAsia="Calibri" w:hAnsi="PT Astra Serif" w:cs="Times New Roman"/>
          <w:szCs w:val="28"/>
        </w:rPr>
        <w:t>электрогазосварщик</w:t>
      </w:r>
      <w:proofErr w:type="spellEnd"/>
      <w:r w:rsidRPr="002E14EA">
        <w:rPr>
          <w:rFonts w:ascii="PT Astra Serif" w:eastAsia="Calibri" w:hAnsi="PT Astra Serif" w:cs="Times New Roman"/>
          <w:szCs w:val="28"/>
        </w:rPr>
        <w:t>, 1С Программист, оператор беспилотных авиационных систем, эксплуатация беспилотных авиационных систем, обеспечение безопасности персональных данных при их обработке в информационных системах. Нашли работу после завершения обучения 8 человек.</w:t>
      </w:r>
    </w:p>
    <w:p w14:paraId="219C87F3"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На постоянной основе, начиная с 2025 года, проходит опрос ветеранов боевых действий по выявлению желания пройти обучение. </w:t>
      </w:r>
    </w:p>
    <w:p w14:paraId="0D1848FA"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r w:rsidRPr="002E14EA">
        <w:rPr>
          <w:rFonts w:ascii="PT Astra Serif" w:eastAsia="Calibri" w:hAnsi="PT Astra Serif" w:cs="Times New Roman"/>
          <w:szCs w:val="28"/>
        </w:rPr>
        <w:t xml:space="preserve">Быстрому и </w:t>
      </w:r>
      <w:r w:rsidRPr="002E14EA">
        <w:rPr>
          <w:rFonts w:ascii="PT Astra Serif" w:eastAsia="Calibri" w:hAnsi="PT Astra Serif" w:cs="Times New Roman"/>
          <w:b/>
          <w:szCs w:val="28"/>
        </w:rPr>
        <w:t>эффективному возвращению в гражданскую жизнь</w:t>
      </w:r>
      <w:r w:rsidRPr="002E14EA">
        <w:rPr>
          <w:rFonts w:ascii="PT Astra Serif" w:eastAsia="Calibri" w:hAnsi="PT Astra Serif" w:cs="Times New Roman"/>
          <w:szCs w:val="28"/>
        </w:rPr>
        <w:t xml:space="preserve"> </w:t>
      </w:r>
      <w:r w:rsidRPr="002E14EA">
        <w:rPr>
          <w:rFonts w:ascii="PT Astra Serif" w:eastAsia="Calibri" w:hAnsi="PT Astra Serif" w:cs="Times New Roman"/>
          <w:b/>
          <w:szCs w:val="28"/>
        </w:rPr>
        <w:t xml:space="preserve">способствует </w:t>
      </w:r>
      <w:r w:rsidRPr="002E14EA">
        <w:rPr>
          <w:rFonts w:ascii="PT Astra Serif" w:eastAsia="Calibri" w:hAnsi="PT Astra Serif" w:cs="Times New Roman"/>
          <w:szCs w:val="28"/>
        </w:rPr>
        <w:t xml:space="preserve">предоставление ветеранам СВО и таких мер государственной поддержки, как </w:t>
      </w:r>
      <w:r w:rsidRPr="002E14EA">
        <w:rPr>
          <w:rFonts w:ascii="PT Astra Serif" w:eastAsia="Calibri" w:hAnsi="PT Astra Serif" w:cs="Times New Roman"/>
          <w:b/>
          <w:szCs w:val="28"/>
        </w:rPr>
        <w:t xml:space="preserve">профессиональная ориентация, психологическая поддержка, социальная адаптация на рынке труда. </w:t>
      </w:r>
    </w:p>
    <w:p w14:paraId="77B44E2C"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По данному вопросу принимаются меры по расширению партнерских отношений государственной службы занятости и бизнеса. Так, в конце 2025 года Агентством заключено соглашение о взаимодействии с ООО «</w:t>
      </w:r>
      <w:proofErr w:type="spellStart"/>
      <w:r w:rsidRPr="002E14EA">
        <w:rPr>
          <w:rFonts w:ascii="PT Astra Serif" w:eastAsia="Calibri" w:hAnsi="PT Astra Serif" w:cs="Times New Roman"/>
          <w:szCs w:val="28"/>
        </w:rPr>
        <w:t>Нейропрофит</w:t>
      </w:r>
      <w:proofErr w:type="spellEnd"/>
      <w:r w:rsidRPr="002E14EA">
        <w:rPr>
          <w:rFonts w:ascii="PT Astra Serif" w:eastAsia="Calibri" w:hAnsi="PT Astra Serif" w:cs="Times New Roman"/>
          <w:szCs w:val="28"/>
        </w:rPr>
        <w:t xml:space="preserve">». Организация планирует совместно с региональным отделением Фонда «Защитники Отечества» проводить </w:t>
      </w:r>
      <w:proofErr w:type="spellStart"/>
      <w:r w:rsidRPr="002E14EA">
        <w:rPr>
          <w:rFonts w:ascii="PT Astra Serif" w:eastAsia="Calibri" w:hAnsi="PT Astra Serif" w:cs="Times New Roman"/>
          <w:szCs w:val="28"/>
        </w:rPr>
        <w:t>нейропрофдиагностику</w:t>
      </w:r>
      <w:proofErr w:type="spellEnd"/>
      <w:r w:rsidRPr="002E14EA">
        <w:rPr>
          <w:rFonts w:ascii="PT Astra Serif" w:eastAsia="Calibri" w:hAnsi="PT Astra Serif" w:cs="Times New Roman"/>
          <w:szCs w:val="28"/>
        </w:rPr>
        <w:t xml:space="preserve"> ветеранов СВО для определения дальнейшей их карьерной траектории с учётом особенностей человека. Результаты такой работы позволят учитывать предрасположенность к той или иной профессии, дать рекомендации по развитию в той или иной сфере деятельности. </w:t>
      </w:r>
    </w:p>
    <w:p w14:paraId="5B27E665" w14:textId="2AE3AA46"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С 1 марта текущего года работодатели со штатом от 36 до 100 человек должны определить 1 рабочее место для данной категории граждан, </w:t>
      </w:r>
      <w:r w:rsidR="00B014EB">
        <w:rPr>
          <w:rFonts w:ascii="PT Astra Serif" w:eastAsia="Calibri" w:hAnsi="PT Astra Serif" w:cs="Times New Roman"/>
          <w:szCs w:val="28"/>
        </w:rPr>
        <w:br/>
      </w:r>
      <w:r w:rsidRPr="002E14EA">
        <w:rPr>
          <w:rFonts w:ascii="PT Astra Serif" w:eastAsia="Calibri" w:hAnsi="PT Astra Serif" w:cs="Times New Roman"/>
          <w:szCs w:val="28"/>
        </w:rPr>
        <w:t xml:space="preserve">а работодатели с численностью сотрудников более 100 человек - 2 рабочих места. Мера распространяется на ветеранов, проживающих в регионе </w:t>
      </w:r>
      <w:r w:rsidRPr="002E14EA">
        <w:rPr>
          <w:rFonts w:ascii="PT Astra Serif" w:eastAsia="Calibri" w:hAnsi="PT Astra Serif" w:cs="Times New Roman"/>
          <w:szCs w:val="28"/>
        </w:rPr>
        <w:br/>
        <w:t>и не имеющих инвалидности.</w:t>
      </w:r>
    </w:p>
    <w:p w14:paraId="24BE86A3" w14:textId="4C51DF2B"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2025 году службой занятости разработаны региональные сервисы для участников СВО, ветеранов боевых действия. В 2025 году в работу было внедрено выездное обслуживание граждан с инвалидностью I и II групп, участников СВО, ветеранов боевых действий и членов их семей. Более того, </w:t>
      </w:r>
      <w:r w:rsidRPr="002E14EA">
        <w:rPr>
          <w:rFonts w:ascii="PT Astra Serif" w:eastAsia="Calibri" w:hAnsi="PT Astra Serif" w:cs="Times New Roman"/>
          <w:szCs w:val="28"/>
        </w:rPr>
        <w:br/>
        <w:t xml:space="preserve">в целях приоритетного трудоустройства участников СВО, ветеранов боевых действий, в Ульяновской области </w:t>
      </w:r>
      <w:r w:rsidRPr="002E14EA">
        <w:rPr>
          <w:rFonts w:ascii="PT Astra Serif" w:eastAsia="Calibri" w:hAnsi="PT Astra Serif" w:cs="Times New Roman"/>
          <w:b/>
          <w:szCs w:val="28"/>
        </w:rPr>
        <w:t xml:space="preserve">запущен региональный сервис «Работа </w:t>
      </w:r>
      <w:r w:rsidRPr="002E14EA">
        <w:rPr>
          <w:rFonts w:ascii="PT Astra Serif" w:eastAsia="Calibri" w:hAnsi="PT Astra Serif" w:cs="Times New Roman"/>
          <w:b/>
          <w:szCs w:val="28"/>
        </w:rPr>
        <w:br/>
        <w:t xml:space="preserve">для </w:t>
      </w:r>
      <w:proofErr w:type="spellStart"/>
      <w:r w:rsidRPr="002E14EA">
        <w:rPr>
          <w:rFonts w:ascii="PT Astra Serif" w:eastAsia="Calibri" w:hAnsi="PT Astra Serif" w:cs="Times New Roman"/>
          <w:b/>
          <w:szCs w:val="28"/>
        </w:rPr>
        <w:t>СВОих</w:t>
      </w:r>
      <w:proofErr w:type="spellEnd"/>
      <w:r w:rsidRPr="002E14EA">
        <w:rPr>
          <w:rFonts w:ascii="PT Astra Serif" w:eastAsia="Calibri" w:hAnsi="PT Astra Serif" w:cs="Times New Roman"/>
          <w:b/>
          <w:szCs w:val="28"/>
        </w:rPr>
        <w:t>».</w:t>
      </w:r>
      <w:r w:rsidRPr="002E14EA">
        <w:rPr>
          <w:rFonts w:ascii="PT Astra Serif" w:eastAsia="Calibri" w:hAnsi="PT Astra Serif" w:cs="Times New Roman"/>
          <w:szCs w:val="28"/>
        </w:rPr>
        <w:t xml:space="preserve"> В рамках этого сервиса защитникам представляется возможность в одном месте встретиться с работодателями и пройти первичное собеседование. Подобные встречи организуются ежемесячно в каждом муниципалитете. По итогам трудоустраивается каждый третий участник СВО. Все обратившиеся взяты на персональный контроль.</w:t>
      </w:r>
    </w:p>
    <w:p w14:paraId="3C3FDBCE"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Стоит отметить, что </w:t>
      </w:r>
      <w:r w:rsidRPr="002E14EA">
        <w:rPr>
          <w:rFonts w:ascii="PT Astra Serif" w:eastAsia="Calibri" w:hAnsi="PT Astra Serif" w:cs="Times New Roman"/>
          <w:b/>
          <w:szCs w:val="28"/>
        </w:rPr>
        <w:t>в сфере поддержки граждан в трудной финансовой ситуации</w:t>
      </w:r>
      <w:r w:rsidRPr="002E14EA">
        <w:rPr>
          <w:rFonts w:ascii="PT Astra Serif" w:eastAsia="Calibri" w:hAnsi="PT Astra Serif" w:cs="Times New Roman"/>
          <w:szCs w:val="28"/>
        </w:rPr>
        <w:t xml:space="preserve"> хорошо себя зарекомендовал и </w:t>
      </w:r>
      <w:r w:rsidRPr="002E14EA">
        <w:rPr>
          <w:rFonts w:ascii="PT Astra Serif" w:eastAsia="Calibri" w:hAnsi="PT Astra Serif" w:cs="Times New Roman"/>
          <w:b/>
          <w:szCs w:val="28"/>
        </w:rPr>
        <w:t>социальный контракт</w:t>
      </w:r>
      <w:r w:rsidRPr="002E14EA">
        <w:rPr>
          <w:rFonts w:ascii="PT Astra Serif" w:eastAsia="Calibri" w:hAnsi="PT Astra Serif" w:cs="Times New Roman"/>
          <w:szCs w:val="28"/>
        </w:rPr>
        <w:t xml:space="preserve">. По решению Президента РФ уже почти пять лет такая мера доступна людям по всей стране, Ульяновская область не стала исключением. Среди участников СВО данная мера поддержки также пользуется спросом. </w:t>
      </w:r>
      <w:r w:rsidRPr="002E14EA">
        <w:rPr>
          <w:rFonts w:ascii="PT Astra Serif" w:eastAsia="Calibri" w:hAnsi="PT Astra Serif" w:cs="Times New Roman"/>
          <w:szCs w:val="28"/>
        </w:rPr>
        <w:br/>
        <w:t xml:space="preserve">В 2025 году 30 участников СВО, ветеранов боевых действий заключили социальные контракты, из них 23 контракта по поиску работы, 7 человек оформили контракты для регистрации в качестве индивидуального </w:t>
      </w:r>
      <w:r w:rsidRPr="002E14EA">
        <w:rPr>
          <w:rFonts w:ascii="PT Astra Serif" w:eastAsia="Calibri" w:hAnsi="PT Astra Serif" w:cs="Times New Roman"/>
          <w:szCs w:val="28"/>
        </w:rPr>
        <w:lastRenderedPageBreak/>
        <w:t>предпринимательства.</w:t>
      </w:r>
    </w:p>
    <w:p w14:paraId="78E03756" w14:textId="3F69BFE3"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На протяжении двух лет отмечаются лучшие работодатели, реализующие кадровую политику в отношении ветеранов боевых действий,</w:t>
      </w:r>
      <w:r w:rsidRPr="002E14EA">
        <w:rPr>
          <w:rFonts w:ascii="PT Astra Serif" w:eastAsia="Calibri" w:hAnsi="PT Astra Serif" w:cs="Times New Roman"/>
          <w:szCs w:val="28"/>
        </w:rPr>
        <w:br/>
        <w:t>в том числе работодатели оборонно-промышленного комплекса в рамках проведения ежегодного конкурса «Лучший работодатель в сфере содействия занятости населения в Ульяновской области» (далее — Конкурс).</w:t>
      </w:r>
    </w:p>
    <w:p w14:paraId="4CB7E5B6"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В 2025 году Конкурс проводился в нескольких номинациях, в том числе по утвержденной номинации «Лучший работодатель в сфере содействия занятости ветеранов боевых действий в Ульяновской области». Победителем в Конкурсе в данной номинации был признан филиал ПАО «</w:t>
      </w:r>
      <w:proofErr w:type="spellStart"/>
      <w:r w:rsidRPr="002E14EA">
        <w:rPr>
          <w:rFonts w:ascii="PT Astra Serif" w:eastAsia="Calibri" w:hAnsi="PT Astra Serif" w:cs="Times New Roman"/>
          <w:szCs w:val="28"/>
        </w:rPr>
        <w:t>Россети</w:t>
      </w:r>
      <w:proofErr w:type="spellEnd"/>
      <w:r w:rsidRPr="002E14EA">
        <w:rPr>
          <w:rFonts w:ascii="PT Astra Serif" w:eastAsia="Calibri" w:hAnsi="PT Astra Serif" w:cs="Times New Roman"/>
          <w:szCs w:val="28"/>
        </w:rPr>
        <w:t xml:space="preserve"> Волга» - Ульяновские распределительные сети.</w:t>
      </w:r>
    </w:p>
    <w:p w14:paraId="45F4608B"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p>
    <w:p w14:paraId="4B287DC7"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Трудоустройство молодежи</w:t>
      </w:r>
    </w:p>
    <w:p w14:paraId="6B6E077E"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p>
    <w:p w14:paraId="7722628F" w14:textId="7BB1F0E8"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К основаниям для постановки задач является распоряжение Правительства Российской Федерации от 14.12.2021 № 3581-р (в редакции распоряжения Правительства Российской Федерации от 17.01.2024 № 45-р). На основании данного распоряжения на территории региона реализуется Долгосрочная программа содействия занятости молодёжи в Ульяновской области, утвержденная распоряжением Правительства Ульяновской области от 18.08.2022 № 415-пр (в редакции распоряжения Правительства Ульяновской области от 24.05.2024 № 223-пр).</w:t>
      </w:r>
    </w:p>
    <w:p w14:paraId="7D2BF677"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Агентство выступает координатором исполнения мероприятий программы на территории Ульяновской области.</w:t>
      </w:r>
    </w:p>
    <w:p w14:paraId="1A9B3070" w14:textId="2CE26DDB"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рамках реализации Программы осуществляется межведомственное взаимодействие по ключевым проектам и программам проектов с учётом формирования карьерных стратегий молодёжи и их личностно-профессиональными возможностями, потребностями рынка труда </w:t>
      </w:r>
      <w:r w:rsidR="00B014EB">
        <w:rPr>
          <w:rFonts w:ascii="PT Astra Serif" w:eastAsia="Calibri" w:hAnsi="PT Astra Serif" w:cs="Times New Roman"/>
          <w:szCs w:val="28"/>
        </w:rPr>
        <w:br/>
      </w:r>
      <w:r w:rsidRPr="002E14EA">
        <w:rPr>
          <w:rFonts w:ascii="PT Astra Serif" w:eastAsia="Calibri" w:hAnsi="PT Astra Serif" w:cs="Times New Roman"/>
          <w:szCs w:val="28"/>
        </w:rPr>
        <w:t>и разработкой совместных комплексных мероприятий.</w:t>
      </w:r>
    </w:p>
    <w:p w14:paraId="4E9E003E"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По итогам 2025 года в рамках реализации ключевых направлений Программы на территории Ульяновской области проведено более 400 мероприятий для молодёжи. </w:t>
      </w:r>
    </w:p>
    <w:p w14:paraId="1E7C3646"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Впервые в 2025 году в рамках Всероссийской ярмарки трудоустройства «Работа России. Время возможностей» реализован новый </w:t>
      </w:r>
      <w:proofErr w:type="spellStart"/>
      <w:r w:rsidRPr="002E14EA">
        <w:rPr>
          <w:rFonts w:ascii="PT Astra Serif" w:eastAsia="Calibri" w:hAnsi="PT Astra Serif" w:cs="Times New Roman"/>
          <w:szCs w:val="28"/>
        </w:rPr>
        <w:t>профориентационный</w:t>
      </w:r>
      <w:proofErr w:type="spellEnd"/>
      <w:r w:rsidRPr="002E14EA">
        <w:rPr>
          <w:rFonts w:ascii="PT Astra Serif" w:eastAsia="Calibri" w:hAnsi="PT Astra Serif" w:cs="Times New Roman"/>
          <w:szCs w:val="28"/>
        </w:rPr>
        <w:t xml:space="preserve"> трек для молодежи по популяризации наиболее востребованных и перспективных рабочих профессий, в том числе с учётом специфики регионального рынка труда – </w:t>
      </w:r>
      <w:r w:rsidRPr="002E14EA">
        <w:rPr>
          <w:rFonts w:ascii="PT Astra Serif" w:eastAsia="Calibri" w:hAnsi="PT Astra Serif" w:cs="Times New Roman"/>
          <w:b/>
          <w:szCs w:val="28"/>
        </w:rPr>
        <w:t>Фестиваль профессий</w:t>
      </w:r>
      <w:r w:rsidRPr="002E14EA">
        <w:rPr>
          <w:rFonts w:ascii="PT Astra Serif" w:eastAsia="Calibri" w:hAnsi="PT Astra Serif" w:cs="Times New Roman"/>
          <w:szCs w:val="28"/>
        </w:rPr>
        <w:t xml:space="preserve">. Программа проведения Фестиваля профессий включала в себя разнообразные форматы мероприятий: экскурсии на предприятия, мастер-классы, </w:t>
      </w:r>
      <w:proofErr w:type="spellStart"/>
      <w:r w:rsidRPr="002E14EA">
        <w:rPr>
          <w:rFonts w:ascii="PT Astra Serif" w:eastAsia="Calibri" w:hAnsi="PT Astra Serif" w:cs="Times New Roman"/>
          <w:szCs w:val="28"/>
        </w:rPr>
        <w:t>профпробы</w:t>
      </w:r>
      <w:proofErr w:type="spellEnd"/>
      <w:r w:rsidRPr="002E14EA">
        <w:rPr>
          <w:rFonts w:ascii="PT Astra Serif" w:eastAsia="Calibri" w:hAnsi="PT Astra Serif" w:cs="Times New Roman"/>
          <w:szCs w:val="28"/>
        </w:rPr>
        <w:t xml:space="preserve">, встречи </w:t>
      </w:r>
      <w:r w:rsidRPr="002E14EA">
        <w:rPr>
          <w:rFonts w:ascii="PT Astra Serif" w:eastAsia="Calibri" w:hAnsi="PT Astra Serif" w:cs="Times New Roman"/>
          <w:szCs w:val="28"/>
        </w:rPr>
        <w:br/>
        <w:t>с представителями профессий, дни открытых дверей в образовательных организациях. Всего в мероприятиях Фестиваля профессий приняли участие более 2 тыс. молодых людей.</w:t>
      </w:r>
    </w:p>
    <w:p w14:paraId="1E3AD68D"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Уже второй год подряд в течение августа региональная служба занятости в партнёрстве с ведущими предприятиями региона проводит </w:t>
      </w:r>
      <w:r w:rsidRPr="002E14EA">
        <w:rPr>
          <w:rFonts w:ascii="PT Astra Serif" w:eastAsia="Calibri" w:hAnsi="PT Astra Serif" w:cs="Times New Roman"/>
          <w:b/>
          <w:szCs w:val="28"/>
        </w:rPr>
        <w:t>Марафон по трудоустройству выпускников «Пора Работать»</w:t>
      </w:r>
      <w:r w:rsidRPr="002E14EA">
        <w:rPr>
          <w:rFonts w:ascii="PT Astra Serif" w:eastAsia="Calibri" w:hAnsi="PT Astra Serif" w:cs="Times New Roman"/>
          <w:szCs w:val="28"/>
        </w:rPr>
        <w:t xml:space="preserve">. Цели </w:t>
      </w:r>
      <w:r w:rsidRPr="002E14EA">
        <w:rPr>
          <w:rFonts w:ascii="PT Astra Serif" w:eastAsia="Calibri" w:hAnsi="PT Astra Serif" w:cs="Times New Roman"/>
          <w:szCs w:val="28"/>
        </w:rPr>
        <w:lastRenderedPageBreak/>
        <w:t xml:space="preserve">Марафона остаются прежними – показать возможности личностного </w:t>
      </w:r>
      <w:r w:rsidRPr="002E14EA">
        <w:rPr>
          <w:rFonts w:ascii="PT Astra Serif" w:eastAsia="Calibri" w:hAnsi="PT Astra Serif" w:cs="Times New Roman"/>
          <w:szCs w:val="28"/>
        </w:rPr>
        <w:br/>
        <w:t>и карьерного развития в родном регионе, прокачать практические навыки поиска работы и развития карьерного трека, наладить прямой контакт между выпускниками и работодателями. В 2025 году в работе площадок Марафона приняли участие более 500 выпускников и 50 работодателей региона, 61 выпускник трудоустроен, из них 80 % воспользовались мерой поддержкой от государства и заключили социальный контракт на поиск работы.</w:t>
      </w:r>
    </w:p>
    <w:p w14:paraId="52459EC3" w14:textId="4009E63D"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2025 году продолжена работа региональной сети </w:t>
      </w:r>
      <w:r w:rsidRPr="002E14EA">
        <w:rPr>
          <w:rFonts w:ascii="PT Astra Serif" w:eastAsia="Calibri" w:hAnsi="PT Astra Serif" w:cs="Times New Roman"/>
          <w:b/>
          <w:szCs w:val="28"/>
        </w:rPr>
        <w:t>Молодёжных клубов</w:t>
      </w:r>
      <w:r w:rsidRPr="002E14EA">
        <w:rPr>
          <w:rFonts w:ascii="PT Astra Serif" w:eastAsia="Calibri" w:hAnsi="PT Astra Serif" w:cs="Times New Roman"/>
          <w:szCs w:val="28"/>
        </w:rPr>
        <w:t xml:space="preserve"> при филиалах ОГКУ «Кадровый центр Ульяновской области». По итогам работы 2025 года в рамках молодежных клубов проведено 150 встреч, участниками которых стали более 2,3 тысяч молодых людей, оказано более 500 мер государственной поддержки по профориентации, 85 человек трудоустроено.</w:t>
      </w:r>
    </w:p>
    <w:p w14:paraId="53E879E0" w14:textId="06AA09FD"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Всего в 2025 году за содействием в поиске подходящей работы в службу занятости населения Ульяновской области обратилось 8,5 тысяч граждан </w:t>
      </w:r>
      <w:r w:rsidR="00B014EB">
        <w:rPr>
          <w:rFonts w:ascii="PT Astra Serif" w:eastAsia="Calibri" w:hAnsi="PT Astra Serif" w:cs="Times New Roman"/>
          <w:szCs w:val="28"/>
        </w:rPr>
        <w:br/>
      </w:r>
      <w:r w:rsidRPr="002E14EA">
        <w:rPr>
          <w:rFonts w:ascii="PT Astra Serif" w:eastAsia="Calibri" w:hAnsi="PT Astra Serif" w:cs="Times New Roman"/>
          <w:szCs w:val="28"/>
        </w:rPr>
        <w:t>в возрасте от 14 до 35 лет. Доля трудоустроенных граждан данной категории составила 72 %.</w:t>
      </w:r>
    </w:p>
    <w:p w14:paraId="18987AD1"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p>
    <w:p w14:paraId="2CAC61BE" w14:textId="3EE723FD"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Обеспечение кадрами предприяти</w:t>
      </w:r>
      <w:r w:rsidR="00D76D45">
        <w:rPr>
          <w:rFonts w:ascii="PT Astra Serif" w:eastAsia="Calibri" w:hAnsi="PT Astra Serif" w:cs="Times New Roman"/>
          <w:b/>
          <w:i/>
          <w:szCs w:val="28"/>
        </w:rPr>
        <w:t>й</w:t>
      </w:r>
      <w:r w:rsidRPr="002E14EA">
        <w:rPr>
          <w:rFonts w:ascii="PT Astra Serif" w:eastAsia="Calibri" w:hAnsi="PT Astra Serif" w:cs="Times New Roman"/>
          <w:b/>
          <w:i/>
          <w:szCs w:val="28"/>
        </w:rPr>
        <w:t xml:space="preserve"> ОПК</w:t>
      </w:r>
    </w:p>
    <w:p w14:paraId="6C2E8A3E" w14:textId="77777777" w:rsidR="002E14EA" w:rsidRPr="002E14EA" w:rsidRDefault="002E14EA" w:rsidP="002E14EA">
      <w:pPr>
        <w:widowControl w:val="0"/>
        <w:pBdr>
          <w:bottom w:val="single" w:sz="4" w:space="31" w:color="FFFFFF"/>
        </w:pBdr>
        <w:contextualSpacing/>
        <w:jc w:val="center"/>
        <w:rPr>
          <w:rFonts w:ascii="PT Astra Serif" w:eastAsia="Calibri" w:hAnsi="PT Astra Serif" w:cs="Times New Roman"/>
          <w:b/>
          <w:i/>
          <w:szCs w:val="28"/>
        </w:rPr>
      </w:pPr>
    </w:p>
    <w:p w14:paraId="507A4CA8" w14:textId="35DD2DB3"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К основаниям для постановки задач относится приказ Министерства труда и социальной защиты населения Российской Федерации от 2 ноября 2022 года № 704 «Об утверждении методических рекомендаций по организации обеспечения кадровой потребности предприятий отдельных приоритетных отраслей» (далее – приказ). В соответствии с приказом ведётся еженедельный мониторинг по обеспечению кадрами предприятий оборонно-промышленного комплекса региона, который предоставляется в Федеральную службу по труду и занятости.</w:t>
      </w:r>
    </w:p>
    <w:p w14:paraId="7EDBA4AA"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За каждой организацией оборонно-промышленного комплекса, осуществляющими деятельность на территории Ульяновской области, закреплен персональный куратор, из числа работников ОГКУ Кадровый центр. С каждым предприятием оборонно-промышленного комплекса разработан и утвержден индивидуальный план мероприятий по организации обеспечения кадровой потребности.</w:t>
      </w:r>
    </w:p>
    <w:p w14:paraId="5E9966E5" w14:textId="77777777" w:rsidR="00343E0D"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Для предприятий оборонно-промышленного комплекса проводятся специализированные мероприятия по обеспечению их кадровой потребности, такие как ярмарки вакансий и учебных рабочих мест в форматах Всероссийской ярмарки трудоустройства и ярмарок возможностей «Работа России», выездные сессии-встречи, открытые кадровые отборы </w:t>
      </w:r>
      <w:r w:rsidR="00B014EB">
        <w:rPr>
          <w:rFonts w:ascii="PT Astra Serif" w:eastAsia="Calibri" w:hAnsi="PT Astra Serif" w:cs="Times New Roman"/>
          <w:szCs w:val="28"/>
        </w:rPr>
        <w:br/>
      </w:r>
      <w:r w:rsidRPr="002E14EA">
        <w:rPr>
          <w:rFonts w:ascii="PT Astra Serif" w:eastAsia="Calibri" w:hAnsi="PT Astra Serif" w:cs="Times New Roman"/>
          <w:szCs w:val="28"/>
        </w:rPr>
        <w:t>и индивидуальные подборы кадров.</w:t>
      </w:r>
    </w:p>
    <w:p w14:paraId="55F4AE8C" w14:textId="77777777" w:rsidR="00C2218D"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2025 году органами службы занятости Ульяновской области выдано более 2 тысяч направлений на работу обратившимся гражданам. </w:t>
      </w:r>
    </w:p>
    <w:p w14:paraId="3D0E679D" w14:textId="1098EE25" w:rsid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По данным кадровых служб 57 предприятий оборонно-промышленного комплекса в 2025 году принято на работу 9 198 человек.</w:t>
      </w:r>
    </w:p>
    <w:p w14:paraId="68570D8A" w14:textId="77777777" w:rsidR="00BC116D" w:rsidRPr="002E14EA" w:rsidRDefault="00BC116D" w:rsidP="002E14EA">
      <w:pPr>
        <w:widowControl w:val="0"/>
        <w:pBdr>
          <w:bottom w:val="single" w:sz="4" w:space="31" w:color="FFFFFF"/>
        </w:pBdr>
        <w:contextualSpacing/>
        <w:rPr>
          <w:rFonts w:ascii="PT Astra Serif" w:eastAsia="Calibri" w:hAnsi="PT Astra Serif" w:cs="Times New Roman"/>
          <w:b/>
          <w:szCs w:val="28"/>
        </w:rPr>
      </w:pPr>
    </w:p>
    <w:p w14:paraId="6CA9D277"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Работа по увеличению доходов населения и снижению нелегальной занятости</w:t>
      </w:r>
    </w:p>
    <w:p w14:paraId="49FC16AA"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p>
    <w:p w14:paraId="66FE6646" w14:textId="58E03439" w:rsidR="002E14EA" w:rsidRPr="00B014EB" w:rsidRDefault="002E14EA" w:rsidP="002E14EA">
      <w:pPr>
        <w:widowControl w:val="0"/>
        <w:pBdr>
          <w:bottom w:val="single" w:sz="4" w:space="31" w:color="FFFFFF"/>
        </w:pBdr>
        <w:contextualSpacing/>
        <w:rPr>
          <w:rFonts w:ascii="PT Astra Serif" w:eastAsia="Calibri" w:hAnsi="PT Astra Serif" w:cs="Times New Roman"/>
          <w:szCs w:val="28"/>
        </w:rPr>
      </w:pPr>
      <w:r w:rsidRPr="00B014EB">
        <w:rPr>
          <w:rFonts w:ascii="PT Astra Serif" w:eastAsia="Calibri" w:hAnsi="PT Astra Serif" w:cs="Times New Roman"/>
          <w:szCs w:val="28"/>
        </w:rPr>
        <w:t xml:space="preserve">По официальным данным </w:t>
      </w:r>
      <w:proofErr w:type="spellStart"/>
      <w:r w:rsidRPr="00B014EB">
        <w:rPr>
          <w:rFonts w:ascii="PT Astra Serif" w:eastAsia="Calibri" w:hAnsi="PT Astra Serif" w:cs="Times New Roman"/>
          <w:szCs w:val="28"/>
        </w:rPr>
        <w:t>Ульяновскстат</w:t>
      </w:r>
      <w:proofErr w:type="spellEnd"/>
      <w:r w:rsidRPr="00B014EB">
        <w:rPr>
          <w:rFonts w:ascii="PT Astra Serif" w:eastAsia="Calibri" w:hAnsi="PT Astra Serif" w:cs="Times New Roman"/>
          <w:szCs w:val="28"/>
        </w:rPr>
        <w:t xml:space="preserve"> за 2025 год среднемесячная заработная плата по полному кругу организаций выросла на 11</w:t>
      </w:r>
      <w:r w:rsidR="00B014EB">
        <w:rPr>
          <w:rFonts w:ascii="PT Astra Serif" w:eastAsia="Calibri" w:hAnsi="PT Astra Serif" w:cs="Times New Roman"/>
          <w:szCs w:val="28"/>
        </w:rPr>
        <w:t>5,6</w:t>
      </w:r>
      <w:r w:rsidRPr="00B014EB">
        <w:rPr>
          <w:rFonts w:ascii="PT Astra Serif" w:eastAsia="Calibri" w:hAnsi="PT Astra Serif" w:cs="Times New Roman"/>
          <w:szCs w:val="28"/>
        </w:rPr>
        <w:t xml:space="preserve">% </w:t>
      </w:r>
      <w:r w:rsidR="00B014EB">
        <w:rPr>
          <w:rFonts w:ascii="PT Astra Serif" w:eastAsia="Calibri" w:hAnsi="PT Astra Serif" w:cs="Times New Roman"/>
          <w:szCs w:val="28"/>
        </w:rPr>
        <w:br/>
      </w:r>
      <w:r w:rsidRPr="00B014EB">
        <w:rPr>
          <w:rFonts w:ascii="PT Astra Serif" w:eastAsia="Calibri" w:hAnsi="PT Astra Serif" w:cs="Times New Roman"/>
          <w:szCs w:val="28"/>
        </w:rPr>
        <w:t>к 2024 год</w:t>
      </w:r>
      <w:r w:rsidR="00B014EB">
        <w:rPr>
          <w:rFonts w:ascii="PT Astra Serif" w:eastAsia="Calibri" w:hAnsi="PT Astra Serif" w:cs="Times New Roman"/>
          <w:szCs w:val="28"/>
        </w:rPr>
        <w:t>у</w:t>
      </w:r>
      <w:r w:rsidRPr="00B014EB">
        <w:rPr>
          <w:rFonts w:ascii="PT Astra Serif" w:eastAsia="Calibri" w:hAnsi="PT Astra Serif" w:cs="Times New Roman"/>
          <w:szCs w:val="28"/>
        </w:rPr>
        <w:t xml:space="preserve"> и составила 6</w:t>
      </w:r>
      <w:r w:rsidR="00B014EB">
        <w:rPr>
          <w:rFonts w:ascii="PT Astra Serif" w:eastAsia="Calibri" w:hAnsi="PT Astra Serif" w:cs="Times New Roman"/>
          <w:szCs w:val="28"/>
        </w:rPr>
        <w:t>9</w:t>
      </w:r>
      <w:r w:rsidRPr="00B014EB">
        <w:rPr>
          <w:rFonts w:ascii="PT Astra Serif" w:eastAsia="Calibri" w:hAnsi="PT Astra Serif" w:cs="Times New Roman"/>
          <w:szCs w:val="28"/>
        </w:rPr>
        <w:t> </w:t>
      </w:r>
      <w:r w:rsidR="00B014EB">
        <w:rPr>
          <w:rFonts w:ascii="PT Astra Serif" w:eastAsia="Calibri" w:hAnsi="PT Astra Serif" w:cs="Times New Roman"/>
          <w:szCs w:val="28"/>
        </w:rPr>
        <w:t>675</w:t>
      </w:r>
      <w:r w:rsidRPr="00B014EB">
        <w:rPr>
          <w:rFonts w:ascii="PT Astra Serif" w:eastAsia="Calibri" w:hAnsi="PT Astra Serif" w:cs="Times New Roman"/>
          <w:szCs w:val="28"/>
        </w:rPr>
        <w:t>,</w:t>
      </w:r>
      <w:r w:rsidR="00B014EB">
        <w:rPr>
          <w:rFonts w:ascii="PT Astra Serif" w:eastAsia="Calibri" w:hAnsi="PT Astra Serif" w:cs="Times New Roman"/>
          <w:szCs w:val="28"/>
        </w:rPr>
        <w:t>7</w:t>
      </w:r>
      <w:r w:rsidRPr="00B014EB">
        <w:rPr>
          <w:rFonts w:ascii="PT Astra Serif" w:eastAsia="Calibri" w:hAnsi="PT Astra Serif" w:cs="Times New Roman"/>
          <w:szCs w:val="28"/>
        </w:rPr>
        <w:t xml:space="preserve"> рублей, по крупным и средним предприятиям увеличилась до 7</w:t>
      </w:r>
      <w:r w:rsidR="00B014EB">
        <w:rPr>
          <w:rFonts w:ascii="PT Astra Serif" w:eastAsia="Calibri" w:hAnsi="PT Astra Serif" w:cs="Times New Roman"/>
          <w:szCs w:val="28"/>
        </w:rPr>
        <w:t>4 618,4</w:t>
      </w:r>
      <w:r w:rsidRPr="00B014EB">
        <w:rPr>
          <w:rFonts w:ascii="PT Astra Serif" w:eastAsia="Calibri" w:hAnsi="PT Astra Serif" w:cs="Times New Roman"/>
          <w:szCs w:val="28"/>
        </w:rPr>
        <w:t xml:space="preserve"> рублей.</w:t>
      </w:r>
    </w:p>
    <w:p w14:paraId="48A6888F" w14:textId="2514C660" w:rsidR="002E14EA" w:rsidRPr="00B014EB" w:rsidRDefault="002E14EA" w:rsidP="002E14EA">
      <w:pPr>
        <w:widowControl w:val="0"/>
        <w:pBdr>
          <w:bottom w:val="single" w:sz="4" w:space="31" w:color="FFFFFF"/>
        </w:pBdr>
        <w:contextualSpacing/>
        <w:rPr>
          <w:rFonts w:ascii="PT Astra Serif" w:eastAsia="Calibri" w:hAnsi="PT Astra Serif" w:cs="Times New Roman"/>
          <w:szCs w:val="28"/>
        </w:rPr>
      </w:pPr>
      <w:r w:rsidRPr="00B014EB">
        <w:rPr>
          <w:rFonts w:ascii="PT Astra Serif" w:eastAsia="Calibri" w:hAnsi="PT Astra Serif" w:cs="Times New Roman"/>
          <w:szCs w:val="28"/>
        </w:rPr>
        <w:t>Темп роста заработной платы за 2025 год выше уровня инфляции на 8,</w:t>
      </w:r>
      <w:r w:rsidR="00B014EB">
        <w:rPr>
          <w:rFonts w:ascii="PT Astra Serif" w:eastAsia="Calibri" w:hAnsi="PT Astra Serif" w:cs="Times New Roman"/>
          <w:szCs w:val="28"/>
        </w:rPr>
        <w:t>3</w:t>
      </w:r>
      <w:r w:rsidRPr="00B014EB">
        <w:rPr>
          <w:rFonts w:ascii="PT Astra Serif" w:eastAsia="Calibri" w:hAnsi="PT Astra Serif" w:cs="Times New Roman"/>
          <w:szCs w:val="28"/>
        </w:rPr>
        <w:t xml:space="preserve"> процентных пункта (уровень инфляция 7,3%). Практически во всех отраслям экономики в 2025 году зафиксирован рост уровня заработной платы по сравнению с прошлым годом. </w:t>
      </w:r>
    </w:p>
    <w:p w14:paraId="37D1BCD4" w14:textId="5DBC0FED" w:rsidR="002E14EA" w:rsidRPr="00B014EB" w:rsidRDefault="002E14EA" w:rsidP="002E14EA">
      <w:pPr>
        <w:widowControl w:val="0"/>
        <w:pBdr>
          <w:bottom w:val="single" w:sz="4" w:space="31" w:color="FFFFFF"/>
        </w:pBdr>
        <w:contextualSpacing/>
        <w:rPr>
          <w:rFonts w:ascii="PT Astra Serif" w:eastAsia="Calibri" w:hAnsi="PT Astra Serif" w:cs="Times New Roman"/>
          <w:szCs w:val="28"/>
        </w:rPr>
      </w:pPr>
      <w:r w:rsidRPr="00B014EB">
        <w:rPr>
          <w:rFonts w:ascii="PT Astra Serif" w:eastAsia="Calibri" w:hAnsi="PT Astra Serif" w:cs="Times New Roman"/>
          <w:szCs w:val="28"/>
        </w:rPr>
        <w:t>В рейтинге социально-экономического развития П</w:t>
      </w:r>
      <w:r w:rsidR="00B014EB">
        <w:rPr>
          <w:rFonts w:ascii="PT Astra Serif" w:eastAsia="Calibri" w:hAnsi="PT Astra Serif" w:cs="Times New Roman"/>
          <w:szCs w:val="28"/>
        </w:rPr>
        <w:t xml:space="preserve">ФО </w:t>
      </w:r>
      <w:r w:rsidRPr="00B014EB">
        <w:rPr>
          <w:rFonts w:ascii="PT Astra Serif" w:eastAsia="Calibri" w:hAnsi="PT Astra Serif" w:cs="Times New Roman"/>
          <w:szCs w:val="28"/>
        </w:rPr>
        <w:t>Ульяновская область по номинальному уровню заработной платы занимает 9 место.</w:t>
      </w:r>
    </w:p>
    <w:p w14:paraId="0445D38E" w14:textId="75621E89"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r w:rsidRPr="00B014EB">
        <w:rPr>
          <w:rFonts w:ascii="PT Astra Serif" w:eastAsia="Calibri" w:hAnsi="PT Astra Serif" w:cs="Times New Roman"/>
          <w:szCs w:val="28"/>
        </w:rPr>
        <w:t xml:space="preserve">По уровню реальной заработной платы, по итогам 2025 года </w:t>
      </w:r>
      <w:r w:rsidRPr="00B014EB">
        <w:rPr>
          <w:rFonts w:ascii="PT Astra Serif" w:eastAsia="Calibri" w:hAnsi="PT Astra Serif" w:cs="Times New Roman"/>
          <w:b/>
          <w:szCs w:val="28"/>
        </w:rPr>
        <w:t>темп роста реальной зарплаты вырос</w:t>
      </w:r>
      <w:r w:rsidRPr="00B014EB">
        <w:rPr>
          <w:rFonts w:ascii="PT Astra Serif" w:eastAsia="Calibri" w:hAnsi="PT Astra Serif" w:cs="Times New Roman"/>
          <w:szCs w:val="28"/>
        </w:rPr>
        <w:t xml:space="preserve"> к </w:t>
      </w:r>
      <w:r w:rsidR="00593A35">
        <w:rPr>
          <w:rFonts w:ascii="PT Astra Serif" w:eastAsia="Calibri" w:hAnsi="PT Astra Serif" w:cs="Times New Roman"/>
          <w:szCs w:val="28"/>
        </w:rPr>
        <w:t>2024</w:t>
      </w:r>
      <w:r w:rsidRPr="00B014EB">
        <w:rPr>
          <w:rFonts w:ascii="PT Astra Serif" w:eastAsia="Calibri" w:hAnsi="PT Astra Serif" w:cs="Times New Roman"/>
          <w:szCs w:val="28"/>
        </w:rPr>
        <w:t xml:space="preserve"> год</w:t>
      </w:r>
      <w:r w:rsidR="00593A35">
        <w:rPr>
          <w:rFonts w:ascii="PT Astra Serif" w:eastAsia="Calibri" w:hAnsi="PT Astra Serif" w:cs="Times New Roman"/>
          <w:szCs w:val="28"/>
        </w:rPr>
        <w:t>у</w:t>
      </w:r>
      <w:r w:rsidRPr="00B014EB">
        <w:rPr>
          <w:rFonts w:ascii="PT Astra Serif" w:eastAsia="Calibri" w:hAnsi="PT Astra Serif" w:cs="Times New Roman"/>
          <w:szCs w:val="28"/>
        </w:rPr>
        <w:t xml:space="preserve"> </w:t>
      </w:r>
      <w:r w:rsidRPr="00B014EB">
        <w:rPr>
          <w:rFonts w:ascii="PT Astra Serif" w:eastAsia="Calibri" w:hAnsi="PT Astra Serif" w:cs="Times New Roman"/>
          <w:b/>
          <w:szCs w:val="28"/>
        </w:rPr>
        <w:t>на 105,</w:t>
      </w:r>
      <w:r w:rsidR="00B014EB">
        <w:rPr>
          <w:rFonts w:ascii="PT Astra Serif" w:eastAsia="Calibri" w:hAnsi="PT Astra Serif" w:cs="Times New Roman"/>
          <w:b/>
          <w:szCs w:val="28"/>
        </w:rPr>
        <w:t>3</w:t>
      </w:r>
      <w:r w:rsidRPr="00B014EB">
        <w:rPr>
          <w:rFonts w:ascii="PT Astra Serif" w:eastAsia="Calibri" w:hAnsi="PT Astra Serif" w:cs="Times New Roman"/>
          <w:b/>
          <w:szCs w:val="28"/>
        </w:rPr>
        <w:t>%.</w:t>
      </w:r>
    </w:p>
    <w:p w14:paraId="05D1AD74" w14:textId="4AA12278"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В целях противодействия нелегальной занятости за 2025 год проведено 296 заседаний рабочих групп и 17 заседаний областной межведомственной комиссии. Заслушано более 1 300 работодателей. Итогом проведенной работы стала легализация более 11,2 тысяч лиц, из них с 6 507 заключены трудовые договоры и договоры гражданско-правового характера, 4 232 человека оформили предпринимательство, 490 зарегистрировались в качестве самозанятых. Экономический эффект проведённой работы по легализации трудовых отношений в 2025 году составил порядка 67,2 млн рублей.</w:t>
      </w:r>
    </w:p>
    <w:p w14:paraId="57F7FDD3"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b/>
          <w:szCs w:val="28"/>
        </w:rPr>
      </w:pPr>
    </w:p>
    <w:p w14:paraId="5FD17AD1" w14:textId="11DDA3C0"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Работа трехсторонней комиссии. Заключение Соглашения между Областным союзом «Федерация профсоюзов Ульяновской области», объединениями работодателей Ульяновской области,</w:t>
      </w:r>
      <w:r w:rsidRPr="002E14EA">
        <w:rPr>
          <w:rFonts w:ascii="PT Astra Serif" w:eastAsia="Calibri" w:hAnsi="PT Astra Serif" w:cs="Times New Roman"/>
          <w:b/>
          <w:i/>
          <w:szCs w:val="28"/>
        </w:rPr>
        <w:br/>
        <w:t xml:space="preserve"> Правительством Ульяновской области на 2025</w:t>
      </w:r>
      <w:r w:rsidR="00593A35">
        <w:rPr>
          <w:rFonts w:ascii="PT Astra Serif" w:eastAsia="Calibri" w:hAnsi="PT Astra Serif" w:cs="Times New Roman"/>
          <w:b/>
          <w:i/>
          <w:szCs w:val="28"/>
        </w:rPr>
        <w:t xml:space="preserve"> </w:t>
      </w:r>
      <w:r w:rsidRPr="002E14EA">
        <w:rPr>
          <w:rFonts w:ascii="PT Astra Serif" w:eastAsia="Calibri" w:hAnsi="PT Astra Serif" w:cs="Times New Roman"/>
          <w:b/>
          <w:i/>
          <w:szCs w:val="28"/>
        </w:rPr>
        <w:t>-</w:t>
      </w:r>
      <w:r w:rsidR="00593A35">
        <w:rPr>
          <w:rFonts w:ascii="PT Astra Serif" w:eastAsia="Calibri" w:hAnsi="PT Astra Serif" w:cs="Times New Roman"/>
          <w:b/>
          <w:i/>
          <w:szCs w:val="28"/>
        </w:rPr>
        <w:t xml:space="preserve"> </w:t>
      </w:r>
      <w:r w:rsidRPr="002E14EA">
        <w:rPr>
          <w:rFonts w:ascii="PT Astra Serif" w:eastAsia="Calibri" w:hAnsi="PT Astra Serif" w:cs="Times New Roman"/>
          <w:b/>
          <w:i/>
          <w:szCs w:val="28"/>
        </w:rPr>
        <w:t xml:space="preserve">2027гг </w:t>
      </w:r>
      <w:r w:rsidR="00574169">
        <w:rPr>
          <w:rFonts w:ascii="PT Astra Serif" w:eastAsia="Calibri" w:hAnsi="PT Astra Serif" w:cs="Times New Roman"/>
          <w:b/>
          <w:i/>
          <w:szCs w:val="28"/>
        </w:rPr>
        <w:br/>
      </w:r>
      <w:r w:rsidRPr="002E14EA">
        <w:rPr>
          <w:rFonts w:ascii="PT Astra Serif" w:eastAsia="Calibri" w:hAnsi="PT Astra Serif" w:cs="Times New Roman"/>
          <w:b/>
          <w:i/>
          <w:szCs w:val="28"/>
        </w:rPr>
        <w:t>и Соглашения о минимальной заработной плате на 2025 год</w:t>
      </w:r>
    </w:p>
    <w:p w14:paraId="026184BD"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i/>
          <w:szCs w:val="28"/>
        </w:rPr>
      </w:pPr>
    </w:p>
    <w:p w14:paraId="0B8C4E84" w14:textId="77777777" w:rsidR="00343E0D"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отчетном периоде активно функционировала трёхсторонняя комиссия Ульяновской области по регулированию социально-трудовых отношений. </w:t>
      </w:r>
      <w:r w:rsidR="00593A35">
        <w:rPr>
          <w:rFonts w:ascii="PT Astra Serif" w:eastAsia="Calibri" w:hAnsi="PT Astra Serif" w:cs="Times New Roman"/>
          <w:szCs w:val="28"/>
        </w:rPr>
        <w:br/>
      </w:r>
      <w:r w:rsidRPr="002E14EA">
        <w:rPr>
          <w:rFonts w:ascii="PT Astra Serif" w:eastAsia="Calibri" w:hAnsi="PT Astra Serif" w:cs="Times New Roman"/>
          <w:szCs w:val="28"/>
        </w:rPr>
        <w:t xml:space="preserve">В рамках своей деятельности комиссия провела в отчетном году три заседания, в которых принимал участие Губернатор Ульяновской области. В результате работы комиссии разработано и заключено Дополнительное соглашение </w:t>
      </w:r>
      <w:r w:rsidR="00815ABC">
        <w:rPr>
          <w:rFonts w:ascii="PT Astra Serif" w:eastAsia="Calibri" w:hAnsi="PT Astra Serif" w:cs="Times New Roman"/>
          <w:szCs w:val="28"/>
        </w:rPr>
        <w:br/>
      </w:r>
      <w:r w:rsidRPr="002E14EA">
        <w:rPr>
          <w:rFonts w:ascii="PT Astra Serif" w:eastAsia="Calibri" w:hAnsi="PT Astra Serif" w:cs="Times New Roman"/>
          <w:szCs w:val="28"/>
        </w:rPr>
        <w:t xml:space="preserve">к Соглашению между Областным союзом «Федерация профсоюзов Ульяновской области», объединениями работодателей Ульяновской области </w:t>
      </w:r>
      <w:r w:rsidR="00815ABC">
        <w:rPr>
          <w:rFonts w:ascii="PT Astra Serif" w:eastAsia="Calibri" w:hAnsi="PT Astra Serif" w:cs="Times New Roman"/>
          <w:szCs w:val="28"/>
        </w:rPr>
        <w:br/>
      </w:r>
      <w:r w:rsidRPr="002E14EA">
        <w:rPr>
          <w:rFonts w:ascii="PT Astra Serif" w:eastAsia="Calibri" w:hAnsi="PT Astra Serif" w:cs="Times New Roman"/>
          <w:szCs w:val="28"/>
        </w:rPr>
        <w:t>и Правительством Ульяновской области на 2025</w:t>
      </w:r>
      <w:r w:rsidR="00574169">
        <w:rPr>
          <w:rFonts w:ascii="PT Astra Serif" w:eastAsia="Calibri" w:hAnsi="PT Astra Serif" w:cs="Times New Roman"/>
          <w:szCs w:val="28"/>
        </w:rPr>
        <w:t xml:space="preserve"> </w:t>
      </w:r>
      <w:r w:rsidRPr="002E14EA">
        <w:rPr>
          <w:rFonts w:ascii="PT Astra Serif" w:eastAsia="Calibri" w:hAnsi="PT Astra Serif" w:cs="Times New Roman"/>
          <w:szCs w:val="28"/>
        </w:rPr>
        <w:t>-</w:t>
      </w:r>
      <w:r w:rsidR="00574169">
        <w:rPr>
          <w:rFonts w:ascii="PT Astra Serif" w:eastAsia="Calibri" w:hAnsi="PT Astra Serif" w:cs="Times New Roman"/>
          <w:szCs w:val="28"/>
        </w:rPr>
        <w:t xml:space="preserve"> </w:t>
      </w:r>
      <w:r w:rsidRPr="002E14EA">
        <w:rPr>
          <w:rFonts w:ascii="PT Astra Serif" w:eastAsia="Calibri" w:hAnsi="PT Astra Serif" w:cs="Times New Roman"/>
          <w:szCs w:val="28"/>
        </w:rPr>
        <w:t>2027 годы, посвященное вопросам корпоративной демографической политики и наставничества на предприятиях региона.</w:t>
      </w:r>
    </w:p>
    <w:p w14:paraId="5BA0BB2E" w14:textId="77777777" w:rsidR="00343E0D" w:rsidRDefault="002E14EA" w:rsidP="00343E0D">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Также заключено Региональное соглашение о минимальной заработной плате на территории Ульяновской области на 2026 год, которым с 01.01.2026 уровень </w:t>
      </w:r>
      <w:r w:rsidRPr="002E14EA">
        <w:rPr>
          <w:rFonts w:ascii="PT Astra Serif" w:eastAsia="Calibri" w:hAnsi="PT Astra Serif" w:cs="Times New Roman"/>
          <w:b/>
          <w:szCs w:val="28"/>
        </w:rPr>
        <w:t>минимальной зарплаты на территории Ульяновской области установлен в размере 27 882 рублей в месяц</w:t>
      </w:r>
      <w:r w:rsidRPr="002E14EA">
        <w:rPr>
          <w:rFonts w:ascii="PT Astra Serif" w:eastAsia="Calibri" w:hAnsi="PT Astra Serif" w:cs="Times New Roman"/>
          <w:szCs w:val="28"/>
        </w:rPr>
        <w:t xml:space="preserve"> для работников внебюджетного </w:t>
      </w:r>
      <w:r w:rsidRPr="002E14EA">
        <w:rPr>
          <w:rFonts w:ascii="PT Astra Serif" w:eastAsia="Calibri" w:hAnsi="PT Astra Serif" w:cs="Times New Roman"/>
          <w:szCs w:val="28"/>
        </w:rPr>
        <w:lastRenderedPageBreak/>
        <w:t xml:space="preserve">сектора экономики и среднего предпринимательства, таким образом размер минимальной заработной платы увеличен на 20,7%, в сравнении с 2025 годом, а также выше федерального МРОТ (27 093 рублей), установленного </w:t>
      </w:r>
      <w:r w:rsidR="00815ABC">
        <w:rPr>
          <w:rFonts w:ascii="PT Astra Serif" w:eastAsia="Calibri" w:hAnsi="PT Astra Serif" w:cs="Times New Roman"/>
          <w:szCs w:val="28"/>
        </w:rPr>
        <w:br/>
      </w:r>
      <w:r w:rsidRPr="002E14EA">
        <w:rPr>
          <w:rFonts w:ascii="PT Astra Serif" w:eastAsia="Calibri" w:hAnsi="PT Astra Serif" w:cs="Times New Roman"/>
          <w:szCs w:val="28"/>
        </w:rPr>
        <w:t>с 01.01.2026 на 2,9% (в 2025 году размер региональной минимальной заработной платы составлял 23</w:t>
      </w:r>
      <w:r w:rsidR="00815ABC">
        <w:rPr>
          <w:rFonts w:ascii="PT Astra Serif" w:eastAsia="Calibri" w:hAnsi="PT Astra Serif" w:cs="Times New Roman"/>
          <w:szCs w:val="28"/>
        </w:rPr>
        <w:t> </w:t>
      </w:r>
      <w:r w:rsidRPr="002E14EA">
        <w:rPr>
          <w:rFonts w:ascii="PT Astra Serif" w:eastAsia="Calibri" w:hAnsi="PT Astra Serif" w:cs="Times New Roman"/>
          <w:szCs w:val="28"/>
        </w:rPr>
        <w:t>100 рублей, федерального МРОТ – 22 440 рублей).</w:t>
      </w:r>
    </w:p>
    <w:p w14:paraId="2E965010" w14:textId="77777777" w:rsidR="00343E0D" w:rsidRDefault="00343E0D" w:rsidP="00343E0D">
      <w:pPr>
        <w:widowControl w:val="0"/>
        <w:pBdr>
          <w:bottom w:val="single" w:sz="4" w:space="31" w:color="FFFFFF"/>
        </w:pBdr>
        <w:contextualSpacing/>
        <w:rPr>
          <w:rFonts w:ascii="PT Astra Serif" w:eastAsia="Calibri" w:hAnsi="PT Astra Serif" w:cs="Times New Roman"/>
          <w:szCs w:val="28"/>
        </w:rPr>
      </w:pPr>
    </w:p>
    <w:p w14:paraId="31E96D33" w14:textId="7D1876E6" w:rsidR="002E14EA" w:rsidRPr="002E14EA" w:rsidRDefault="002E14EA" w:rsidP="00343E0D">
      <w:pPr>
        <w:widowControl w:val="0"/>
        <w:pBdr>
          <w:bottom w:val="single" w:sz="4" w:space="31" w:color="FFFFFF"/>
        </w:pBdr>
        <w:ind w:firstLine="0"/>
        <w:contextualSpacing/>
        <w:jc w:val="center"/>
        <w:rPr>
          <w:rFonts w:ascii="PT Astra Serif" w:eastAsia="Calibri" w:hAnsi="PT Astra Serif" w:cs="Times New Roman"/>
          <w:b/>
          <w:i/>
          <w:szCs w:val="28"/>
        </w:rPr>
      </w:pPr>
      <w:r w:rsidRPr="002E14EA">
        <w:rPr>
          <w:rFonts w:ascii="PT Astra Serif" w:eastAsia="Calibri" w:hAnsi="PT Astra Serif" w:cs="Times New Roman"/>
          <w:b/>
          <w:i/>
          <w:szCs w:val="28"/>
        </w:rPr>
        <w:t>Охрана труда</w:t>
      </w:r>
    </w:p>
    <w:p w14:paraId="630F0814" w14:textId="77777777" w:rsidR="002E14EA" w:rsidRPr="002E14EA" w:rsidRDefault="002E14EA" w:rsidP="002E14EA">
      <w:pPr>
        <w:widowControl w:val="0"/>
        <w:pBdr>
          <w:bottom w:val="single" w:sz="4" w:space="31" w:color="FFFFFF"/>
        </w:pBdr>
        <w:ind w:firstLine="0"/>
        <w:contextualSpacing/>
        <w:jc w:val="center"/>
        <w:rPr>
          <w:rFonts w:ascii="PT Astra Serif" w:eastAsia="Calibri" w:hAnsi="PT Astra Serif" w:cs="Times New Roman"/>
          <w:b/>
          <w:szCs w:val="28"/>
        </w:rPr>
      </w:pPr>
    </w:p>
    <w:p w14:paraId="52B5DD34" w14:textId="40F02AC4"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Согласно Стратегии социально-экономического развития Ульяновской области до 2030 года, утвержденной постановлением Правительства Ульяновской области от 13.07.2015 № 16/319-П «Об утверждении Стратегии социально-экономического развития Ульяновской области до 2030 года» (далее - стратегия социально-экономического развития Ульяновской области), основными задачами для Ульяновской области являются повышение уровня </w:t>
      </w:r>
      <w:r w:rsidR="00815ABC">
        <w:rPr>
          <w:rFonts w:ascii="PT Astra Serif" w:eastAsia="Calibri" w:hAnsi="PT Astra Serif" w:cs="Times New Roman"/>
          <w:szCs w:val="28"/>
        </w:rPr>
        <w:br/>
      </w:r>
      <w:r w:rsidRPr="002E14EA">
        <w:rPr>
          <w:rFonts w:ascii="PT Astra Serif" w:eastAsia="Calibri" w:hAnsi="PT Astra Serif" w:cs="Times New Roman"/>
          <w:szCs w:val="28"/>
        </w:rPr>
        <w:t>и качества жизни населения, сохранение и укрепление здоровья населения, увеличение роли профилактики заболеваний и формирование здорового образа жизни.</w:t>
      </w:r>
    </w:p>
    <w:p w14:paraId="25F3E9FC" w14:textId="799FB5EA"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целях обеспечения безопасности труда и сохранения жизни </w:t>
      </w:r>
      <w:r w:rsidRPr="002E14EA">
        <w:rPr>
          <w:rFonts w:ascii="PT Astra Serif" w:eastAsia="Calibri" w:hAnsi="PT Astra Serif" w:cs="Times New Roman"/>
          <w:szCs w:val="28"/>
        </w:rPr>
        <w:br/>
        <w:t xml:space="preserve">и здоровья работников в процессе трудовой деятельности в Ульяновской области утверждён указ Губернатора Ульяновской области от 29.062018 № 61 «О мерах направленных на совершенствование деятельности в сферах охраны труда и профилактики несчастных случаев на производстве </w:t>
      </w:r>
      <w:r w:rsidR="00593A35">
        <w:rPr>
          <w:rFonts w:ascii="PT Astra Serif" w:eastAsia="Calibri" w:hAnsi="PT Astra Serif" w:cs="Times New Roman"/>
          <w:szCs w:val="28"/>
        </w:rPr>
        <w:br/>
      </w:r>
      <w:r w:rsidRPr="002E14EA">
        <w:rPr>
          <w:rFonts w:ascii="PT Astra Serif" w:eastAsia="Calibri" w:hAnsi="PT Astra Serif" w:cs="Times New Roman"/>
          <w:szCs w:val="28"/>
        </w:rPr>
        <w:t xml:space="preserve">и профессиональных заболеваний», которым утверждена Типовая программа «нулевого травматизма» в Ульяновской области. </w:t>
      </w:r>
    </w:p>
    <w:p w14:paraId="19643713"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По итогам 2025 года в Ульяновской области отмечается </w:t>
      </w:r>
      <w:r w:rsidRPr="002E14EA">
        <w:rPr>
          <w:rFonts w:ascii="PT Astra Serif" w:eastAsia="Calibri" w:hAnsi="PT Astra Serif" w:cs="Times New Roman"/>
          <w:b/>
          <w:szCs w:val="28"/>
        </w:rPr>
        <w:t xml:space="preserve">положительная динамика </w:t>
      </w:r>
      <w:r w:rsidRPr="002E14EA">
        <w:rPr>
          <w:rFonts w:ascii="PT Astra Serif" w:eastAsia="Calibri" w:hAnsi="PT Astra Serif" w:cs="Times New Roman"/>
          <w:szCs w:val="28"/>
        </w:rPr>
        <w:t xml:space="preserve">следующих показателей в сфере охраны труда: </w:t>
      </w:r>
    </w:p>
    <w:p w14:paraId="34A1952A" w14:textId="10420F12"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на 8% увеличилось количество организаций, реализующих программы «Нулевой травматизм» (2025 год – 1 387 организаций, 2024 год – 1 273 организации). Финансирование «Нулевой травматизм» в организациях региона незначительно увеличилось и составило 925 млн рублей (2024 год – 924 млн рублей);</w:t>
      </w:r>
    </w:p>
    <w:p w14:paraId="35E44E1D"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достигнут показатель «нулевого травматизма» со смертельным исходом с лицами моложе 18 лет; общая численность пострадавших на производстве уменьшилась на 8,8% и составила 181 человек (в 2024 году -197 человек); </w:t>
      </w:r>
    </w:p>
    <w:p w14:paraId="5817B25B" w14:textId="77777777" w:rsidR="00E57F26" w:rsidRPr="00E57F26" w:rsidRDefault="00E57F26" w:rsidP="00E57F26">
      <w:pPr>
        <w:widowControl w:val="0"/>
        <w:pBdr>
          <w:bottom w:val="single" w:sz="4" w:space="31" w:color="FFFFFF"/>
        </w:pBdr>
        <w:contextualSpacing/>
        <w:rPr>
          <w:rFonts w:ascii="PT Astra Serif" w:eastAsia="Calibri" w:hAnsi="PT Astra Serif" w:cs="Times New Roman"/>
          <w:szCs w:val="28"/>
        </w:rPr>
      </w:pPr>
      <w:r w:rsidRPr="00E57F26">
        <w:rPr>
          <w:rFonts w:ascii="PT Astra Serif" w:eastAsia="Calibri" w:hAnsi="PT Astra Serif" w:cs="Times New Roman"/>
          <w:szCs w:val="28"/>
        </w:rPr>
        <w:t xml:space="preserve">уменьшилось на 71% количество травм с тяжелым исходом и составило 28 человек (в 2024 году — 48 человек); </w:t>
      </w:r>
    </w:p>
    <w:p w14:paraId="20222135" w14:textId="77777777" w:rsidR="00E57F26" w:rsidRPr="00E57F26" w:rsidRDefault="00E57F26" w:rsidP="00E57F26">
      <w:pPr>
        <w:widowControl w:val="0"/>
        <w:pBdr>
          <w:bottom w:val="single" w:sz="4" w:space="31" w:color="FFFFFF"/>
        </w:pBdr>
        <w:contextualSpacing/>
        <w:rPr>
          <w:rFonts w:ascii="PT Astra Serif" w:eastAsia="Calibri" w:hAnsi="PT Astra Serif" w:cs="Times New Roman"/>
          <w:szCs w:val="28"/>
        </w:rPr>
      </w:pPr>
      <w:r w:rsidRPr="00E57F26">
        <w:rPr>
          <w:rFonts w:ascii="PT Astra Serif" w:eastAsia="Calibri" w:hAnsi="PT Astra Serif" w:cs="Times New Roman"/>
          <w:szCs w:val="28"/>
        </w:rPr>
        <w:t xml:space="preserve">по результатам проведения специальной оценки труда на 3% уменьшилось количество рабочих мест, признанных вредными и (или) опасными от общего числа мест, на которых была проведена специальная оценка условий труда (в 2025 году — 35%, в 2024 году -38%). </w:t>
      </w:r>
    </w:p>
    <w:p w14:paraId="2888BFCE" w14:textId="0579A586" w:rsidR="00E57F26" w:rsidRDefault="00E57F26" w:rsidP="002E14EA">
      <w:pPr>
        <w:widowControl w:val="0"/>
        <w:pBdr>
          <w:bottom w:val="single" w:sz="4" w:space="31" w:color="FFFFFF"/>
        </w:pBdr>
        <w:contextualSpacing/>
        <w:rPr>
          <w:rFonts w:ascii="PT Astra Serif" w:eastAsia="Calibri" w:hAnsi="PT Astra Serif" w:cs="Times New Roman"/>
          <w:szCs w:val="28"/>
        </w:rPr>
      </w:pPr>
      <w:r w:rsidRPr="00E57F26">
        <w:rPr>
          <w:rFonts w:ascii="PT Astra Serif" w:eastAsia="Calibri" w:hAnsi="PT Astra Serif" w:cs="Times New Roman"/>
          <w:szCs w:val="28"/>
        </w:rPr>
        <w:t>Процедура по проведению специальной оценки условий труда позволяет назначать либо отменять компенсации за работу во вредных и/или опасных условиях труда и разрабатывать мероприятия по улучшению и оздоровлению рабочих мест.</w:t>
      </w:r>
    </w:p>
    <w:p w14:paraId="26CFB7CF" w14:textId="25A2EA67" w:rsidR="004A0CE8" w:rsidRDefault="004A0CE8" w:rsidP="002E14EA">
      <w:pPr>
        <w:widowControl w:val="0"/>
        <w:pBdr>
          <w:bottom w:val="single" w:sz="4" w:space="31" w:color="FFFFFF"/>
        </w:pBdr>
        <w:contextualSpacing/>
        <w:rPr>
          <w:rFonts w:ascii="PT Astra Serif" w:eastAsia="Calibri" w:hAnsi="PT Astra Serif" w:cs="Times New Roman"/>
          <w:szCs w:val="28"/>
        </w:rPr>
      </w:pPr>
    </w:p>
    <w:p w14:paraId="7AA24EE9" w14:textId="0ADB59C6" w:rsidR="00E57F26" w:rsidRDefault="00E57F26" w:rsidP="00E57F26">
      <w:pPr>
        <w:widowControl w:val="0"/>
        <w:pBdr>
          <w:bottom w:val="single" w:sz="4" w:space="31" w:color="FFFFFF"/>
        </w:pBdr>
        <w:ind w:firstLine="0"/>
        <w:contextualSpacing/>
        <w:jc w:val="center"/>
        <w:rPr>
          <w:rFonts w:ascii="PT Astra Serif" w:eastAsia="Calibri" w:hAnsi="PT Astra Serif" w:cs="Times New Roman"/>
          <w:b/>
          <w:szCs w:val="28"/>
        </w:rPr>
      </w:pPr>
      <w:r w:rsidRPr="00E57F26">
        <w:rPr>
          <w:rFonts w:ascii="PT Astra Serif" w:eastAsia="Calibri" w:hAnsi="PT Astra Serif" w:cs="Times New Roman"/>
          <w:b/>
          <w:szCs w:val="28"/>
        </w:rPr>
        <w:t>Основные задачи и риски на 2026 год</w:t>
      </w:r>
    </w:p>
    <w:p w14:paraId="1C0FB5C2" w14:textId="77777777" w:rsidR="00E57F26" w:rsidRDefault="00E57F26" w:rsidP="00E57F26">
      <w:pPr>
        <w:widowControl w:val="0"/>
        <w:pBdr>
          <w:bottom w:val="single" w:sz="4" w:space="31" w:color="FFFFFF"/>
        </w:pBdr>
        <w:ind w:firstLine="0"/>
        <w:contextualSpacing/>
        <w:jc w:val="center"/>
        <w:rPr>
          <w:rFonts w:ascii="PT Astra Serif" w:eastAsia="Calibri" w:hAnsi="PT Astra Serif" w:cs="Times New Roman"/>
          <w:b/>
          <w:szCs w:val="28"/>
        </w:rPr>
      </w:pPr>
    </w:p>
    <w:p w14:paraId="2458EB3B" w14:textId="4A1AA114"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1. Реализация национального проекта «Кадры» в целях повышения</w:t>
      </w:r>
      <w:r w:rsidRPr="002E14EA">
        <w:rPr>
          <w:rFonts w:ascii="PT Astra Serif" w:eastAsia="Calibri" w:hAnsi="PT Astra Serif" w:cs="Times New Roman"/>
          <w:b/>
          <w:szCs w:val="28"/>
        </w:rPr>
        <w:t xml:space="preserve"> </w:t>
      </w:r>
      <w:r w:rsidRPr="002E14EA">
        <w:rPr>
          <w:rFonts w:ascii="PT Astra Serif" w:eastAsia="Calibri" w:hAnsi="PT Astra Serif" w:cs="Times New Roman"/>
          <w:szCs w:val="28"/>
        </w:rPr>
        <w:t>качества рабочей силы. Масштабный межведомственный национальный проект «Кадры» направлен на решение текущих и среднесрочных задач кадровой политики. Кроме этого, вопрос кадрового обеспечение экономики Ульяновской области является ключевым и включен в проекте Стратегии социально-экономического развития Ульяновской области до 2036 года.</w:t>
      </w:r>
    </w:p>
    <w:p w14:paraId="0244FE85"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Трансформация подходов к подготовке, развитию и удержанию квалифицированных кадров - задачи, которые предстоит решать в 2026 году:</w:t>
      </w:r>
    </w:p>
    <w:p w14:paraId="2BE4DDC1"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развитие и популяризации единой цифровой платформы в сфере занятости и трудовых отношений «Работа в России» (всероссийский опрос </w:t>
      </w:r>
      <w:r w:rsidRPr="002E14EA">
        <w:rPr>
          <w:rFonts w:ascii="PT Astra Serif" w:eastAsia="Calibri" w:hAnsi="PT Astra Serif" w:cs="Times New Roman"/>
          <w:szCs w:val="28"/>
        </w:rPr>
        <w:br/>
        <w:t xml:space="preserve">и прогнозирование потребности в кадрах в 2026 году будет реализовано на данной платформе впервые, а значит привлечение большего числа работодателей (частного сектора) на цифровое взаимодействие </w:t>
      </w:r>
      <w:r w:rsidRPr="002E14EA">
        <w:rPr>
          <w:rFonts w:ascii="PT Astra Serif" w:eastAsia="Calibri" w:hAnsi="PT Astra Serif" w:cs="Times New Roman"/>
          <w:szCs w:val="28"/>
        </w:rPr>
        <w:br/>
        <w:t>с государством становится одной из приоритетных задач в предстоящем году);</w:t>
      </w:r>
    </w:p>
    <w:p w14:paraId="061BF9C1"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формирование новой системы профориентации и маршрутизации молодежи (определение рисков </w:t>
      </w:r>
      <w:proofErr w:type="spellStart"/>
      <w:r w:rsidRPr="002E14EA">
        <w:rPr>
          <w:rFonts w:ascii="PT Astra Serif" w:eastAsia="Calibri" w:hAnsi="PT Astra Serif" w:cs="Times New Roman"/>
          <w:szCs w:val="28"/>
        </w:rPr>
        <w:t>нетрудоустройства</w:t>
      </w:r>
      <w:proofErr w:type="spellEnd"/>
      <w:r w:rsidRPr="002E14EA">
        <w:rPr>
          <w:rFonts w:ascii="PT Astra Serif" w:eastAsia="Calibri" w:hAnsi="PT Astra Serif" w:cs="Times New Roman"/>
          <w:szCs w:val="28"/>
        </w:rPr>
        <w:t xml:space="preserve"> студентов, развитие сервисов практики и стажировки, усиление работы по организации целевого обучения). Планируется ежегодно охватить мероприятиями при межведомственным взаимодействии не менее 25% студентов вузов </w:t>
      </w:r>
      <w:r w:rsidRPr="002E14EA">
        <w:rPr>
          <w:rFonts w:ascii="PT Astra Serif" w:eastAsia="Calibri" w:hAnsi="PT Astra Serif" w:cs="Times New Roman"/>
          <w:szCs w:val="28"/>
        </w:rPr>
        <w:br/>
        <w:t>и техникумов и 50% всех учащихся 8 - 11 классов;</w:t>
      </w:r>
    </w:p>
    <w:p w14:paraId="7A4913E9"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совершенствование системы дополнительного профессионального образования под потребности работодателя и технологические вызовы </w:t>
      </w:r>
      <w:r w:rsidRPr="002E14EA">
        <w:rPr>
          <w:rFonts w:ascii="PT Astra Serif" w:eastAsia="Calibri" w:hAnsi="PT Astra Serif" w:cs="Times New Roman"/>
          <w:szCs w:val="28"/>
        </w:rPr>
        <w:br/>
        <w:t>(в 2025 году в рамках проекта обучено порядка 1,7 тыс. человек, в 2026 году прогнозируем показатели не меньше); продолжаем работу по организации обучения сотрудников предприятий оборонено-промышленного комплекса (планируется привлечь прядка 9,0 млн. рублей);</w:t>
      </w:r>
    </w:p>
    <w:p w14:paraId="4079A898"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мероприятия по продвижению людей труда, повышению престижа рабочих профессий: планируем участие Ульяновской области во Всероссийском конкурсе «Лучший по профессии», а также проведение областного конкурса «Семейные трудовые династии» </w:t>
      </w:r>
    </w:p>
    <w:p w14:paraId="1645B68C"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2. Обеспечение равных возможностей на рынке труда всем гражданам.</w:t>
      </w:r>
    </w:p>
    <w:p w14:paraId="0B78DED9" w14:textId="58C38094"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Первоочередной задачей на 2026 год и последующие годы остается задача, поставленная нашим Президентом РФ В.В. Путиным по комплексному решению вопросов участников специальной военной операции, ветеранов боевых действий, связанных с их трудоустройством и профессиональным обучением.</w:t>
      </w:r>
    </w:p>
    <w:p w14:paraId="3709D0F9"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В 2026 году Ульяновской областью, помимо обучения в рамках национального проекта «Кадры», планируется организовать обучение по востребованным на рынке труда профессиям ветеранов СВО с применением образовательных сертификатов. Это позволит сделать процесс подбора </w:t>
      </w:r>
      <w:r w:rsidRPr="002E14EA">
        <w:rPr>
          <w:rFonts w:ascii="PT Astra Serif" w:eastAsia="Calibri" w:hAnsi="PT Astra Serif" w:cs="Times New Roman"/>
          <w:szCs w:val="28"/>
        </w:rPr>
        <w:lastRenderedPageBreak/>
        <w:t>вариантов получения профессии и само обучение более индивидуальным.</w:t>
      </w:r>
    </w:p>
    <w:p w14:paraId="0EA2A565"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Одна из глобальных задач для региональной службы занятости по молодежному треку на 2026 год - выстраивание системной и комплексной работы в рамках реализации Методических рекомендаций по профориентации и маршрутизации молодёжи.</w:t>
      </w:r>
    </w:p>
    <w:p w14:paraId="10AFCB5E"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 xml:space="preserve">Методические рекомендации по профориентации и маршрутизации молодежи — совместный проект Минобразования, </w:t>
      </w:r>
      <w:proofErr w:type="spellStart"/>
      <w:r w:rsidRPr="002E14EA">
        <w:rPr>
          <w:rFonts w:ascii="PT Astra Serif" w:eastAsia="Calibri" w:hAnsi="PT Astra Serif" w:cs="Times New Roman"/>
          <w:szCs w:val="28"/>
        </w:rPr>
        <w:t>Минпросвещения</w:t>
      </w:r>
      <w:proofErr w:type="spellEnd"/>
      <w:r w:rsidRPr="002E14EA">
        <w:rPr>
          <w:rFonts w:ascii="PT Astra Serif" w:eastAsia="Calibri" w:hAnsi="PT Astra Serif" w:cs="Times New Roman"/>
          <w:szCs w:val="28"/>
        </w:rPr>
        <w:t xml:space="preserve">, Минтруда и иных заинтересованных сторон, реализация которого стартовала по всей стране с сентября 2025 года. Проект по маршрутизации молодежи призван выстроить для школьников и студентов реальные карьерные пути – от выбора профессии до успешного трудоустройства по специальности </w:t>
      </w:r>
      <w:r w:rsidRPr="002E14EA">
        <w:rPr>
          <w:rFonts w:ascii="PT Astra Serif" w:eastAsia="Calibri" w:hAnsi="PT Astra Serif" w:cs="Times New Roman"/>
          <w:szCs w:val="28"/>
        </w:rPr>
        <w:br/>
        <w:t xml:space="preserve">и адаптации на рабочем месте. Работать будем в тесном взаимодействии </w:t>
      </w:r>
      <w:r w:rsidRPr="002E14EA">
        <w:rPr>
          <w:rFonts w:ascii="PT Astra Serif" w:eastAsia="Calibri" w:hAnsi="PT Astra Serif" w:cs="Times New Roman"/>
          <w:szCs w:val="28"/>
        </w:rPr>
        <w:br/>
        <w:t xml:space="preserve">с Министерством просвещения и воспитания Ульяновской области, главами администраций муниципальных образований, директорами техникумов </w:t>
      </w:r>
      <w:r w:rsidRPr="002E14EA">
        <w:rPr>
          <w:rFonts w:ascii="PT Astra Serif" w:eastAsia="Calibri" w:hAnsi="PT Astra Serif" w:cs="Times New Roman"/>
          <w:szCs w:val="28"/>
        </w:rPr>
        <w:br/>
        <w:t>и школ, центрами карьерами вузов. От того, насколько эффективно мы сможем выстроить диалог с молодежью сегодня, будет зависеть будущее предприятий, развитие территорий области, отраслей экономики завтра.</w:t>
      </w:r>
    </w:p>
    <w:p w14:paraId="4319870D" w14:textId="77777777" w:rsidR="002E14EA" w:rsidRP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3. Улучшение условий жизни и условий труда граждан.</w:t>
      </w:r>
    </w:p>
    <w:p w14:paraId="00D9EDDE" w14:textId="77777777" w:rsidR="002E14EA" w:rsidRDefault="002E14EA" w:rsidP="002E14EA">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В рамках выполнения поставленной задачи запланировано на 2026 год, легализовать трудовые отношения более 8,0 тысячи лиц.</w:t>
      </w:r>
    </w:p>
    <w:p w14:paraId="3466A464" w14:textId="1C48A74A" w:rsidR="000F0288" w:rsidRDefault="002E14EA" w:rsidP="00E57F26">
      <w:pPr>
        <w:widowControl w:val="0"/>
        <w:pBdr>
          <w:bottom w:val="single" w:sz="4" w:space="31" w:color="FFFFFF"/>
        </w:pBdr>
        <w:contextualSpacing/>
        <w:rPr>
          <w:rFonts w:ascii="PT Astra Serif" w:eastAsia="Calibri" w:hAnsi="PT Astra Serif" w:cs="Times New Roman"/>
          <w:szCs w:val="28"/>
        </w:rPr>
      </w:pPr>
      <w:r w:rsidRPr="002E14EA">
        <w:rPr>
          <w:rFonts w:ascii="PT Astra Serif" w:eastAsia="Calibri" w:hAnsi="PT Astra Serif" w:cs="Times New Roman"/>
          <w:szCs w:val="28"/>
        </w:rPr>
        <w:t>Кроме этого, будем продолжаться работу по заключению локальных соглашений об индексации заработной платы, а также разработка Регионального соглашения между Областным союзом «Федерация профсоюзов Ульяновской области», объединениями работодателей Ульяновской области, Правительством Ульяновской области о минимальной</w:t>
      </w:r>
      <w:r>
        <w:rPr>
          <w:rFonts w:ascii="PT Astra Serif" w:eastAsia="Calibri" w:hAnsi="PT Astra Serif" w:cs="Times New Roman"/>
          <w:szCs w:val="28"/>
        </w:rPr>
        <w:t xml:space="preserve"> заработной плате в Ульяновской </w:t>
      </w:r>
      <w:proofErr w:type="spellStart"/>
      <w:r>
        <w:rPr>
          <w:rFonts w:ascii="PT Astra Serif" w:eastAsia="Calibri" w:hAnsi="PT Astra Serif" w:cs="Times New Roman"/>
          <w:szCs w:val="28"/>
        </w:rPr>
        <w:t>обалсти</w:t>
      </w:r>
      <w:proofErr w:type="spellEnd"/>
      <w:r>
        <w:rPr>
          <w:rFonts w:ascii="PT Astra Serif" w:eastAsia="Calibri" w:hAnsi="PT Astra Serif" w:cs="Times New Roman"/>
          <w:szCs w:val="28"/>
        </w:rPr>
        <w:t xml:space="preserve"> на 2027 год.</w:t>
      </w:r>
    </w:p>
    <w:p w14:paraId="2A468A57" w14:textId="573FE2A5" w:rsidR="00E57F26" w:rsidRDefault="00E57F26">
      <w:pPr>
        <w:spacing w:after="160" w:line="259" w:lineRule="auto"/>
        <w:ind w:firstLine="0"/>
        <w:jc w:val="left"/>
        <w:rPr>
          <w:rFonts w:ascii="PT Astra Serif" w:eastAsia="Calibri" w:hAnsi="PT Astra Serif" w:cs="Times New Roman"/>
          <w:szCs w:val="28"/>
        </w:rPr>
      </w:pPr>
      <w:r>
        <w:rPr>
          <w:rFonts w:ascii="PT Astra Serif" w:eastAsia="Calibri" w:hAnsi="PT Astra Serif" w:cs="Times New Roman"/>
          <w:szCs w:val="28"/>
        </w:rPr>
        <w:br w:type="page"/>
      </w:r>
    </w:p>
    <w:p w14:paraId="58C49678" w14:textId="14970798" w:rsidR="00EE52B8" w:rsidRPr="007020C3" w:rsidRDefault="005C05DF" w:rsidP="0076482B">
      <w:pPr>
        <w:keepNext/>
        <w:keepLines/>
        <w:widowControl w:val="0"/>
        <w:suppressAutoHyphens/>
        <w:ind w:firstLine="0"/>
        <w:contextualSpacing/>
        <w:jc w:val="center"/>
        <w:outlineLvl w:val="0"/>
        <w:rPr>
          <w:rFonts w:ascii="PT Astra Serif" w:eastAsia="Calibri" w:hAnsi="PT Astra Serif" w:cs="Times New Roman"/>
          <w:b/>
          <w:color w:val="000000" w:themeColor="text1"/>
          <w:kern w:val="2"/>
          <w:szCs w:val="28"/>
          <w:lang w:eastAsia="x-none"/>
        </w:rPr>
      </w:pPr>
      <w:bookmarkStart w:id="11" w:name="_Toc226016701"/>
      <w:r w:rsidRPr="007020C3">
        <w:rPr>
          <w:rFonts w:ascii="PT Astra Serif" w:eastAsia="Calibri" w:hAnsi="PT Astra Serif" w:cs="Times New Roman"/>
          <w:b/>
          <w:color w:val="000000" w:themeColor="text1"/>
          <w:kern w:val="2"/>
          <w:szCs w:val="28"/>
          <w:lang w:eastAsia="x-none"/>
        </w:rPr>
        <w:lastRenderedPageBreak/>
        <w:t>ФИЗИЧЕСКАЯ КУЛЬТУРА И СПОРТ</w:t>
      </w:r>
      <w:bookmarkEnd w:id="11"/>
    </w:p>
    <w:p w14:paraId="056F8652" w14:textId="3D3301DB" w:rsidR="00B00C7F" w:rsidRDefault="00B00C7F" w:rsidP="0076482B">
      <w:pPr>
        <w:widowControl w:val="0"/>
        <w:rPr>
          <w:rFonts w:ascii="PT Astra Serif" w:eastAsia="Times New Roman" w:hAnsi="PT Astra Serif"/>
          <w:b/>
          <w:szCs w:val="28"/>
        </w:rPr>
      </w:pPr>
    </w:p>
    <w:p w14:paraId="39980B9B"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Основные направления отраслевой политики Министерства физической культуры и спорта Ульяновской области определены исходя из Указов Президента Российской Федерации, Стратегии развития физической культуры и спорта в Российской Федерации на период до 2030 года, поручений </w:t>
      </w:r>
      <w:r>
        <w:rPr>
          <w:rFonts w:ascii="PT Astra Serif" w:eastAsia="Times New Roman" w:hAnsi="PT Astra Serif"/>
          <w:szCs w:val="28"/>
        </w:rPr>
        <w:br/>
      </w:r>
      <w:r w:rsidRPr="00ED6292">
        <w:rPr>
          <w:rFonts w:ascii="PT Astra Serif" w:eastAsia="Times New Roman" w:hAnsi="PT Astra Serif"/>
          <w:szCs w:val="28"/>
        </w:rPr>
        <w:t>с заседаний Совета при Президенте России по развитию физической культуры и спорта, важнейших решений, принятых Губернатором и Правительством Ульяновской области, государственной программы Ульяновской области «Развитие физической культуры и спорта в Ульяновской области».</w:t>
      </w:r>
    </w:p>
    <w:p w14:paraId="19021613" w14:textId="77777777" w:rsidR="007222A5" w:rsidRPr="00ED6292" w:rsidRDefault="007222A5" w:rsidP="007222A5">
      <w:pPr>
        <w:widowControl w:val="0"/>
        <w:rPr>
          <w:rFonts w:ascii="PT Astra Serif" w:eastAsia="Times New Roman" w:hAnsi="PT Astra Serif"/>
          <w:szCs w:val="28"/>
        </w:rPr>
      </w:pPr>
    </w:p>
    <w:p w14:paraId="00159C71" w14:textId="77777777" w:rsidR="007222A5"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Итоги реализации федеральных и ведомственных проектов</w:t>
      </w:r>
    </w:p>
    <w:p w14:paraId="581F3DBE" w14:textId="77777777" w:rsidR="007222A5" w:rsidRPr="00ED6292" w:rsidRDefault="007222A5" w:rsidP="007222A5">
      <w:pPr>
        <w:widowControl w:val="0"/>
        <w:ind w:firstLine="0"/>
        <w:jc w:val="center"/>
        <w:rPr>
          <w:rFonts w:ascii="PT Astra Serif" w:eastAsia="Times New Roman" w:hAnsi="PT Astra Serif"/>
          <w:b/>
          <w:szCs w:val="28"/>
        </w:rPr>
      </w:pPr>
    </w:p>
    <w:p w14:paraId="41907FAF"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Реализация федерального проекта «Спорт - норма жизни»</w:t>
      </w:r>
      <w:r>
        <w:rPr>
          <w:rFonts w:ascii="PT Astra Serif" w:eastAsia="Times New Roman" w:hAnsi="PT Astra Serif"/>
          <w:szCs w:val="28"/>
        </w:rPr>
        <w:t>,</w:t>
      </w:r>
      <w:r w:rsidRPr="00ED6292">
        <w:rPr>
          <w:rFonts w:ascii="PT Astra Serif" w:eastAsia="Times New Roman" w:hAnsi="PT Astra Serif"/>
          <w:szCs w:val="28"/>
        </w:rPr>
        <w:t xml:space="preserve"> входящего </w:t>
      </w:r>
      <w:r>
        <w:rPr>
          <w:rFonts w:ascii="PT Astra Serif" w:eastAsia="Times New Roman" w:hAnsi="PT Astra Serif"/>
          <w:szCs w:val="28"/>
        </w:rPr>
        <w:br/>
      </w:r>
      <w:r w:rsidRPr="00ED6292">
        <w:rPr>
          <w:rFonts w:ascii="PT Astra Serif" w:eastAsia="Times New Roman" w:hAnsi="PT Astra Serif"/>
          <w:szCs w:val="28"/>
        </w:rPr>
        <w:t>в состав национального проекта «Демография»</w:t>
      </w:r>
      <w:r>
        <w:rPr>
          <w:rFonts w:ascii="PT Astra Serif" w:eastAsia="Times New Roman" w:hAnsi="PT Astra Serif"/>
          <w:szCs w:val="28"/>
        </w:rPr>
        <w:t>,</w:t>
      </w:r>
      <w:r w:rsidRPr="00ED6292">
        <w:rPr>
          <w:rFonts w:ascii="PT Astra Serif" w:eastAsia="Times New Roman" w:hAnsi="PT Astra Serif"/>
          <w:szCs w:val="28"/>
        </w:rPr>
        <w:t xml:space="preserve"> завершена в 2024 году. С 2025 года оказание государственной поддержки осуществляется в рамках государственной программы Российской Федерации «Развитие физической культуры и спорта».</w:t>
      </w:r>
    </w:p>
    <w:p w14:paraId="5F7F45FF"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2025 году на территории Ульяновской области </w:t>
      </w:r>
      <w:r w:rsidRPr="00ED6292">
        <w:rPr>
          <w:rFonts w:ascii="PT Astra Serif" w:eastAsia="Times New Roman" w:hAnsi="PT Astra Serif"/>
          <w:b/>
          <w:bCs/>
          <w:szCs w:val="28"/>
        </w:rPr>
        <w:t xml:space="preserve">реализовывались </w:t>
      </w:r>
      <w:r w:rsidRPr="00ED6292">
        <w:rPr>
          <w:rFonts w:ascii="PT Astra Serif" w:eastAsia="Times New Roman" w:hAnsi="PT Astra Serif"/>
          <w:szCs w:val="28"/>
        </w:rPr>
        <w:t xml:space="preserve">следующие </w:t>
      </w:r>
      <w:r w:rsidRPr="00ED6292">
        <w:rPr>
          <w:rFonts w:ascii="PT Astra Serif" w:eastAsia="Times New Roman" w:hAnsi="PT Astra Serif"/>
          <w:b/>
          <w:bCs/>
          <w:szCs w:val="28"/>
        </w:rPr>
        <w:t>федеральные и региональные проекты</w:t>
      </w:r>
      <w:r w:rsidRPr="00ED6292">
        <w:rPr>
          <w:rFonts w:ascii="PT Astra Serif" w:eastAsia="Times New Roman" w:hAnsi="PT Astra Serif"/>
          <w:szCs w:val="28"/>
        </w:rPr>
        <w:t>:</w:t>
      </w:r>
    </w:p>
    <w:p w14:paraId="30AD3748"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1.</w:t>
      </w:r>
      <w:r>
        <w:rPr>
          <w:rFonts w:ascii="PT Astra Serif" w:eastAsia="Times New Roman" w:hAnsi="PT Astra Serif"/>
          <w:szCs w:val="28"/>
        </w:rPr>
        <w:t xml:space="preserve"> </w:t>
      </w:r>
      <w:r w:rsidRPr="00ED6292">
        <w:rPr>
          <w:rFonts w:ascii="PT Astra Serif" w:eastAsia="Times New Roman" w:hAnsi="PT Astra Serif"/>
          <w:szCs w:val="28"/>
        </w:rPr>
        <w:t>Федеральный проект «Бизнес-спринт (Я выбираю спорт)» – создание «умных» спортивных площадок;</w:t>
      </w:r>
    </w:p>
    <w:p w14:paraId="002E915D"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2.</w:t>
      </w:r>
      <w:r>
        <w:rPr>
          <w:rFonts w:ascii="PT Astra Serif" w:eastAsia="Times New Roman" w:hAnsi="PT Astra Serif"/>
          <w:szCs w:val="28"/>
        </w:rPr>
        <w:t xml:space="preserve"> </w:t>
      </w:r>
      <w:r w:rsidRPr="00ED6292">
        <w:rPr>
          <w:rFonts w:ascii="PT Astra Serif" w:eastAsia="Times New Roman" w:hAnsi="PT Astra Serif"/>
          <w:szCs w:val="28"/>
        </w:rPr>
        <w:t>Федеральный проект «Развитие физической культуры и массового спорта» – создание малых спортивных площадок и проведение спортивно-массовых мероприятий;</w:t>
      </w:r>
    </w:p>
    <w:p w14:paraId="158B45D9"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3.</w:t>
      </w:r>
      <w:r>
        <w:rPr>
          <w:rFonts w:ascii="PT Astra Serif" w:eastAsia="Times New Roman" w:hAnsi="PT Astra Serif"/>
          <w:szCs w:val="28"/>
        </w:rPr>
        <w:t xml:space="preserve"> </w:t>
      </w:r>
      <w:r w:rsidRPr="00ED6292">
        <w:rPr>
          <w:rFonts w:ascii="PT Astra Serif" w:eastAsia="Times New Roman" w:hAnsi="PT Astra Serif"/>
          <w:szCs w:val="28"/>
        </w:rPr>
        <w:t>Федеральный проект «Развитие спорта высших достижений» – приобретение спортивного оборудования и инвентаря для спортивных школ;</w:t>
      </w:r>
    </w:p>
    <w:p w14:paraId="1B035DFE"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4.</w:t>
      </w:r>
      <w:r>
        <w:rPr>
          <w:rFonts w:ascii="PT Astra Serif" w:eastAsia="Times New Roman" w:hAnsi="PT Astra Serif"/>
          <w:szCs w:val="28"/>
        </w:rPr>
        <w:t xml:space="preserve"> </w:t>
      </w:r>
      <w:r w:rsidRPr="00ED6292">
        <w:rPr>
          <w:rFonts w:ascii="PT Astra Serif" w:eastAsia="Times New Roman" w:hAnsi="PT Astra Serif"/>
          <w:szCs w:val="28"/>
        </w:rPr>
        <w:t>Региональный приоритетный проект «Строительство и реконструкция объектов спорта».</w:t>
      </w:r>
    </w:p>
    <w:p w14:paraId="6B39980B"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b/>
          <w:bCs/>
          <w:szCs w:val="28"/>
        </w:rPr>
        <w:t>Общая сумма финансовой поддержки</w:t>
      </w:r>
      <w:r w:rsidRPr="00ED6292">
        <w:rPr>
          <w:rFonts w:ascii="PT Astra Serif" w:eastAsia="Times New Roman" w:hAnsi="PT Astra Serif"/>
          <w:szCs w:val="28"/>
        </w:rPr>
        <w:t xml:space="preserve"> по всем направлениям в 2025 году составила </w:t>
      </w:r>
      <w:r w:rsidRPr="00ED6292">
        <w:rPr>
          <w:rFonts w:ascii="PT Astra Serif" w:eastAsia="Times New Roman" w:hAnsi="PT Astra Serif"/>
          <w:b/>
          <w:bCs/>
          <w:szCs w:val="28"/>
        </w:rPr>
        <w:t>220, 8 млн рублей</w:t>
      </w:r>
      <w:r w:rsidRPr="00ED6292">
        <w:rPr>
          <w:rFonts w:ascii="PT Astra Serif" w:eastAsia="Times New Roman" w:hAnsi="PT Astra Serif"/>
          <w:szCs w:val="28"/>
        </w:rPr>
        <w:t xml:space="preserve">, в </w:t>
      </w:r>
      <w:r>
        <w:rPr>
          <w:rFonts w:ascii="PT Astra Serif" w:eastAsia="Times New Roman" w:hAnsi="PT Astra Serif"/>
          <w:szCs w:val="28"/>
        </w:rPr>
        <w:t>том числе</w:t>
      </w:r>
      <w:r w:rsidRPr="00ED6292">
        <w:rPr>
          <w:rFonts w:ascii="PT Astra Serif" w:eastAsia="Times New Roman" w:hAnsi="PT Astra Serif"/>
          <w:szCs w:val="28"/>
        </w:rPr>
        <w:t>:</w:t>
      </w:r>
    </w:p>
    <w:p w14:paraId="1B8AC7F2" w14:textId="3040308E"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28,8 млн рублей федерального бюджета;</w:t>
      </w:r>
    </w:p>
    <w:p w14:paraId="362562C2" w14:textId="526DD59C"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190,5 млн рублей областной бюджет;</w:t>
      </w:r>
    </w:p>
    <w:p w14:paraId="534A9021" w14:textId="79D0BA16"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1,5 млн рублей бюджеты муниципальных образований Ульяновской области.</w:t>
      </w:r>
    </w:p>
    <w:p w14:paraId="6E883227" w14:textId="77777777" w:rsidR="007222A5" w:rsidRPr="00ED6292" w:rsidRDefault="007222A5" w:rsidP="007222A5">
      <w:pPr>
        <w:widowControl w:val="0"/>
        <w:ind w:firstLine="0"/>
        <w:rPr>
          <w:rFonts w:ascii="PT Astra Serif" w:eastAsia="Times New Roman" w:hAnsi="PT Astra Serif"/>
          <w:szCs w:val="28"/>
        </w:rPr>
      </w:pPr>
    </w:p>
    <w:p w14:paraId="79F8FF25" w14:textId="77777777"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Финансирование сферы физической культуры и спорта</w:t>
      </w:r>
    </w:p>
    <w:p w14:paraId="60612DBE" w14:textId="77777777" w:rsidR="007222A5" w:rsidRPr="00ED6292" w:rsidRDefault="007222A5" w:rsidP="007222A5">
      <w:pPr>
        <w:widowControl w:val="0"/>
        <w:rPr>
          <w:rFonts w:ascii="PT Astra Serif" w:eastAsia="Times New Roman" w:hAnsi="PT Astra Serif"/>
          <w:b/>
          <w:szCs w:val="28"/>
        </w:rPr>
      </w:pPr>
    </w:p>
    <w:p w14:paraId="0B24C33E"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Финансовое обеспечение отрасли физической культуры и спорта Ульяновской области в 2025 году осуществлялось в рамках государственной программы Ульяновской области «Развитие физической культуры и спорта </w:t>
      </w:r>
      <w:r w:rsidRPr="00ED6292">
        <w:rPr>
          <w:rFonts w:ascii="PT Astra Serif" w:eastAsia="Times New Roman" w:hAnsi="PT Astra Serif"/>
          <w:szCs w:val="28"/>
        </w:rPr>
        <w:br/>
        <w:t>в Ульяновской области», утверждённой постановлением Правительства Ульяновской области.</w:t>
      </w:r>
    </w:p>
    <w:p w14:paraId="1C62E69C" w14:textId="539CAFF2" w:rsidR="007222A5" w:rsidRPr="00ED6292" w:rsidRDefault="007222A5" w:rsidP="007222A5">
      <w:pPr>
        <w:widowControl w:val="0"/>
        <w:rPr>
          <w:rFonts w:ascii="PT Astra Serif" w:eastAsia="Times New Roman" w:hAnsi="PT Astra Serif" w:cs="Times New Roman"/>
        </w:rPr>
      </w:pPr>
      <w:r w:rsidRPr="00ED6292">
        <w:rPr>
          <w:rFonts w:ascii="PT Astra Serif" w:eastAsia="Times New Roman" w:hAnsi="PT Astra Serif"/>
          <w:b/>
          <w:bCs/>
          <w:szCs w:val="28"/>
        </w:rPr>
        <w:t>Объём бюджетных ассигнований</w:t>
      </w:r>
      <w:r w:rsidRPr="00ED6292">
        <w:rPr>
          <w:rFonts w:ascii="PT Astra Serif" w:eastAsia="Times New Roman" w:hAnsi="PT Astra Serif"/>
          <w:szCs w:val="28"/>
        </w:rPr>
        <w:t xml:space="preserve">, предусмотренных Законом Ульяновской области об областном бюджете Ульяновской области на </w:t>
      </w:r>
      <w:r w:rsidRPr="00ED6292">
        <w:rPr>
          <w:rFonts w:ascii="PT Astra Serif" w:eastAsia="Times New Roman" w:hAnsi="PT Astra Serif"/>
          <w:szCs w:val="28"/>
        </w:rPr>
        <w:lastRenderedPageBreak/>
        <w:t xml:space="preserve">обеспечение реализации мероприятий государственной программы, составил </w:t>
      </w:r>
      <w:r w:rsidRPr="00ED6292">
        <w:rPr>
          <w:rFonts w:ascii="PT Astra Serif" w:eastAsia="Times New Roman" w:hAnsi="PT Astra Serif"/>
          <w:b/>
          <w:bCs/>
          <w:szCs w:val="28"/>
        </w:rPr>
        <w:t>в 2025 году – 1</w:t>
      </w:r>
      <w:r>
        <w:rPr>
          <w:rFonts w:ascii="PT Astra Serif" w:eastAsia="Times New Roman" w:hAnsi="PT Astra Serif"/>
          <w:b/>
          <w:bCs/>
          <w:szCs w:val="28"/>
        </w:rPr>
        <w:t> </w:t>
      </w:r>
      <w:r w:rsidRPr="00ED6292">
        <w:rPr>
          <w:rFonts w:ascii="PT Astra Serif" w:eastAsia="Times New Roman" w:hAnsi="PT Astra Serif"/>
          <w:b/>
          <w:bCs/>
          <w:szCs w:val="28"/>
        </w:rPr>
        <w:t>803,3 млн рублей</w:t>
      </w:r>
      <w:r w:rsidRPr="00ED6292">
        <w:rPr>
          <w:rFonts w:ascii="PT Astra Serif" w:eastAsia="Times New Roman" w:hAnsi="PT Astra Serif"/>
          <w:szCs w:val="28"/>
        </w:rPr>
        <w:t>, что на 513,1 млн рублей или на 22,1% меньше</w:t>
      </w:r>
      <w:r w:rsidR="002318EA">
        <w:rPr>
          <w:rFonts w:ascii="PT Astra Serif" w:eastAsia="Times New Roman" w:hAnsi="PT Astra Serif"/>
          <w:szCs w:val="28"/>
        </w:rPr>
        <w:t>,</w:t>
      </w:r>
      <w:r w:rsidRPr="00ED6292">
        <w:rPr>
          <w:rFonts w:ascii="PT Astra Serif" w:eastAsia="Times New Roman" w:hAnsi="PT Astra Serif"/>
          <w:szCs w:val="28"/>
        </w:rPr>
        <w:t xml:space="preserve"> чем в 2024 году (2</w:t>
      </w:r>
      <w:r>
        <w:rPr>
          <w:rFonts w:ascii="PT Astra Serif" w:eastAsia="Times New Roman" w:hAnsi="PT Astra Serif"/>
          <w:szCs w:val="28"/>
        </w:rPr>
        <w:t> </w:t>
      </w:r>
      <w:r w:rsidRPr="00ED6292">
        <w:rPr>
          <w:rFonts w:ascii="PT Astra Serif" w:eastAsia="Times New Roman" w:hAnsi="PT Astra Serif"/>
          <w:szCs w:val="28"/>
        </w:rPr>
        <w:t>316,4 млн рублей)</w:t>
      </w:r>
      <w:r w:rsidRPr="00ED6292">
        <w:rPr>
          <w:rFonts w:ascii="PT Astra Serif" w:eastAsia="Times New Roman" w:hAnsi="PT Astra Serif" w:cs="Times New Roman"/>
          <w:i/>
          <w:iCs/>
        </w:rPr>
        <w:t xml:space="preserve"> </w:t>
      </w:r>
      <w:r w:rsidRPr="00ED6292">
        <w:rPr>
          <w:rFonts w:ascii="PT Astra Serif" w:eastAsia="Times New Roman" w:hAnsi="PT Astra Serif" w:cs="Times New Roman"/>
        </w:rPr>
        <w:t>в том числе:</w:t>
      </w:r>
    </w:p>
    <w:p w14:paraId="1935B448" w14:textId="576C7408" w:rsidR="007222A5" w:rsidRPr="00ED6292" w:rsidRDefault="007222A5" w:rsidP="007222A5">
      <w:pPr>
        <w:widowControl w:val="0"/>
        <w:rPr>
          <w:rFonts w:ascii="PT Astra Serif" w:eastAsia="Times New Roman" w:hAnsi="PT Astra Serif" w:cs="Times New Roman"/>
        </w:rPr>
      </w:pPr>
      <w:r w:rsidRPr="00ED6292">
        <w:rPr>
          <w:rFonts w:ascii="PT Astra Serif" w:eastAsia="Times New Roman" w:hAnsi="PT Astra Serif" w:cs="Times New Roman"/>
        </w:rPr>
        <w:t xml:space="preserve">28,8 млн рублей – за счёт бюджетных ассигнований областного бюджета Ульяновской области, источником которых являются субсидии из федерального бюджета, что на 263,6 млн рублей или на 90,1% меньше, чем </w:t>
      </w:r>
      <w:r>
        <w:rPr>
          <w:rFonts w:ascii="PT Astra Serif" w:eastAsia="Times New Roman" w:hAnsi="PT Astra Serif" w:cs="Times New Roman"/>
        </w:rPr>
        <w:br/>
      </w:r>
      <w:r w:rsidRPr="00ED6292">
        <w:rPr>
          <w:rFonts w:ascii="PT Astra Serif" w:eastAsia="Times New Roman" w:hAnsi="PT Astra Serif" w:cs="Times New Roman"/>
        </w:rPr>
        <w:t>в 2024 году (292,4 млн рублей);</w:t>
      </w:r>
    </w:p>
    <w:p w14:paraId="3C51FE2E" w14:textId="1E598DA9" w:rsidR="007222A5" w:rsidRPr="00ED6292" w:rsidRDefault="007222A5" w:rsidP="007222A5">
      <w:pPr>
        <w:widowControl w:val="0"/>
        <w:rPr>
          <w:rFonts w:ascii="PT Astra Serif" w:eastAsia="Times New Roman" w:hAnsi="PT Astra Serif" w:cs="Times New Roman"/>
        </w:rPr>
      </w:pPr>
      <w:r w:rsidRPr="00ED6292">
        <w:rPr>
          <w:rFonts w:ascii="PT Astra Serif" w:eastAsia="Times New Roman" w:hAnsi="PT Astra Serif" w:cs="Times New Roman"/>
        </w:rPr>
        <w:t>1</w:t>
      </w:r>
      <w:r>
        <w:rPr>
          <w:rFonts w:ascii="PT Astra Serif" w:eastAsia="Times New Roman" w:hAnsi="PT Astra Serif" w:cs="Times New Roman"/>
        </w:rPr>
        <w:t> </w:t>
      </w:r>
      <w:r w:rsidRPr="00ED6292">
        <w:rPr>
          <w:rFonts w:ascii="PT Astra Serif" w:eastAsia="Times New Roman" w:hAnsi="PT Astra Serif" w:cs="Times New Roman"/>
        </w:rPr>
        <w:t>774,5 млн</w:t>
      </w:r>
      <w:r>
        <w:rPr>
          <w:rFonts w:ascii="PT Astra Serif" w:eastAsia="Times New Roman" w:hAnsi="PT Astra Serif" w:cs="Times New Roman"/>
        </w:rPr>
        <w:t>.</w:t>
      </w:r>
      <w:r w:rsidRPr="00ED6292">
        <w:rPr>
          <w:rFonts w:ascii="PT Astra Serif" w:eastAsia="Times New Roman" w:hAnsi="PT Astra Serif" w:cs="Times New Roman"/>
        </w:rPr>
        <w:t xml:space="preserve"> рублей – за счёт бюджетных ассигнований областного бюджета Ульяновской области (с учётом межбюджетных трансфертов муниципальным образованиям Ульяновской области), что на 249,5 млн рублей или на 12,3% меньше</w:t>
      </w:r>
      <w:r>
        <w:rPr>
          <w:rFonts w:ascii="PT Astra Serif" w:eastAsia="Times New Roman" w:hAnsi="PT Astra Serif" w:cs="Times New Roman"/>
        </w:rPr>
        <w:t>,</w:t>
      </w:r>
      <w:r w:rsidRPr="00ED6292">
        <w:rPr>
          <w:rFonts w:ascii="PT Astra Serif" w:eastAsia="Times New Roman" w:hAnsi="PT Astra Serif" w:cs="Times New Roman"/>
        </w:rPr>
        <w:t xml:space="preserve"> чем в 2024 году (2</w:t>
      </w:r>
      <w:r>
        <w:rPr>
          <w:rFonts w:ascii="PT Astra Serif" w:eastAsia="Times New Roman" w:hAnsi="PT Astra Serif" w:cs="Times New Roman"/>
        </w:rPr>
        <w:t> </w:t>
      </w:r>
      <w:r w:rsidRPr="00ED6292">
        <w:rPr>
          <w:rFonts w:ascii="PT Astra Serif" w:eastAsia="Times New Roman" w:hAnsi="PT Astra Serif" w:cs="Times New Roman"/>
        </w:rPr>
        <w:t>024,0 млн рублей).</w:t>
      </w:r>
    </w:p>
    <w:p w14:paraId="30910440" w14:textId="6241B201"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cs="Times New Roman"/>
          <w:b/>
          <w:bCs/>
        </w:rPr>
        <w:t>Сеть государственных учреждений</w:t>
      </w:r>
      <w:r w:rsidRPr="00ED6292">
        <w:rPr>
          <w:rFonts w:ascii="PT Astra Serif" w:eastAsia="Times New Roman" w:hAnsi="PT Astra Serif" w:cs="Times New Roman"/>
        </w:rPr>
        <w:t xml:space="preserve">, подведомственных Министерству физической культуры и спорта Ульяновской области </w:t>
      </w:r>
      <w:r w:rsidRPr="00ED6292">
        <w:rPr>
          <w:rFonts w:ascii="PT Astra Serif" w:eastAsia="Times New Roman" w:hAnsi="PT Astra Serif" w:cs="Times New Roman"/>
          <w:b/>
          <w:bCs/>
        </w:rPr>
        <w:t xml:space="preserve">состоит из 18 учреждений: казённых – 4, бюджетных – 11, автономных – 3. </w:t>
      </w:r>
      <w:r w:rsidR="00574169">
        <w:rPr>
          <w:rFonts w:ascii="PT Astra Serif" w:eastAsia="Times New Roman" w:hAnsi="PT Astra Serif" w:cs="Times New Roman"/>
          <w:b/>
          <w:bCs/>
        </w:rPr>
        <w:br/>
      </w:r>
      <w:r w:rsidRPr="00ED6292">
        <w:rPr>
          <w:rFonts w:ascii="PT Astra Serif" w:eastAsia="Times New Roman" w:hAnsi="PT Astra Serif" w:cs="Times New Roman"/>
        </w:rPr>
        <w:t>На обеспечение деятельности государственных учреждений в 2025 году выделено 1</w:t>
      </w:r>
      <w:r>
        <w:rPr>
          <w:rFonts w:ascii="PT Astra Serif" w:eastAsia="Times New Roman" w:hAnsi="PT Astra Serif" w:cs="Times New Roman"/>
        </w:rPr>
        <w:t> </w:t>
      </w:r>
      <w:r w:rsidRPr="00ED6292">
        <w:rPr>
          <w:rFonts w:ascii="PT Astra Serif" w:eastAsia="Times New Roman" w:hAnsi="PT Astra Serif" w:cs="Times New Roman"/>
        </w:rPr>
        <w:t>205,6 млн</w:t>
      </w:r>
      <w:r>
        <w:rPr>
          <w:rFonts w:ascii="PT Astra Serif" w:eastAsia="Times New Roman" w:hAnsi="PT Astra Serif" w:cs="Times New Roman"/>
        </w:rPr>
        <w:t xml:space="preserve"> рублей.</w:t>
      </w:r>
    </w:p>
    <w:p w14:paraId="465CE769" w14:textId="66E6321C"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Поступления доходов от оказания платных услуг и иной приносящей доход деятельности областными государственными бюджетными </w:t>
      </w:r>
      <w:r>
        <w:rPr>
          <w:rFonts w:ascii="PT Astra Serif" w:eastAsia="Times New Roman" w:hAnsi="PT Astra Serif"/>
          <w:szCs w:val="28"/>
        </w:rPr>
        <w:br/>
      </w:r>
      <w:r w:rsidRPr="00ED6292">
        <w:rPr>
          <w:rFonts w:ascii="PT Astra Serif" w:eastAsia="Times New Roman" w:hAnsi="PT Astra Serif"/>
          <w:szCs w:val="28"/>
        </w:rPr>
        <w:t>и автономными учреждениями физической культуры в 2025 году составили 158,2 млн рублей, что 17,0 млн рублей или на 12% больше</w:t>
      </w:r>
      <w:r>
        <w:rPr>
          <w:rFonts w:ascii="PT Astra Serif" w:eastAsia="Times New Roman" w:hAnsi="PT Astra Serif"/>
          <w:szCs w:val="28"/>
        </w:rPr>
        <w:t>,</w:t>
      </w:r>
      <w:r w:rsidRPr="00ED6292">
        <w:rPr>
          <w:rFonts w:ascii="PT Astra Serif" w:eastAsia="Times New Roman" w:hAnsi="PT Astra Serif"/>
          <w:szCs w:val="28"/>
        </w:rPr>
        <w:t xml:space="preserve"> чем в 2024 году (141,2 млн рублей). Средства направлены на выплату заработной платы </w:t>
      </w:r>
      <w:r>
        <w:rPr>
          <w:rFonts w:ascii="PT Astra Serif" w:eastAsia="Times New Roman" w:hAnsi="PT Astra Serif"/>
          <w:szCs w:val="28"/>
        </w:rPr>
        <w:br/>
      </w:r>
      <w:r w:rsidRPr="00ED6292">
        <w:rPr>
          <w:rFonts w:ascii="PT Astra Serif" w:eastAsia="Times New Roman" w:hAnsi="PT Astra Serif"/>
          <w:szCs w:val="28"/>
        </w:rPr>
        <w:t>с начислениями, содержание зданий, имущества учреждений, услуги связи, противопожарные мероприятия, проведение тренировочных сборов в рамках календарного плана и другие виды расходов на содержание учреждений.</w:t>
      </w:r>
    </w:p>
    <w:p w14:paraId="75269104" w14:textId="49CB9E19" w:rsidR="007222A5"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Расходы, связанные с исполнением договора аренды крытого спортивного комплекса с искусственным льдом на 5</w:t>
      </w:r>
      <w:r>
        <w:rPr>
          <w:rFonts w:ascii="PT Astra Serif" w:eastAsia="Times New Roman" w:hAnsi="PT Astra Serif"/>
          <w:szCs w:val="28"/>
        </w:rPr>
        <w:t> </w:t>
      </w:r>
      <w:r w:rsidRPr="00ED6292">
        <w:rPr>
          <w:rFonts w:ascii="PT Astra Serif" w:eastAsia="Times New Roman" w:hAnsi="PT Astra Serif"/>
          <w:szCs w:val="28"/>
        </w:rPr>
        <w:t>000 мест, созданного на основании концессионного соглашения, в 2025 году предусмотрены в размере 251,5 млн руб</w:t>
      </w:r>
      <w:r>
        <w:rPr>
          <w:rFonts w:ascii="PT Astra Serif" w:eastAsia="Times New Roman" w:hAnsi="PT Astra Serif"/>
          <w:szCs w:val="28"/>
        </w:rPr>
        <w:t>лей</w:t>
      </w:r>
      <w:r w:rsidRPr="00ED6292">
        <w:rPr>
          <w:rFonts w:ascii="PT Astra Serif" w:eastAsia="Times New Roman" w:hAnsi="PT Astra Serif"/>
          <w:szCs w:val="28"/>
        </w:rPr>
        <w:t xml:space="preserve"> (исполнение – 100%).</w:t>
      </w:r>
    </w:p>
    <w:p w14:paraId="6396398B" w14:textId="77777777" w:rsidR="007222A5" w:rsidRPr="00ED6292" w:rsidRDefault="007222A5" w:rsidP="007222A5">
      <w:pPr>
        <w:widowControl w:val="0"/>
        <w:rPr>
          <w:rFonts w:ascii="PT Astra Serif" w:eastAsia="Times New Roman" w:hAnsi="PT Astra Serif"/>
          <w:szCs w:val="28"/>
        </w:rPr>
      </w:pPr>
    </w:p>
    <w:p w14:paraId="152A6357" w14:textId="77777777"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Развитие кадрового потенциала отрасли физкультуры и спорта</w:t>
      </w:r>
    </w:p>
    <w:p w14:paraId="1631ABEB" w14:textId="77777777" w:rsidR="007222A5" w:rsidRPr="00ED6292" w:rsidRDefault="007222A5" w:rsidP="007222A5">
      <w:pPr>
        <w:widowControl w:val="0"/>
        <w:ind w:firstLine="0"/>
        <w:jc w:val="center"/>
        <w:rPr>
          <w:rFonts w:ascii="PT Astra Serif" w:eastAsia="Times New Roman" w:hAnsi="PT Astra Serif"/>
          <w:b/>
          <w:szCs w:val="28"/>
        </w:rPr>
      </w:pPr>
    </w:p>
    <w:p w14:paraId="0A9D0967"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2025 году </w:t>
      </w:r>
      <w:r w:rsidRPr="00234336">
        <w:rPr>
          <w:rFonts w:ascii="PT Astra Serif" w:eastAsia="Times New Roman" w:hAnsi="PT Astra Serif"/>
          <w:b/>
          <w:bCs/>
          <w:szCs w:val="28"/>
        </w:rPr>
        <w:t>численность работников</w:t>
      </w:r>
      <w:r w:rsidRPr="00ED6292">
        <w:rPr>
          <w:rFonts w:ascii="PT Astra Serif" w:eastAsia="Times New Roman" w:hAnsi="PT Astra Serif"/>
          <w:szCs w:val="28"/>
        </w:rPr>
        <w:t xml:space="preserve">, занятых в физкультурно–спортивной сфере на территории Ульяновской области, составила </w:t>
      </w:r>
      <w:r w:rsidRPr="00234336">
        <w:rPr>
          <w:rFonts w:ascii="PT Astra Serif" w:eastAsia="Times New Roman" w:hAnsi="PT Astra Serif"/>
          <w:b/>
          <w:bCs/>
          <w:szCs w:val="28"/>
        </w:rPr>
        <w:t>3 079 человек</w:t>
      </w:r>
      <w:r w:rsidRPr="00ED6292">
        <w:rPr>
          <w:rFonts w:ascii="PT Astra Serif" w:eastAsia="Times New Roman" w:hAnsi="PT Astra Serif"/>
          <w:szCs w:val="28"/>
        </w:rPr>
        <w:t xml:space="preserve">, из них: с высшим физкультурным образованием </w:t>
      </w:r>
      <w:r>
        <w:rPr>
          <w:rFonts w:ascii="PT Astra Serif" w:eastAsia="Times New Roman" w:hAnsi="PT Astra Serif"/>
          <w:szCs w:val="28"/>
        </w:rPr>
        <w:t>–</w:t>
      </w:r>
      <w:r w:rsidRPr="00ED6292">
        <w:rPr>
          <w:rFonts w:ascii="PT Astra Serif" w:eastAsia="Times New Roman" w:hAnsi="PT Astra Serif"/>
          <w:szCs w:val="28"/>
        </w:rPr>
        <w:t xml:space="preserve"> 2</w:t>
      </w:r>
      <w:r>
        <w:rPr>
          <w:rFonts w:ascii="PT Astra Serif" w:eastAsia="Times New Roman" w:hAnsi="PT Astra Serif"/>
          <w:szCs w:val="28"/>
        </w:rPr>
        <w:t> </w:t>
      </w:r>
      <w:r w:rsidRPr="00ED6292">
        <w:rPr>
          <w:rFonts w:ascii="PT Astra Serif" w:eastAsia="Times New Roman" w:hAnsi="PT Astra Serif"/>
          <w:szCs w:val="28"/>
        </w:rPr>
        <w:t>015 человек, со средним физкультурным образованием - 742 человека.</w:t>
      </w:r>
    </w:p>
    <w:p w14:paraId="457E5C48"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С целью сохранения кадрового потенциала, в соответствии с Указом Президента РФ поставлена задача «Доведение оплаты труда педагогов учреждений дополнительного образования детей до уровня не ниже среднего для учителей в регионе» (в 2025 году </w:t>
      </w:r>
      <w:r>
        <w:rPr>
          <w:rFonts w:ascii="PT Astra Serif" w:eastAsia="Times New Roman" w:hAnsi="PT Astra Serif"/>
          <w:szCs w:val="28"/>
        </w:rPr>
        <w:t>–</w:t>
      </w:r>
      <w:r w:rsidRPr="00ED6292">
        <w:rPr>
          <w:rFonts w:ascii="PT Astra Serif" w:eastAsia="Times New Roman" w:hAnsi="PT Astra Serif"/>
          <w:szCs w:val="28"/>
        </w:rPr>
        <w:t xml:space="preserve"> 53</w:t>
      </w:r>
      <w:r>
        <w:rPr>
          <w:rFonts w:ascii="PT Astra Serif" w:eastAsia="Times New Roman" w:hAnsi="PT Astra Serif"/>
          <w:szCs w:val="28"/>
        </w:rPr>
        <w:t> </w:t>
      </w:r>
      <w:r w:rsidRPr="00ED6292">
        <w:rPr>
          <w:rFonts w:ascii="PT Astra Serif" w:eastAsia="Times New Roman" w:hAnsi="PT Astra Serif"/>
          <w:szCs w:val="28"/>
        </w:rPr>
        <w:t xml:space="preserve">019 рублей, </w:t>
      </w:r>
      <w:r w:rsidRPr="00ED6292">
        <w:rPr>
          <w:rFonts w:ascii="PT Astra Serif" w:eastAsia="Times New Roman" w:hAnsi="PT Astra Serif"/>
          <w:szCs w:val="28"/>
          <w:highlight w:val="white"/>
        </w:rPr>
        <w:t>в 2024 году – 45 046 рублей</w:t>
      </w:r>
      <w:r w:rsidRPr="00ED6292">
        <w:rPr>
          <w:rFonts w:ascii="PT Astra Serif" w:eastAsia="Times New Roman" w:hAnsi="PT Astra Serif"/>
          <w:szCs w:val="28"/>
        </w:rPr>
        <w:t>).</w:t>
      </w:r>
    </w:p>
    <w:p w14:paraId="1BA701E9" w14:textId="77777777" w:rsidR="007222A5" w:rsidRPr="00ED6292" w:rsidRDefault="007222A5" w:rsidP="007222A5">
      <w:pPr>
        <w:widowControl w:val="0"/>
        <w:rPr>
          <w:rFonts w:ascii="PT Astra Serif" w:eastAsia="Times New Roman" w:hAnsi="PT Astra Serif"/>
          <w:szCs w:val="28"/>
        </w:rPr>
      </w:pPr>
      <w:r w:rsidRPr="00234336">
        <w:rPr>
          <w:rFonts w:ascii="PT Astra Serif" w:eastAsia="Times New Roman" w:hAnsi="PT Astra Serif"/>
          <w:b/>
          <w:bCs/>
          <w:szCs w:val="28"/>
        </w:rPr>
        <w:t>Средняя заработная плата тренерского персонала</w:t>
      </w:r>
      <w:r w:rsidRPr="00ED6292">
        <w:rPr>
          <w:rFonts w:ascii="PT Astra Serif" w:eastAsia="Times New Roman" w:hAnsi="PT Astra Serif"/>
          <w:szCs w:val="28"/>
        </w:rPr>
        <w:t xml:space="preserve"> отрасли составила </w:t>
      </w:r>
      <w:r w:rsidRPr="00234336">
        <w:rPr>
          <w:rFonts w:ascii="PT Astra Serif" w:eastAsia="Times New Roman" w:hAnsi="PT Astra Serif"/>
          <w:b/>
          <w:bCs/>
          <w:szCs w:val="28"/>
        </w:rPr>
        <w:t>59</w:t>
      </w:r>
      <w:r>
        <w:rPr>
          <w:rFonts w:ascii="PT Astra Serif" w:eastAsia="Times New Roman" w:hAnsi="PT Astra Serif"/>
          <w:b/>
          <w:bCs/>
          <w:szCs w:val="28"/>
        </w:rPr>
        <w:t> </w:t>
      </w:r>
      <w:r w:rsidRPr="00234336">
        <w:rPr>
          <w:rFonts w:ascii="PT Astra Serif" w:eastAsia="Times New Roman" w:hAnsi="PT Astra Serif"/>
          <w:b/>
          <w:bCs/>
          <w:szCs w:val="28"/>
        </w:rPr>
        <w:t>456,5 рублей.</w:t>
      </w:r>
      <w:r w:rsidRPr="00ED6292">
        <w:rPr>
          <w:rFonts w:ascii="PT Astra Serif" w:eastAsia="Times New Roman" w:hAnsi="PT Astra Serif"/>
          <w:szCs w:val="28"/>
        </w:rPr>
        <w:t xml:space="preserve"> Выполнение показателя по Указу Президента РФ – 112,1%.</w:t>
      </w:r>
    </w:p>
    <w:p w14:paraId="0CAD7882" w14:textId="77777777" w:rsidR="007222A5" w:rsidRPr="00ED6292" w:rsidRDefault="007222A5" w:rsidP="007222A5">
      <w:pPr>
        <w:widowControl w:val="0"/>
        <w:rPr>
          <w:rFonts w:ascii="PT Astra Serif" w:eastAsia="Times New Roman" w:hAnsi="PT Astra Serif"/>
          <w:szCs w:val="28"/>
          <w:highlight w:val="white"/>
        </w:rPr>
      </w:pPr>
      <w:r w:rsidRPr="00ED6292">
        <w:rPr>
          <w:rFonts w:ascii="PT Astra Serif" w:eastAsia="Times New Roman" w:hAnsi="PT Astra Serif"/>
          <w:szCs w:val="28"/>
          <w:highlight w:val="white"/>
        </w:rPr>
        <w:t>Одним из важных направлений работы является обеспечение спортивных учреждений Ульяновской области квалифицированными педагогическими и тренерскими кадрами.</w:t>
      </w:r>
    </w:p>
    <w:p w14:paraId="746CAD61" w14:textId="478FA8E9" w:rsidR="007222A5" w:rsidRDefault="007222A5" w:rsidP="007222A5">
      <w:pPr>
        <w:widowControl w:val="0"/>
        <w:jc w:val="center"/>
        <w:rPr>
          <w:rFonts w:ascii="PT Astra Serif" w:eastAsia="PT Serif" w:hAnsi="PT Astra Serif" w:cs="PT Serif"/>
          <w:b/>
          <w:sz w:val="20"/>
          <w:szCs w:val="20"/>
        </w:rPr>
      </w:pPr>
      <w:r w:rsidRPr="00ED6292">
        <w:rPr>
          <w:rFonts w:ascii="PT Astra Serif" w:eastAsia="PT Serif" w:hAnsi="PT Astra Serif" w:cs="PT Serif"/>
          <w:b/>
          <w:sz w:val="20"/>
          <w:szCs w:val="20"/>
        </w:rPr>
        <w:lastRenderedPageBreak/>
        <w:t xml:space="preserve">Динамика показателей средней заработной платы в отрасли физическая культура и спорт </w:t>
      </w:r>
      <w:r>
        <w:rPr>
          <w:rFonts w:ascii="PT Astra Serif" w:eastAsia="PT Serif" w:hAnsi="PT Astra Serif" w:cs="PT Serif"/>
          <w:b/>
          <w:sz w:val="20"/>
          <w:szCs w:val="20"/>
        </w:rPr>
        <w:br/>
      </w:r>
      <w:r w:rsidRPr="00ED6292">
        <w:rPr>
          <w:rFonts w:ascii="PT Astra Serif" w:eastAsia="PT Serif" w:hAnsi="PT Astra Serif" w:cs="PT Serif"/>
          <w:b/>
          <w:sz w:val="20"/>
          <w:szCs w:val="20"/>
        </w:rPr>
        <w:t>на территории Ульяновской области за 2020</w:t>
      </w:r>
      <w:r w:rsidR="002318EA">
        <w:rPr>
          <w:rFonts w:ascii="PT Astra Serif" w:eastAsia="PT Serif" w:hAnsi="PT Astra Serif" w:cs="PT Serif"/>
          <w:b/>
          <w:sz w:val="20"/>
          <w:szCs w:val="20"/>
        </w:rPr>
        <w:t xml:space="preserve"> </w:t>
      </w:r>
      <w:r w:rsidRPr="00ED6292">
        <w:rPr>
          <w:rFonts w:ascii="PT Astra Serif" w:eastAsia="PT Serif" w:hAnsi="PT Astra Serif" w:cs="PT Serif"/>
          <w:b/>
          <w:sz w:val="20"/>
          <w:szCs w:val="20"/>
        </w:rPr>
        <w:t>-</w:t>
      </w:r>
      <w:r w:rsidR="002318EA">
        <w:rPr>
          <w:rFonts w:ascii="PT Astra Serif" w:eastAsia="PT Serif" w:hAnsi="PT Astra Serif" w:cs="PT Serif"/>
          <w:b/>
          <w:sz w:val="20"/>
          <w:szCs w:val="20"/>
        </w:rPr>
        <w:t xml:space="preserve"> </w:t>
      </w:r>
      <w:r w:rsidRPr="00ED6292">
        <w:rPr>
          <w:rFonts w:ascii="PT Astra Serif" w:eastAsia="PT Serif" w:hAnsi="PT Astra Serif" w:cs="PT Serif"/>
          <w:b/>
          <w:sz w:val="20"/>
          <w:szCs w:val="20"/>
        </w:rPr>
        <w:t xml:space="preserve">2025 годы </w:t>
      </w:r>
    </w:p>
    <w:p w14:paraId="08444F90" w14:textId="77777777" w:rsidR="007222A5" w:rsidRPr="00ED6292" w:rsidRDefault="007222A5" w:rsidP="007222A5">
      <w:pPr>
        <w:widowControl w:val="0"/>
        <w:jc w:val="center"/>
        <w:rPr>
          <w:rFonts w:ascii="PT Astra Serif" w:eastAsia="PT Serif" w:hAnsi="PT Astra Serif" w:cs="PT Serif"/>
          <w:b/>
          <w:sz w:val="20"/>
          <w:szCs w:val="20"/>
        </w:rPr>
      </w:pPr>
    </w:p>
    <w:tbl>
      <w:tblPr>
        <w:tblW w:w="9350" w:type="dxa"/>
        <w:tblBorders>
          <w:top w:val="nil"/>
          <w:left w:val="nil"/>
          <w:bottom w:val="nil"/>
          <w:right w:val="nil"/>
          <w:insideH w:val="nil"/>
          <w:insideV w:val="nil"/>
        </w:tblBorders>
        <w:tblLayout w:type="fixed"/>
        <w:tblLook w:val="0600" w:firstRow="0" w:lastRow="0" w:firstColumn="0" w:lastColumn="0" w:noHBand="1" w:noVBand="1"/>
      </w:tblPr>
      <w:tblGrid>
        <w:gridCol w:w="3680"/>
        <w:gridCol w:w="850"/>
        <w:gridCol w:w="1134"/>
        <w:gridCol w:w="992"/>
        <w:gridCol w:w="851"/>
        <w:gridCol w:w="992"/>
        <w:gridCol w:w="851"/>
      </w:tblGrid>
      <w:tr w:rsidR="007222A5" w:rsidRPr="00ED6292" w14:paraId="7A48E740" w14:textId="77777777" w:rsidTr="002318EA">
        <w:trPr>
          <w:trHeight w:val="343"/>
        </w:trPr>
        <w:tc>
          <w:tcPr>
            <w:tcW w:w="3680" w:type="dxa"/>
            <w:tcBorders>
              <w:top w:val="single" w:sz="5" w:space="0" w:color="000000"/>
              <w:left w:val="single" w:sz="5" w:space="0" w:color="000000"/>
              <w:bottom w:val="single" w:sz="5" w:space="0" w:color="000000"/>
              <w:right w:val="single" w:sz="5" w:space="0" w:color="000000"/>
            </w:tcBorders>
            <w:tcMar>
              <w:top w:w="80" w:type="dxa"/>
              <w:left w:w="80" w:type="dxa"/>
              <w:bottom w:w="80" w:type="dxa"/>
              <w:right w:w="80" w:type="dxa"/>
            </w:tcMar>
            <w:vAlign w:val="center"/>
          </w:tcPr>
          <w:p w14:paraId="3FACFB63" w14:textId="77777777" w:rsidR="007222A5" w:rsidRPr="00BC5637" w:rsidRDefault="007222A5" w:rsidP="002318EA">
            <w:pPr>
              <w:widowControl w:val="0"/>
              <w:ind w:firstLine="0"/>
              <w:jc w:val="center"/>
              <w:rPr>
                <w:rFonts w:ascii="PT Astra Serif" w:eastAsia="PT Serif" w:hAnsi="PT Astra Serif" w:cs="PT Serif"/>
                <w:b/>
                <w:bCs/>
                <w:sz w:val="20"/>
                <w:szCs w:val="20"/>
              </w:rPr>
            </w:pPr>
            <w:r w:rsidRPr="00BC5637">
              <w:rPr>
                <w:rFonts w:ascii="PT Astra Serif" w:eastAsia="PT Serif" w:hAnsi="PT Astra Serif" w:cs="PT Serif"/>
                <w:b/>
                <w:bCs/>
                <w:sz w:val="20"/>
                <w:szCs w:val="20"/>
              </w:rPr>
              <w:t>Показатели</w:t>
            </w:r>
          </w:p>
        </w:tc>
        <w:tc>
          <w:tcPr>
            <w:tcW w:w="850"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6A34E805"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2020</w:t>
            </w:r>
            <w:r>
              <w:rPr>
                <w:rFonts w:ascii="PT Astra Serif" w:eastAsia="PT Serif" w:hAnsi="PT Astra Serif" w:cs="PT Serif"/>
                <w:b/>
                <w:bCs/>
                <w:sz w:val="20"/>
                <w:szCs w:val="20"/>
              </w:rPr>
              <w:t xml:space="preserve"> г.</w:t>
            </w:r>
          </w:p>
        </w:tc>
        <w:tc>
          <w:tcPr>
            <w:tcW w:w="1134"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0AB5E69B"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2021</w:t>
            </w:r>
            <w:r>
              <w:rPr>
                <w:rFonts w:ascii="PT Astra Serif" w:eastAsia="PT Serif" w:hAnsi="PT Astra Serif" w:cs="PT Serif"/>
                <w:b/>
                <w:bCs/>
                <w:sz w:val="20"/>
                <w:szCs w:val="20"/>
              </w:rPr>
              <w:t xml:space="preserve"> г.</w:t>
            </w:r>
          </w:p>
        </w:tc>
        <w:tc>
          <w:tcPr>
            <w:tcW w:w="992"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7F5C732A"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2022</w:t>
            </w:r>
            <w:r>
              <w:rPr>
                <w:rFonts w:ascii="PT Astra Serif" w:eastAsia="PT Serif" w:hAnsi="PT Astra Serif" w:cs="PT Serif"/>
                <w:b/>
                <w:bCs/>
                <w:sz w:val="20"/>
                <w:szCs w:val="20"/>
              </w:rPr>
              <w:t xml:space="preserve"> г.</w:t>
            </w:r>
          </w:p>
        </w:tc>
        <w:tc>
          <w:tcPr>
            <w:tcW w:w="851"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18BB0E91"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2023</w:t>
            </w:r>
            <w:r>
              <w:rPr>
                <w:rFonts w:ascii="PT Astra Serif" w:eastAsia="PT Serif" w:hAnsi="PT Astra Serif" w:cs="PT Serif"/>
                <w:b/>
                <w:bCs/>
                <w:sz w:val="20"/>
                <w:szCs w:val="20"/>
              </w:rPr>
              <w:t xml:space="preserve"> г.</w:t>
            </w:r>
          </w:p>
        </w:tc>
        <w:tc>
          <w:tcPr>
            <w:tcW w:w="992"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5B2A9156"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2024</w:t>
            </w:r>
            <w:r>
              <w:rPr>
                <w:rFonts w:ascii="PT Astra Serif" w:eastAsia="PT Serif" w:hAnsi="PT Astra Serif" w:cs="PT Serif"/>
                <w:b/>
                <w:bCs/>
                <w:sz w:val="20"/>
                <w:szCs w:val="20"/>
              </w:rPr>
              <w:t xml:space="preserve"> г.</w:t>
            </w:r>
          </w:p>
        </w:tc>
        <w:tc>
          <w:tcPr>
            <w:tcW w:w="851" w:type="dxa"/>
            <w:tcBorders>
              <w:top w:val="single" w:sz="5" w:space="0" w:color="000000"/>
              <w:left w:val="nil"/>
              <w:bottom w:val="single" w:sz="5" w:space="0" w:color="000000"/>
              <w:right w:val="single" w:sz="5" w:space="0" w:color="000000"/>
            </w:tcBorders>
            <w:tcMar>
              <w:top w:w="0" w:type="dxa"/>
              <w:left w:w="0" w:type="dxa"/>
              <w:bottom w:w="0" w:type="dxa"/>
              <w:right w:w="0" w:type="dxa"/>
            </w:tcMar>
            <w:vAlign w:val="center"/>
          </w:tcPr>
          <w:p w14:paraId="0B168715" w14:textId="77777777" w:rsidR="007222A5" w:rsidRPr="00ED6292" w:rsidRDefault="007222A5" w:rsidP="002318EA">
            <w:pPr>
              <w:widowControl w:val="0"/>
              <w:ind w:firstLine="0"/>
              <w:jc w:val="center"/>
              <w:rPr>
                <w:rFonts w:ascii="PT Astra Serif" w:eastAsia="PT Serif" w:hAnsi="PT Astra Serif" w:cs="PT Serif"/>
                <w:b/>
                <w:bCs/>
                <w:sz w:val="20"/>
                <w:szCs w:val="20"/>
              </w:rPr>
            </w:pPr>
            <w:r w:rsidRPr="00ED6292">
              <w:rPr>
                <w:rFonts w:ascii="PT Astra Serif" w:eastAsia="PT Serif" w:hAnsi="PT Astra Serif" w:cs="PT Serif"/>
                <w:b/>
                <w:bCs/>
                <w:sz w:val="20"/>
                <w:szCs w:val="20"/>
              </w:rPr>
              <w:t>2025</w:t>
            </w:r>
            <w:r>
              <w:rPr>
                <w:rFonts w:ascii="PT Astra Serif" w:eastAsia="PT Serif" w:hAnsi="PT Astra Serif" w:cs="PT Serif"/>
                <w:b/>
                <w:bCs/>
                <w:sz w:val="20"/>
                <w:szCs w:val="20"/>
              </w:rPr>
              <w:t xml:space="preserve"> г.</w:t>
            </w:r>
          </w:p>
        </w:tc>
      </w:tr>
      <w:tr w:rsidR="007222A5" w:rsidRPr="00ED6292" w14:paraId="66CE1DBE" w14:textId="77777777" w:rsidTr="002318EA">
        <w:trPr>
          <w:trHeight w:val="417"/>
        </w:trPr>
        <w:tc>
          <w:tcPr>
            <w:tcW w:w="3680" w:type="dxa"/>
            <w:tcBorders>
              <w:top w:val="nil"/>
              <w:left w:val="single" w:sz="5" w:space="0" w:color="000000"/>
              <w:bottom w:val="single" w:sz="5" w:space="0" w:color="000000"/>
              <w:right w:val="single" w:sz="5" w:space="0" w:color="000000"/>
            </w:tcBorders>
            <w:tcMar>
              <w:top w:w="80" w:type="dxa"/>
              <w:left w:w="80" w:type="dxa"/>
              <w:bottom w:w="80" w:type="dxa"/>
              <w:right w:w="80" w:type="dxa"/>
            </w:tcMar>
            <w:vAlign w:val="center"/>
          </w:tcPr>
          <w:p w14:paraId="59DC6C0C" w14:textId="77777777" w:rsidR="007222A5" w:rsidRPr="00ED6292" w:rsidRDefault="007222A5" w:rsidP="002318EA">
            <w:pPr>
              <w:widowControl w:val="0"/>
              <w:ind w:firstLine="0"/>
              <w:jc w:val="left"/>
              <w:rPr>
                <w:rFonts w:ascii="PT Astra Serif" w:eastAsia="PT Serif" w:hAnsi="PT Astra Serif" w:cs="PT Serif"/>
                <w:sz w:val="20"/>
                <w:szCs w:val="20"/>
              </w:rPr>
            </w:pPr>
            <w:r w:rsidRPr="00ED6292">
              <w:rPr>
                <w:rFonts w:ascii="PT Astra Serif" w:eastAsia="PT Serif" w:hAnsi="PT Astra Serif" w:cs="PT Serif"/>
                <w:sz w:val="20"/>
                <w:szCs w:val="20"/>
              </w:rPr>
              <w:t xml:space="preserve">Средняя заработная плата работников сферы </w:t>
            </w:r>
            <w:proofErr w:type="spellStart"/>
            <w:r w:rsidRPr="00ED6292">
              <w:rPr>
                <w:rFonts w:ascii="PT Astra Serif" w:eastAsia="PT Serif" w:hAnsi="PT Astra Serif" w:cs="PT Serif"/>
                <w:sz w:val="20"/>
                <w:szCs w:val="20"/>
              </w:rPr>
              <w:t>ФКиС</w:t>
            </w:r>
            <w:proofErr w:type="spellEnd"/>
            <w:r w:rsidRPr="00ED6292">
              <w:rPr>
                <w:rFonts w:ascii="PT Astra Serif" w:eastAsia="PT Serif" w:hAnsi="PT Astra Serif" w:cs="PT Serif"/>
                <w:sz w:val="20"/>
                <w:szCs w:val="20"/>
              </w:rPr>
              <w:t>, рублей</w:t>
            </w:r>
          </w:p>
        </w:tc>
        <w:tc>
          <w:tcPr>
            <w:tcW w:w="850" w:type="dxa"/>
            <w:tcBorders>
              <w:top w:val="nil"/>
              <w:left w:val="nil"/>
              <w:bottom w:val="single" w:sz="5" w:space="0" w:color="000000"/>
              <w:right w:val="single" w:sz="5" w:space="0" w:color="000000"/>
            </w:tcBorders>
            <w:tcMar>
              <w:top w:w="0" w:type="dxa"/>
              <w:left w:w="0" w:type="dxa"/>
              <w:bottom w:w="0" w:type="dxa"/>
              <w:right w:w="0" w:type="dxa"/>
            </w:tcMar>
            <w:vAlign w:val="center"/>
          </w:tcPr>
          <w:p w14:paraId="7829F47A"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24623</w:t>
            </w:r>
          </w:p>
        </w:tc>
        <w:tc>
          <w:tcPr>
            <w:tcW w:w="1134" w:type="dxa"/>
            <w:tcBorders>
              <w:top w:val="nil"/>
              <w:left w:val="nil"/>
              <w:bottom w:val="single" w:sz="5" w:space="0" w:color="000000"/>
              <w:right w:val="single" w:sz="5" w:space="0" w:color="000000"/>
            </w:tcBorders>
            <w:tcMar>
              <w:top w:w="0" w:type="dxa"/>
              <w:left w:w="0" w:type="dxa"/>
              <w:bottom w:w="0" w:type="dxa"/>
              <w:right w:w="0" w:type="dxa"/>
            </w:tcMar>
            <w:vAlign w:val="center"/>
          </w:tcPr>
          <w:p w14:paraId="7C94F0A4"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27056</w:t>
            </w:r>
          </w:p>
        </w:tc>
        <w:tc>
          <w:tcPr>
            <w:tcW w:w="992" w:type="dxa"/>
            <w:tcBorders>
              <w:top w:val="nil"/>
              <w:left w:val="nil"/>
              <w:bottom w:val="single" w:sz="5" w:space="0" w:color="000000"/>
              <w:right w:val="single" w:sz="5" w:space="0" w:color="000000"/>
            </w:tcBorders>
            <w:tcMar>
              <w:top w:w="0" w:type="dxa"/>
              <w:left w:w="0" w:type="dxa"/>
              <w:bottom w:w="0" w:type="dxa"/>
              <w:right w:w="0" w:type="dxa"/>
            </w:tcMar>
            <w:vAlign w:val="center"/>
          </w:tcPr>
          <w:p w14:paraId="78E0BB63"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28040</w:t>
            </w:r>
          </w:p>
        </w:tc>
        <w:tc>
          <w:tcPr>
            <w:tcW w:w="851" w:type="dxa"/>
            <w:tcBorders>
              <w:top w:val="nil"/>
              <w:left w:val="nil"/>
              <w:bottom w:val="single" w:sz="5" w:space="0" w:color="000000"/>
              <w:right w:val="single" w:sz="5" w:space="0" w:color="000000"/>
            </w:tcBorders>
            <w:tcMar>
              <w:top w:w="0" w:type="dxa"/>
              <w:left w:w="0" w:type="dxa"/>
              <w:bottom w:w="0" w:type="dxa"/>
              <w:right w:w="0" w:type="dxa"/>
            </w:tcMar>
            <w:vAlign w:val="center"/>
          </w:tcPr>
          <w:p w14:paraId="6081AFE3"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31928</w:t>
            </w:r>
          </w:p>
        </w:tc>
        <w:tc>
          <w:tcPr>
            <w:tcW w:w="992" w:type="dxa"/>
            <w:tcBorders>
              <w:top w:val="nil"/>
              <w:left w:val="nil"/>
              <w:bottom w:val="single" w:sz="5" w:space="0" w:color="000000"/>
              <w:right w:val="single" w:sz="5" w:space="0" w:color="000000"/>
            </w:tcBorders>
            <w:tcMar>
              <w:top w:w="0" w:type="dxa"/>
              <w:left w:w="0" w:type="dxa"/>
              <w:bottom w:w="0" w:type="dxa"/>
              <w:right w:w="0" w:type="dxa"/>
            </w:tcMar>
            <w:vAlign w:val="center"/>
          </w:tcPr>
          <w:p w14:paraId="6A457918"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40454,2</w:t>
            </w:r>
          </w:p>
        </w:tc>
        <w:tc>
          <w:tcPr>
            <w:tcW w:w="851" w:type="dxa"/>
            <w:tcBorders>
              <w:top w:val="nil"/>
              <w:left w:val="nil"/>
              <w:bottom w:val="single" w:sz="5" w:space="0" w:color="000000"/>
              <w:right w:val="single" w:sz="5" w:space="0" w:color="000000"/>
            </w:tcBorders>
            <w:tcMar>
              <w:top w:w="0" w:type="dxa"/>
              <w:left w:w="0" w:type="dxa"/>
              <w:bottom w:w="0" w:type="dxa"/>
              <w:right w:w="0" w:type="dxa"/>
            </w:tcMar>
            <w:vAlign w:val="center"/>
          </w:tcPr>
          <w:p w14:paraId="06438190"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53019</w:t>
            </w:r>
          </w:p>
        </w:tc>
      </w:tr>
      <w:tr w:rsidR="007222A5" w:rsidRPr="00ED6292" w14:paraId="446AB090" w14:textId="77777777" w:rsidTr="002318EA">
        <w:trPr>
          <w:trHeight w:val="356"/>
        </w:trPr>
        <w:tc>
          <w:tcPr>
            <w:tcW w:w="3680" w:type="dxa"/>
            <w:tcBorders>
              <w:top w:val="nil"/>
              <w:left w:val="single" w:sz="5" w:space="0" w:color="000000"/>
              <w:bottom w:val="single" w:sz="5" w:space="0" w:color="000000"/>
              <w:right w:val="single" w:sz="5" w:space="0" w:color="000000"/>
            </w:tcBorders>
            <w:tcMar>
              <w:top w:w="80" w:type="dxa"/>
              <w:left w:w="80" w:type="dxa"/>
              <w:bottom w:w="80" w:type="dxa"/>
              <w:right w:w="80" w:type="dxa"/>
            </w:tcMar>
            <w:vAlign w:val="center"/>
          </w:tcPr>
          <w:p w14:paraId="0C57F737" w14:textId="77777777" w:rsidR="007222A5" w:rsidRPr="00ED6292" w:rsidRDefault="007222A5" w:rsidP="002318EA">
            <w:pPr>
              <w:widowControl w:val="0"/>
              <w:ind w:firstLine="0"/>
              <w:jc w:val="left"/>
              <w:rPr>
                <w:rFonts w:ascii="PT Astra Serif" w:eastAsia="PT Serif" w:hAnsi="PT Astra Serif" w:cs="PT Serif"/>
                <w:sz w:val="20"/>
                <w:szCs w:val="20"/>
              </w:rPr>
            </w:pPr>
            <w:r w:rsidRPr="00ED6292">
              <w:rPr>
                <w:rFonts w:ascii="PT Astra Serif" w:eastAsia="PT Serif" w:hAnsi="PT Astra Serif" w:cs="PT Serif"/>
                <w:sz w:val="20"/>
                <w:szCs w:val="20"/>
              </w:rPr>
              <w:t xml:space="preserve">Средняя заработная плата тренерского персонала сферы </w:t>
            </w:r>
            <w:proofErr w:type="spellStart"/>
            <w:r w:rsidRPr="00ED6292">
              <w:rPr>
                <w:rFonts w:ascii="PT Astra Serif" w:eastAsia="PT Serif" w:hAnsi="PT Astra Serif" w:cs="PT Serif"/>
                <w:sz w:val="20"/>
                <w:szCs w:val="20"/>
              </w:rPr>
              <w:t>ФКиС</w:t>
            </w:r>
            <w:proofErr w:type="spellEnd"/>
            <w:r w:rsidRPr="00ED6292">
              <w:rPr>
                <w:rFonts w:ascii="PT Astra Serif" w:eastAsia="PT Serif" w:hAnsi="PT Astra Serif" w:cs="PT Serif"/>
                <w:sz w:val="20"/>
                <w:szCs w:val="20"/>
              </w:rPr>
              <w:t>, рублей</w:t>
            </w:r>
          </w:p>
        </w:tc>
        <w:tc>
          <w:tcPr>
            <w:tcW w:w="850" w:type="dxa"/>
            <w:tcBorders>
              <w:top w:val="nil"/>
              <w:left w:val="nil"/>
              <w:bottom w:val="single" w:sz="5" w:space="0" w:color="000000"/>
              <w:right w:val="single" w:sz="5" w:space="0" w:color="000000"/>
            </w:tcBorders>
            <w:tcMar>
              <w:top w:w="0" w:type="dxa"/>
              <w:left w:w="0" w:type="dxa"/>
              <w:bottom w:w="0" w:type="dxa"/>
              <w:right w:w="0" w:type="dxa"/>
            </w:tcMar>
            <w:vAlign w:val="center"/>
          </w:tcPr>
          <w:p w14:paraId="25B3AFC1"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29190</w:t>
            </w:r>
          </w:p>
        </w:tc>
        <w:tc>
          <w:tcPr>
            <w:tcW w:w="1134" w:type="dxa"/>
            <w:tcBorders>
              <w:top w:val="nil"/>
              <w:left w:val="nil"/>
              <w:bottom w:val="single" w:sz="5" w:space="0" w:color="000000"/>
              <w:right w:val="single" w:sz="5" w:space="0" w:color="000000"/>
            </w:tcBorders>
            <w:tcMar>
              <w:top w:w="0" w:type="dxa"/>
              <w:left w:w="0" w:type="dxa"/>
              <w:bottom w:w="0" w:type="dxa"/>
              <w:right w:w="0" w:type="dxa"/>
            </w:tcMar>
            <w:vAlign w:val="center"/>
          </w:tcPr>
          <w:p w14:paraId="796A507B"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33029</w:t>
            </w:r>
          </w:p>
        </w:tc>
        <w:tc>
          <w:tcPr>
            <w:tcW w:w="992" w:type="dxa"/>
            <w:tcBorders>
              <w:top w:val="nil"/>
              <w:left w:val="nil"/>
              <w:bottom w:val="single" w:sz="5" w:space="0" w:color="000000"/>
              <w:right w:val="single" w:sz="5" w:space="0" w:color="000000"/>
            </w:tcBorders>
            <w:tcMar>
              <w:top w:w="0" w:type="dxa"/>
              <w:left w:w="0" w:type="dxa"/>
              <w:bottom w:w="0" w:type="dxa"/>
              <w:right w:w="0" w:type="dxa"/>
            </w:tcMar>
            <w:vAlign w:val="center"/>
          </w:tcPr>
          <w:p w14:paraId="7E9E88EC"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33366,9</w:t>
            </w:r>
          </w:p>
        </w:tc>
        <w:tc>
          <w:tcPr>
            <w:tcW w:w="851" w:type="dxa"/>
            <w:tcBorders>
              <w:top w:val="nil"/>
              <w:left w:val="nil"/>
              <w:bottom w:val="single" w:sz="5" w:space="0" w:color="000000"/>
              <w:right w:val="single" w:sz="5" w:space="0" w:color="000000"/>
            </w:tcBorders>
            <w:tcMar>
              <w:top w:w="0" w:type="dxa"/>
              <w:left w:w="0" w:type="dxa"/>
              <w:bottom w:w="0" w:type="dxa"/>
              <w:right w:w="0" w:type="dxa"/>
            </w:tcMar>
            <w:vAlign w:val="center"/>
          </w:tcPr>
          <w:p w14:paraId="22F7CAE2"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38958</w:t>
            </w:r>
          </w:p>
        </w:tc>
        <w:tc>
          <w:tcPr>
            <w:tcW w:w="992" w:type="dxa"/>
            <w:tcBorders>
              <w:top w:val="nil"/>
              <w:left w:val="nil"/>
              <w:bottom w:val="single" w:sz="5" w:space="0" w:color="000000"/>
              <w:right w:val="single" w:sz="5" w:space="0" w:color="000000"/>
            </w:tcBorders>
            <w:tcMar>
              <w:top w:w="0" w:type="dxa"/>
              <w:left w:w="0" w:type="dxa"/>
              <w:bottom w:w="0" w:type="dxa"/>
              <w:right w:w="0" w:type="dxa"/>
            </w:tcMar>
            <w:vAlign w:val="center"/>
          </w:tcPr>
          <w:p w14:paraId="172F1167"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48842,4</w:t>
            </w:r>
          </w:p>
        </w:tc>
        <w:tc>
          <w:tcPr>
            <w:tcW w:w="851" w:type="dxa"/>
            <w:tcBorders>
              <w:top w:val="nil"/>
              <w:left w:val="nil"/>
              <w:bottom w:val="single" w:sz="5" w:space="0" w:color="000000"/>
              <w:right w:val="single" w:sz="5" w:space="0" w:color="000000"/>
            </w:tcBorders>
            <w:tcMar>
              <w:top w:w="0" w:type="dxa"/>
              <w:left w:w="0" w:type="dxa"/>
              <w:bottom w:w="0" w:type="dxa"/>
              <w:right w:w="0" w:type="dxa"/>
            </w:tcMar>
            <w:vAlign w:val="center"/>
          </w:tcPr>
          <w:p w14:paraId="03BB52F8" w14:textId="77777777" w:rsidR="007222A5" w:rsidRPr="002318EA" w:rsidRDefault="007222A5" w:rsidP="002318EA">
            <w:pPr>
              <w:widowControl w:val="0"/>
              <w:ind w:firstLine="0"/>
              <w:jc w:val="center"/>
              <w:rPr>
                <w:rFonts w:ascii="PT Astra Serif" w:eastAsia="PT Serif" w:hAnsi="PT Astra Serif" w:cs="PT Serif"/>
                <w:bCs/>
                <w:sz w:val="20"/>
                <w:szCs w:val="20"/>
              </w:rPr>
            </w:pPr>
            <w:r w:rsidRPr="002318EA">
              <w:rPr>
                <w:rFonts w:ascii="PT Astra Serif" w:eastAsia="PT Serif" w:hAnsi="PT Astra Serif" w:cs="PT Serif"/>
                <w:bCs/>
                <w:sz w:val="20"/>
                <w:szCs w:val="20"/>
              </w:rPr>
              <w:t>59456,5</w:t>
            </w:r>
          </w:p>
        </w:tc>
      </w:tr>
    </w:tbl>
    <w:p w14:paraId="4C044E31" w14:textId="77777777" w:rsidR="007222A5" w:rsidRPr="00574169" w:rsidRDefault="007222A5" w:rsidP="007222A5">
      <w:pPr>
        <w:widowControl w:val="0"/>
        <w:rPr>
          <w:rFonts w:ascii="PT Astra Serif" w:eastAsia="Times New Roman" w:hAnsi="PT Astra Serif"/>
          <w:sz w:val="20"/>
          <w:szCs w:val="20"/>
          <w:highlight w:val="white"/>
        </w:rPr>
      </w:pPr>
    </w:p>
    <w:p w14:paraId="004829CA" w14:textId="2D9C259E"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highlight w:val="white"/>
        </w:rPr>
        <w:t>В Ульяновской области три учебных заведения готовят специалистов физической культуры: Ульяновский государственный педагогический университет имени И.Н.</w:t>
      </w:r>
      <w:r w:rsidR="00EB15FA">
        <w:rPr>
          <w:rFonts w:ascii="PT Astra Serif" w:eastAsia="Times New Roman" w:hAnsi="PT Astra Serif"/>
          <w:szCs w:val="28"/>
          <w:highlight w:val="white"/>
        </w:rPr>
        <w:t> </w:t>
      </w:r>
      <w:r w:rsidRPr="00ED6292">
        <w:rPr>
          <w:rFonts w:ascii="PT Astra Serif" w:eastAsia="Times New Roman" w:hAnsi="PT Astra Serif"/>
          <w:szCs w:val="28"/>
          <w:highlight w:val="white"/>
        </w:rPr>
        <w:t xml:space="preserve">Ульянова, Ульяновский государственный университет и </w:t>
      </w:r>
      <w:r w:rsidRPr="00ED6292">
        <w:rPr>
          <w:rFonts w:ascii="PT Astra Serif" w:eastAsia="Times New Roman" w:hAnsi="PT Astra Serif"/>
          <w:szCs w:val="28"/>
        </w:rPr>
        <w:t xml:space="preserve">Ульяновское спортивное училище (техникум) (далее - Училище). </w:t>
      </w:r>
    </w:p>
    <w:p w14:paraId="6B77CF2C"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Училище является опорным отраслевым спортивным, образовательным, методическим, информационным и инфраструктурным центром, обеспечивающим отбор наиболее одаренных и перспективных молодых спортсменов - юношей и девушек, их развитие и подготовку в качестве основного резерва для спортивных сборных команд региона и России, а также их профессиональную подготовку в качестве педагогов, тренеров, менеджеров в области физкультуры и спорта. </w:t>
      </w:r>
    </w:p>
    <w:p w14:paraId="6E53ABF1" w14:textId="77777777" w:rsidR="007222A5" w:rsidRPr="00ED6292" w:rsidRDefault="007222A5" w:rsidP="007222A5">
      <w:pPr>
        <w:widowControl w:val="0"/>
        <w:shd w:val="clear" w:color="auto" w:fill="FFFFFF"/>
        <w:rPr>
          <w:rFonts w:ascii="PT Astra Serif" w:eastAsia="Times New Roman" w:hAnsi="PT Astra Serif" w:cs="Arial"/>
          <w:sz w:val="23"/>
          <w:szCs w:val="23"/>
          <w:lang w:eastAsia="ru-RU"/>
        </w:rPr>
      </w:pPr>
      <w:r w:rsidRPr="00ED6292">
        <w:rPr>
          <w:rFonts w:ascii="PT Astra Serif" w:eastAsia="Times New Roman" w:hAnsi="PT Astra Serif" w:cs="Times New Roman"/>
          <w:szCs w:val="28"/>
          <w:lang w:eastAsia="ru-RU"/>
        </w:rPr>
        <w:t>В настоящее время в</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Училище обучается 447 студентов по основным образовательным программам среднего профессионального</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образования, по двум специальностям: «Физическая культура» и «Спорт», по следующим квалификациям:</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«Педагог по физической культуре и спорту», «Учитель физической культуры». «Тренер по виду спорта».</w:t>
      </w:r>
    </w:p>
    <w:p w14:paraId="1AF8266D" w14:textId="77777777" w:rsidR="007222A5" w:rsidRPr="00ED6292" w:rsidRDefault="007222A5" w:rsidP="007222A5">
      <w:pPr>
        <w:pStyle w:val="af2"/>
        <w:widowControl w:val="0"/>
        <w:shd w:val="clear" w:color="auto" w:fill="FFFFFF"/>
        <w:spacing w:before="0" w:beforeAutospacing="0" w:after="0" w:afterAutospacing="0"/>
        <w:ind w:firstLine="709"/>
        <w:jc w:val="both"/>
        <w:rPr>
          <w:rFonts w:ascii="PT Astra Serif" w:hAnsi="PT Astra Serif"/>
          <w:sz w:val="28"/>
          <w:szCs w:val="28"/>
        </w:rPr>
      </w:pPr>
      <w:r w:rsidRPr="00ED6292">
        <w:rPr>
          <w:rFonts w:ascii="PT Astra Serif" w:hAnsi="PT Astra Serif"/>
          <w:sz w:val="28"/>
          <w:szCs w:val="28"/>
        </w:rPr>
        <w:t>Спортивную подготовку в Училище проходят 1</w:t>
      </w:r>
      <w:r>
        <w:rPr>
          <w:rFonts w:ascii="PT Astra Serif" w:hAnsi="PT Astra Serif"/>
          <w:sz w:val="28"/>
          <w:szCs w:val="28"/>
        </w:rPr>
        <w:t> </w:t>
      </w:r>
      <w:r w:rsidRPr="00ED6292">
        <w:rPr>
          <w:rFonts w:ascii="PT Astra Serif" w:hAnsi="PT Astra Serif"/>
          <w:sz w:val="28"/>
          <w:szCs w:val="28"/>
        </w:rPr>
        <w:t>195 спортсменов по программе дополнительного образования в режиме круглогодичных</w:t>
      </w:r>
      <w:r>
        <w:rPr>
          <w:rFonts w:ascii="PT Astra Serif" w:hAnsi="PT Astra Serif"/>
          <w:sz w:val="28"/>
          <w:szCs w:val="28"/>
        </w:rPr>
        <w:t xml:space="preserve"> </w:t>
      </w:r>
      <w:r w:rsidRPr="00ED6292">
        <w:rPr>
          <w:rFonts w:ascii="PT Astra Serif" w:hAnsi="PT Astra Serif"/>
          <w:sz w:val="28"/>
          <w:szCs w:val="28"/>
        </w:rPr>
        <w:t xml:space="preserve">тренировочных мероприятий по 20 видам спорта, в том числе 15 олимпийских видов спорта - гребля на байдарках и каноэ, прыжки на батуте, спортивная борьба, тяжелая атлетика, спортивная гимнастика, плавание, баскетбол, велосипедный спорт, волейбол, керлинг, конькобежный спорт, парусный спорт, настольный теннис, фехтование, пулевая стрельба и 5 неолимпийских видов – морское многоборье, спортивная аэробика, </w:t>
      </w:r>
      <w:proofErr w:type="spellStart"/>
      <w:r w:rsidRPr="00ED6292">
        <w:rPr>
          <w:rFonts w:ascii="PT Astra Serif" w:hAnsi="PT Astra Serif"/>
          <w:sz w:val="28"/>
          <w:szCs w:val="28"/>
        </w:rPr>
        <w:t>флорбол</w:t>
      </w:r>
      <w:proofErr w:type="spellEnd"/>
      <w:r w:rsidRPr="00ED6292">
        <w:rPr>
          <w:rFonts w:ascii="PT Astra Serif" w:hAnsi="PT Astra Serif"/>
          <w:sz w:val="28"/>
          <w:szCs w:val="28"/>
        </w:rPr>
        <w:t>, мотоциклетный спорт, лапта.</w:t>
      </w:r>
    </w:p>
    <w:p w14:paraId="3CE6F066" w14:textId="77777777" w:rsidR="007222A5" w:rsidRPr="00ED6292" w:rsidRDefault="007222A5" w:rsidP="007222A5">
      <w:pPr>
        <w:pStyle w:val="af2"/>
        <w:widowControl w:val="0"/>
        <w:shd w:val="clear" w:color="auto" w:fill="FFFFFF"/>
        <w:spacing w:before="0" w:beforeAutospacing="0" w:after="0" w:afterAutospacing="0"/>
        <w:ind w:firstLine="709"/>
        <w:jc w:val="both"/>
        <w:rPr>
          <w:rFonts w:ascii="PT Astra Serif" w:hAnsi="PT Astra Serif"/>
          <w:sz w:val="28"/>
          <w:szCs w:val="28"/>
        </w:rPr>
      </w:pPr>
      <w:r w:rsidRPr="00ED6292">
        <w:rPr>
          <w:rFonts w:ascii="PT Astra Serif" w:hAnsi="PT Astra Serif"/>
          <w:sz w:val="28"/>
          <w:szCs w:val="28"/>
        </w:rPr>
        <w:t xml:space="preserve">Открыто 137 групп (ВСМ </w:t>
      </w:r>
      <w:r>
        <w:rPr>
          <w:rFonts w:ascii="PT Astra Serif" w:hAnsi="PT Astra Serif"/>
          <w:sz w:val="28"/>
          <w:szCs w:val="28"/>
        </w:rPr>
        <w:t xml:space="preserve">- </w:t>
      </w:r>
      <w:r w:rsidRPr="00ED6292">
        <w:rPr>
          <w:rFonts w:ascii="PT Astra Serif" w:hAnsi="PT Astra Serif"/>
          <w:sz w:val="28"/>
          <w:szCs w:val="28"/>
        </w:rPr>
        <w:t xml:space="preserve">46, СС </w:t>
      </w:r>
      <w:r>
        <w:rPr>
          <w:rFonts w:ascii="PT Astra Serif" w:hAnsi="PT Astra Serif"/>
          <w:sz w:val="28"/>
          <w:szCs w:val="28"/>
        </w:rPr>
        <w:t>-</w:t>
      </w:r>
      <w:r w:rsidRPr="00ED6292">
        <w:rPr>
          <w:rFonts w:ascii="PT Astra Serif" w:hAnsi="PT Astra Serif"/>
          <w:sz w:val="28"/>
          <w:szCs w:val="28"/>
        </w:rPr>
        <w:t xml:space="preserve"> 12, УТГ </w:t>
      </w:r>
      <w:r>
        <w:rPr>
          <w:rFonts w:ascii="PT Astra Serif" w:hAnsi="PT Astra Serif"/>
          <w:sz w:val="28"/>
          <w:szCs w:val="28"/>
        </w:rPr>
        <w:t xml:space="preserve">- </w:t>
      </w:r>
      <w:r w:rsidRPr="00ED6292">
        <w:rPr>
          <w:rFonts w:ascii="PT Astra Serif" w:hAnsi="PT Astra Serif"/>
          <w:sz w:val="28"/>
          <w:szCs w:val="28"/>
        </w:rPr>
        <w:t xml:space="preserve">66, НП </w:t>
      </w:r>
      <w:r>
        <w:rPr>
          <w:rFonts w:ascii="PT Astra Serif" w:hAnsi="PT Astra Serif"/>
          <w:sz w:val="28"/>
          <w:szCs w:val="28"/>
        </w:rPr>
        <w:t xml:space="preserve">- </w:t>
      </w:r>
      <w:r w:rsidRPr="00ED6292">
        <w:rPr>
          <w:rFonts w:ascii="PT Astra Serif" w:hAnsi="PT Astra Serif"/>
          <w:sz w:val="28"/>
          <w:szCs w:val="28"/>
        </w:rPr>
        <w:t xml:space="preserve">13). Из них по этапам спортивной подготовки: начальный (НП) – 285 спортсмена, учебно-тренировочный (УТГ) – 700 спортсмена, спортивного совершенствования (СС)– 146 спортсменов, высшего спортивного мастерства (ВСМ) – 64 спортсмена. Из них: 1 чел. - мастер спорта международного класса, 40 чел. - мастера спорта России и 184 являются кандидатами в мастера спорта. 37 спортсменов являются кандидатами в спортивные сборные команды России. </w:t>
      </w:r>
    </w:p>
    <w:p w14:paraId="030140D7" w14:textId="7760DE14" w:rsidR="007222A5" w:rsidRPr="00ED6292" w:rsidRDefault="007222A5" w:rsidP="007222A5">
      <w:pPr>
        <w:widowControl w:val="0"/>
        <w:shd w:val="clear" w:color="auto" w:fill="FFFFFF"/>
        <w:rPr>
          <w:rFonts w:ascii="PT Astra Serif" w:eastAsia="Times New Roman" w:hAnsi="PT Astra Serif" w:cs="Arial"/>
          <w:sz w:val="23"/>
          <w:szCs w:val="23"/>
          <w:lang w:eastAsia="ru-RU"/>
        </w:rPr>
      </w:pPr>
      <w:r w:rsidRPr="00ED6292">
        <w:rPr>
          <w:rFonts w:ascii="PT Astra Serif" w:eastAsia="Times New Roman" w:hAnsi="PT Astra Serif" w:cs="Times New Roman"/>
          <w:szCs w:val="28"/>
          <w:lang w:eastAsia="ru-RU"/>
        </w:rPr>
        <w:t xml:space="preserve">В 2025 году выпуск специалистов со средним профессиональным образованием составил 106 человек. Из них трудоустроено в соответствии </w:t>
      </w:r>
      <w:r>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с трудовым законодательством - 42 человек, из них по полученной </w:t>
      </w:r>
      <w:r w:rsidRPr="00ED6292">
        <w:rPr>
          <w:rFonts w:ascii="PT Astra Serif" w:eastAsia="Times New Roman" w:hAnsi="PT Astra Serif" w:cs="Times New Roman"/>
          <w:szCs w:val="28"/>
          <w:lang w:eastAsia="ru-RU"/>
        </w:rPr>
        <w:lastRenderedPageBreak/>
        <w:t xml:space="preserve">специальности – 32 человека, продолжили обучение в вузах Ульяновска 35 человек, проходят службу в армии – 27 человек. Остались учиться и работать в Ульяновской области – 83 человека из </w:t>
      </w:r>
      <w:proofErr w:type="spellStart"/>
      <w:r w:rsidRPr="00ED6292">
        <w:rPr>
          <w:rFonts w:ascii="PT Astra Serif" w:eastAsia="Times New Roman" w:hAnsi="PT Astra Serif" w:cs="Times New Roman"/>
          <w:szCs w:val="28"/>
          <w:lang w:eastAsia="ru-RU"/>
        </w:rPr>
        <w:t>выпустившихся</w:t>
      </w:r>
      <w:proofErr w:type="spellEnd"/>
      <w:r w:rsidRPr="00ED6292">
        <w:rPr>
          <w:rFonts w:ascii="PT Astra Serif" w:eastAsia="Times New Roman" w:hAnsi="PT Astra Serif" w:cs="Times New Roman"/>
          <w:szCs w:val="28"/>
          <w:lang w:eastAsia="ru-RU"/>
        </w:rPr>
        <w:t xml:space="preserve"> в 2025 году, что составляет 78,3%.</w:t>
      </w:r>
      <w:r w:rsidR="00EB15FA">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Предполагаемый выпуск 2026 года составляет 106 человек по очной и заочной формам обучения.</w:t>
      </w:r>
    </w:p>
    <w:p w14:paraId="62212B82" w14:textId="77777777" w:rsidR="007222A5" w:rsidRPr="00ED6292" w:rsidRDefault="007222A5" w:rsidP="007222A5">
      <w:pPr>
        <w:widowControl w:val="0"/>
        <w:shd w:val="clear" w:color="auto" w:fill="FFFFFF"/>
        <w:rPr>
          <w:rFonts w:ascii="PT Astra Serif" w:eastAsia="Times New Roman" w:hAnsi="PT Astra Serif" w:cs="Arial"/>
          <w:sz w:val="23"/>
          <w:szCs w:val="23"/>
          <w:lang w:eastAsia="ru-RU"/>
        </w:rPr>
      </w:pPr>
      <w:r w:rsidRPr="00ED6292">
        <w:rPr>
          <w:rFonts w:ascii="PT Astra Serif" w:eastAsia="Times New Roman" w:hAnsi="PT Astra Serif" w:cs="Times New Roman"/>
          <w:szCs w:val="28"/>
          <w:lang w:eastAsia="ru-RU"/>
        </w:rPr>
        <w:t>В Училище работают 54 преподавателя и 64 тренеров-преподавателей, из них 5 кандидатов педагогических наук, 82 человека имеет высшую квалификационную категорию.</w:t>
      </w:r>
    </w:p>
    <w:p w14:paraId="2D8EFBEE" w14:textId="77777777" w:rsidR="007222A5" w:rsidRPr="00ED6292" w:rsidRDefault="007222A5" w:rsidP="007222A5">
      <w:pPr>
        <w:widowControl w:val="0"/>
        <w:shd w:val="clear" w:color="auto" w:fill="FFFFFF"/>
        <w:rPr>
          <w:rFonts w:ascii="PT Astra Serif" w:eastAsia="Times New Roman" w:hAnsi="PT Astra Serif" w:cs="Arial"/>
          <w:sz w:val="23"/>
          <w:szCs w:val="23"/>
          <w:lang w:eastAsia="ru-RU"/>
        </w:rPr>
      </w:pPr>
      <w:r w:rsidRPr="00ED6292">
        <w:rPr>
          <w:rFonts w:ascii="PT Astra Serif" w:eastAsia="Times New Roman" w:hAnsi="PT Astra Serif" w:cs="Times New Roman"/>
          <w:szCs w:val="28"/>
          <w:lang w:eastAsia="ru-RU"/>
        </w:rPr>
        <w:t>В училище активно ведется научно-исследовательская работа. За 2025 год преподавателями и студентами было опубликовано 49 научных работ. Коллектив училища с 2023 г</w:t>
      </w:r>
      <w:r>
        <w:rPr>
          <w:rFonts w:ascii="PT Astra Serif" w:eastAsia="Times New Roman" w:hAnsi="PT Astra Serif" w:cs="Times New Roman"/>
          <w:szCs w:val="28"/>
          <w:lang w:eastAsia="ru-RU"/>
        </w:rPr>
        <w:t>ода</w:t>
      </w:r>
      <w:r w:rsidRPr="00ED6292">
        <w:rPr>
          <w:rFonts w:ascii="PT Astra Serif" w:eastAsia="Times New Roman" w:hAnsi="PT Astra Serif" w:cs="Times New Roman"/>
          <w:szCs w:val="28"/>
          <w:lang w:eastAsia="ru-RU"/>
        </w:rPr>
        <w:t xml:space="preserve"> успешно реализует мероприятия инновационной площадки по теме «Создание и функционирование регионального научно-методического центра физкультурно-спортивной направленности».</w:t>
      </w:r>
    </w:p>
    <w:p w14:paraId="6163A643" w14:textId="4B8AFBBF" w:rsidR="007222A5" w:rsidRPr="00ED6292" w:rsidRDefault="007222A5" w:rsidP="007222A5">
      <w:pPr>
        <w:widowControl w:val="0"/>
        <w:shd w:val="clear" w:color="auto" w:fill="FFFFFF"/>
        <w:rPr>
          <w:rFonts w:ascii="PT Astra Serif" w:eastAsia="Times New Roman" w:hAnsi="PT Astra Serif" w:cs="Arial"/>
          <w:sz w:val="23"/>
          <w:szCs w:val="23"/>
          <w:lang w:eastAsia="ru-RU"/>
        </w:rPr>
      </w:pPr>
      <w:r w:rsidRPr="00ED6292">
        <w:rPr>
          <w:rFonts w:ascii="PT Astra Serif" w:eastAsia="Times New Roman" w:hAnsi="PT Astra Serif" w:cs="Times New Roman"/>
          <w:szCs w:val="28"/>
          <w:lang w:eastAsia="ru-RU"/>
        </w:rPr>
        <w:t xml:space="preserve">4 преподавателя училища приняли участие в двух всероссийских профессиональных конкурсах, где стали победителями и призерами. Также </w:t>
      </w:r>
      <w:r>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в училище работает лаборатория функциональной диагностики, где реализуется федеральный проект «СТАНЬ ЧЕМПИОНОМ», по выявлению </w:t>
      </w:r>
      <w:r w:rsidR="002318EA">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и отбору талантливых и одаренных в спорте детей. Совместно </w:t>
      </w:r>
      <w:r w:rsidR="002318EA">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с министерством просвещения Ульяновской области осуществляются комплексные мероприятия по оценке способностей детей 6</w:t>
      </w:r>
      <w:r w:rsidR="002318EA">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w:t>
      </w:r>
      <w:r w:rsidR="002318EA">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7 лет к занятиям соответствующими видами спорта в детских садах г. Ульяновска.</w:t>
      </w:r>
    </w:p>
    <w:p w14:paraId="46EE3926" w14:textId="77777777" w:rsidR="007222A5" w:rsidRPr="00ED6292" w:rsidRDefault="007222A5" w:rsidP="007222A5">
      <w:pPr>
        <w:widowControl w:val="0"/>
        <w:rPr>
          <w:rFonts w:ascii="PT Astra Serif" w:eastAsia="Times New Roman" w:hAnsi="PT Astra Serif"/>
          <w:szCs w:val="28"/>
        </w:rPr>
      </w:pPr>
    </w:p>
    <w:p w14:paraId="3C13345B" w14:textId="77777777"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 xml:space="preserve">Развитие спортивной инфраструктуры и укрепление </w:t>
      </w:r>
      <w:r w:rsidRPr="00ED6292">
        <w:rPr>
          <w:rFonts w:ascii="PT Astra Serif" w:eastAsia="Times New Roman" w:hAnsi="PT Astra Serif"/>
          <w:b/>
          <w:szCs w:val="28"/>
        </w:rPr>
        <w:br/>
        <w:t>материально–технической базы учреждений</w:t>
      </w:r>
    </w:p>
    <w:p w14:paraId="47CC60D3" w14:textId="77777777" w:rsidR="007222A5" w:rsidRPr="002318EA" w:rsidRDefault="007222A5" w:rsidP="007222A5">
      <w:pPr>
        <w:widowControl w:val="0"/>
        <w:ind w:firstLine="0"/>
        <w:jc w:val="center"/>
        <w:rPr>
          <w:rFonts w:ascii="PT Astra Serif" w:eastAsia="Times New Roman" w:hAnsi="PT Astra Serif"/>
          <w:szCs w:val="28"/>
        </w:rPr>
      </w:pPr>
    </w:p>
    <w:p w14:paraId="06AB495C" w14:textId="7048780E"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Ульяновской области 2</w:t>
      </w:r>
      <w:r>
        <w:rPr>
          <w:rFonts w:ascii="PT Astra Serif" w:eastAsia="Times New Roman" w:hAnsi="PT Astra Serif"/>
          <w:szCs w:val="28"/>
        </w:rPr>
        <w:t> </w:t>
      </w:r>
      <w:r w:rsidRPr="00ED6292">
        <w:rPr>
          <w:rFonts w:ascii="PT Astra Serif" w:eastAsia="Times New Roman" w:hAnsi="PT Astra Serif"/>
          <w:szCs w:val="28"/>
        </w:rPr>
        <w:t>988 спортивное сооружение, из них 719 спортивных залов, 51 плавательный бассейн, 17 стадионов и 4 крытых ледовых арены.</w:t>
      </w:r>
    </w:p>
    <w:p w14:paraId="742A0591" w14:textId="49D767B1"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На развитие спортивной инфраструктуры в 2025 году выделено 145,2 млн рублей: за счет средств областного бюджета Ульяновской области – 127,1 млн рублей, также привлечено средств из федерального бюджета в размере 18,1 млн рублей.</w:t>
      </w:r>
    </w:p>
    <w:p w14:paraId="0B247FE5"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w:t>
      </w:r>
      <w:r w:rsidRPr="00EE72F3">
        <w:rPr>
          <w:rFonts w:ascii="PT Astra Serif" w:eastAsia="Times New Roman" w:hAnsi="PT Astra Serif"/>
          <w:b/>
          <w:bCs/>
          <w:szCs w:val="28"/>
        </w:rPr>
        <w:t xml:space="preserve"> 2025 году осуществлялось развитие объектов спорта</w:t>
      </w:r>
      <w:r w:rsidRPr="00ED6292">
        <w:rPr>
          <w:rFonts w:ascii="PT Astra Serif" w:eastAsia="Times New Roman" w:hAnsi="PT Astra Serif"/>
          <w:szCs w:val="28"/>
        </w:rPr>
        <w:t xml:space="preserve"> как государственной, так и муниципальной собственности, денежные средства направлены </w:t>
      </w:r>
      <w:r w:rsidRPr="00EE72F3">
        <w:rPr>
          <w:rFonts w:ascii="PT Astra Serif" w:eastAsia="Times New Roman" w:hAnsi="PT Astra Serif"/>
          <w:b/>
          <w:bCs/>
          <w:szCs w:val="28"/>
        </w:rPr>
        <w:t>на следующие цели</w:t>
      </w:r>
      <w:r w:rsidRPr="00ED6292">
        <w:rPr>
          <w:rFonts w:ascii="PT Astra Serif" w:eastAsia="Times New Roman" w:hAnsi="PT Astra Serif"/>
          <w:szCs w:val="28"/>
        </w:rPr>
        <w:t>:</w:t>
      </w:r>
    </w:p>
    <w:p w14:paraId="124B1D2E" w14:textId="46A5ADB9"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приобретение технологического оборудования для </w:t>
      </w:r>
      <w:proofErr w:type="spellStart"/>
      <w:r w:rsidRPr="00ED6292">
        <w:rPr>
          <w:rFonts w:ascii="PT Astra Serif" w:eastAsia="Times New Roman" w:hAnsi="PT Astra Serif"/>
          <w:szCs w:val="28"/>
        </w:rPr>
        <w:t>ФОКа</w:t>
      </w:r>
      <w:proofErr w:type="spellEnd"/>
      <w:r w:rsidRPr="00ED6292">
        <w:rPr>
          <w:rFonts w:ascii="PT Astra Serif" w:eastAsia="Times New Roman" w:hAnsi="PT Astra Serif"/>
          <w:szCs w:val="28"/>
        </w:rPr>
        <w:t xml:space="preserve"> «Патриот» в с. Троицкий </w:t>
      </w:r>
      <w:proofErr w:type="spellStart"/>
      <w:r w:rsidRPr="00ED6292">
        <w:rPr>
          <w:rFonts w:ascii="PT Astra Serif" w:eastAsia="Times New Roman" w:hAnsi="PT Astra Serif"/>
          <w:szCs w:val="28"/>
        </w:rPr>
        <w:t>Сунгур</w:t>
      </w:r>
      <w:proofErr w:type="spellEnd"/>
      <w:r w:rsidRPr="00ED6292">
        <w:rPr>
          <w:rFonts w:ascii="PT Astra Serif" w:eastAsia="Times New Roman" w:hAnsi="PT Astra Serif"/>
          <w:szCs w:val="28"/>
        </w:rPr>
        <w:t xml:space="preserve"> Новоспасского района было предусмотрено 3,1 млн рублей, освоено 100%;</w:t>
      </w:r>
    </w:p>
    <w:p w14:paraId="66AB2EE6" w14:textId="66B4707A"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установку освещения и видеонаблюдения на стадионе «Старт» </w:t>
      </w:r>
      <w:r w:rsidRPr="00110B7F">
        <w:rPr>
          <w:rFonts w:ascii="PT Astra Serif" w:eastAsia="Times New Roman" w:hAnsi="PT Astra Serif"/>
          <w:szCs w:val="28"/>
        </w:rPr>
        <w:br/>
      </w:r>
      <w:r w:rsidRPr="00ED6292">
        <w:rPr>
          <w:rFonts w:ascii="PT Astra Serif" w:eastAsia="Times New Roman" w:hAnsi="PT Astra Serif"/>
          <w:szCs w:val="28"/>
        </w:rPr>
        <w:t xml:space="preserve">в г. Барыш было предусмотрено 4,5 млн рублей, освоено 100%; </w:t>
      </w:r>
    </w:p>
    <w:p w14:paraId="50330871"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обеспечение строительства </w:t>
      </w:r>
      <w:proofErr w:type="spellStart"/>
      <w:r w:rsidRPr="00ED6292">
        <w:rPr>
          <w:rFonts w:ascii="PT Astra Serif" w:eastAsia="Times New Roman" w:hAnsi="PT Astra Serif"/>
          <w:szCs w:val="28"/>
        </w:rPr>
        <w:t>ФОКа</w:t>
      </w:r>
      <w:proofErr w:type="spellEnd"/>
      <w:r w:rsidRPr="00ED6292">
        <w:rPr>
          <w:rFonts w:ascii="PT Astra Serif" w:eastAsia="Times New Roman" w:hAnsi="PT Astra Serif"/>
          <w:szCs w:val="28"/>
        </w:rPr>
        <w:t xml:space="preserve"> в </w:t>
      </w:r>
      <w:proofErr w:type="spellStart"/>
      <w:r w:rsidRPr="00ED6292">
        <w:rPr>
          <w:rFonts w:ascii="PT Astra Serif" w:eastAsia="Times New Roman" w:hAnsi="PT Astra Serif"/>
          <w:szCs w:val="28"/>
        </w:rPr>
        <w:t>р.п</w:t>
      </w:r>
      <w:proofErr w:type="spellEnd"/>
      <w:r w:rsidRPr="00ED6292">
        <w:rPr>
          <w:rFonts w:ascii="PT Astra Serif" w:eastAsia="Times New Roman" w:hAnsi="PT Astra Serif"/>
          <w:szCs w:val="28"/>
        </w:rPr>
        <w:t>. Кузоватово предусмотрено 100,0 млн рублей, освоено 100% Плановая дата ввода объекта в эксплуатацию июнь 2026 года;</w:t>
      </w:r>
    </w:p>
    <w:p w14:paraId="50D7BD8D" w14:textId="35B51E38"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обеспечение на проведения экспертизы строительства крытого </w:t>
      </w:r>
      <w:r w:rsidRPr="00ED6292">
        <w:rPr>
          <w:rFonts w:ascii="PT Astra Serif" w:eastAsia="Times New Roman" w:hAnsi="PT Astra Serif"/>
          <w:szCs w:val="28"/>
        </w:rPr>
        <w:lastRenderedPageBreak/>
        <w:t>футбольного манежа в г. Ульяновске было предусмотрено 0,6 млн рублей, освоено 100%. 26.06.2025 заключен контракт на строительство объекта: «Крытый футбольный манеж в г. Ульяновске» с ООО «СК «Молния». В связи с необходимостью устранения нарушений, допущенных предыдущим подрядчиком, по согласованию с Министерством спорта Российской Федерации срока ввода Объекта в эксплуатацию перенесен на IV квартал 2026 года. Строительная готовность объекта – 87,8%, техническая готовность – 85,5%;</w:t>
      </w:r>
    </w:p>
    <w:p w14:paraId="7F8FB6A4" w14:textId="057C308A"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создание «умной» спортивной площадки r. Ульяновск, ул. </w:t>
      </w:r>
      <w:proofErr w:type="spellStart"/>
      <w:r w:rsidRPr="00ED6292">
        <w:rPr>
          <w:rFonts w:ascii="PT Astra Serif" w:eastAsia="Times New Roman" w:hAnsi="PT Astra Serif"/>
          <w:szCs w:val="28"/>
        </w:rPr>
        <w:t>Карбышева</w:t>
      </w:r>
      <w:proofErr w:type="spellEnd"/>
      <w:r w:rsidRPr="00ED6292">
        <w:rPr>
          <w:rFonts w:ascii="PT Astra Serif" w:eastAsia="Times New Roman" w:hAnsi="PT Astra Serif"/>
          <w:szCs w:val="28"/>
        </w:rPr>
        <w:t xml:space="preserve"> д.2, на территории 79 гимназии —8,8 млн рублей, освоено 100%;</w:t>
      </w:r>
    </w:p>
    <w:p w14:paraId="475EAB69" w14:textId="3A7C8472"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установку комплектов спортивного оборудования для спортивных площадок ГТО в 5 муниципальных образованиях Ульяновской области </w:t>
      </w:r>
      <w:r w:rsidR="00EB15FA">
        <w:rPr>
          <w:rFonts w:ascii="PT Astra Serif" w:eastAsia="Times New Roman" w:hAnsi="PT Astra Serif"/>
          <w:szCs w:val="28"/>
        </w:rPr>
        <w:br/>
      </w:r>
      <w:r w:rsidRPr="00ED6292">
        <w:rPr>
          <w:rFonts w:ascii="PT Astra Serif" w:eastAsia="Times New Roman" w:hAnsi="PT Astra Serif"/>
          <w:szCs w:val="28"/>
        </w:rPr>
        <w:t>(г. Новоульяновск, Карсунский, Чердаклинский</w:t>
      </w:r>
      <w:r w:rsidR="008D5740">
        <w:rPr>
          <w:rFonts w:ascii="PT Astra Serif" w:eastAsia="Times New Roman" w:hAnsi="PT Astra Serif"/>
          <w:szCs w:val="28"/>
        </w:rPr>
        <w:t>,</w:t>
      </w:r>
      <w:r w:rsidRPr="00ED6292">
        <w:rPr>
          <w:rFonts w:ascii="PT Astra Serif" w:eastAsia="Times New Roman" w:hAnsi="PT Astra Serif"/>
          <w:szCs w:val="28"/>
        </w:rPr>
        <w:t xml:space="preserve"> Тереньгульский </w:t>
      </w:r>
      <w:r w:rsidR="008D5740">
        <w:rPr>
          <w:rFonts w:ascii="PT Astra Serif" w:eastAsia="Times New Roman" w:hAnsi="PT Astra Serif"/>
          <w:szCs w:val="28"/>
        </w:rPr>
        <w:br/>
        <w:t xml:space="preserve">и Ульяновский </w:t>
      </w:r>
      <w:r w:rsidRPr="00ED6292">
        <w:rPr>
          <w:rFonts w:ascii="PT Astra Serif" w:eastAsia="Times New Roman" w:hAnsi="PT Astra Serif"/>
          <w:szCs w:val="28"/>
        </w:rPr>
        <w:t>районы) – 12,8 млн рублей;</w:t>
      </w:r>
    </w:p>
    <w:p w14:paraId="15E2C279" w14:textId="7AF369BA"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на обеспечение создания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-центра на территории Ульяновского училища (техникума) олимпийского резерва в рамках федерального проекта «Бизнес-спринт (Я выбираю спорт)» предусмотрено 15,4 млн рублей, освоено 100%.</w:t>
      </w:r>
    </w:p>
    <w:p w14:paraId="374B61F1" w14:textId="7B8A0B80"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2024</w:t>
      </w:r>
      <w:r>
        <w:rPr>
          <w:rFonts w:ascii="PT Astra Serif" w:eastAsia="Times New Roman" w:hAnsi="PT Astra Serif"/>
          <w:szCs w:val="28"/>
        </w:rPr>
        <w:t xml:space="preserve"> </w:t>
      </w:r>
      <w:r w:rsidRPr="00ED6292">
        <w:rPr>
          <w:rFonts w:ascii="PT Astra Serif" w:eastAsia="Times New Roman" w:hAnsi="PT Astra Serif"/>
          <w:szCs w:val="28"/>
        </w:rPr>
        <w:t>-</w:t>
      </w:r>
      <w:r>
        <w:rPr>
          <w:rFonts w:ascii="PT Astra Serif" w:eastAsia="Times New Roman" w:hAnsi="PT Astra Serif"/>
          <w:szCs w:val="28"/>
        </w:rPr>
        <w:t xml:space="preserve"> </w:t>
      </w:r>
      <w:r w:rsidRPr="00ED6292">
        <w:rPr>
          <w:rFonts w:ascii="PT Astra Serif" w:eastAsia="Times New Roman" w:hAnsi="PT Astra Serif"/>
          <w:szCs w:val="28"/>
        </w:rPr>
        <w:t xml:space="preserve">2025 годах для создания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-центра было предусмотрено финансирование в размере 129,51 млн рублей (из них 80% составляют средства федерального бюджета в размере 78,00 млн рублей и 19,5 млн рублей областной бюджет Ульяновской области, в том числе 32,0 млн рублей дополнительное финансирование из областного бюджета).</w:t>
      </w:r>
    </w:p>
    <w:p w14:paraId="61F9270D" w14:textId="77777777" w:rsidR="007222A5" w:rsidRPr="00ED6292" w:rsidRDefault="007222A5" w:rsidP="007222A5">
      <w:pPr>
        <w:widowControl w:val="0"/>
        <w:rPr>
          <w:rFonts w:ascii="PT Astra Serif" w:eastAsia="Times New Roman" w:hAnsi="PT Astra Serif"/>
          <w:szCs w:val="28"/>
        </w:rPr>
      </w:pPr>
      <w:r w:rsidRPr="00EE72F3">
        <w:rPr>
          <w:rFonts w:ascii="PT Astra Serif" w:eastAsia="Times New Roman" w:hAnsi="PT Astra Serif"/>
          <w:b/>
          <w:bCs/>
          <w:szCs w:val="28"/>
        </w:rPr>
        <w:t>Средства направлены</w:t>
      </w:r>
      <w:r w:rsidRPr="00ED6292">
        <w:rPr>
          <w:rFonts w:ascii="PT Astra Serif" w:eastAsia="Times New Roman" w:hAnsi="PT Astra Serif"/>
          <w:szCs w:val="28"/>
        </w:rPr>
        <w:t xml:space="preserve"> на </w:t>
      </w:r>
      <w:proofErr w:type="spellStart"/>
      <w:r w:rsidRPr="00ED6292">
        <w:rPr>
          <w:rFonts w:ascii="PT Astra Serif" w:eastAsia="Times New Roman" w:hAnsi="PT Astra Serif"/>
          <w:szCs w:val="28"/>
        </w:rPr>
        <w:t>софинансирование</w:t>
      </w:r>
      <w:proofErr w:type="spellEnd"/>
      <w:r w:rsidRPr="00ED6292">
        <w:rPr>
          <w:rFonts w:ascii="PT Astra Serif" w:eastAsia="Times New Roman" w:hAnsi="PT Astra Serif"/>
          <w:szCs w:val="28"/>
        </w:rPr>
        <w:t xml:space="preserve"> следующих мероприятий:</w:t>
      </w:r>
    </w:p>
    <w:p w14:paraId="2E5C0905" w14:textId="435D9D52"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1) закупка и монтаж оборудования – 97,5 млн рублей (ФБ – 78,0 млн рублей, ОБ – 19,5 млн рублей);</w:t>
      </w:r>
    </w:p>
    <w:p w14:paraId="1BD2E2DB" w14:textId="66A94642"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2) благоустройство территории – 32,0 млн рублей (16,62 млн рублей</w:t>
      </w:r>
      <w:r>
        <w:rPr>
          <w:rFonts w:ascii="PT Astra Serif" w:eastAsia="Times New Roman" w:hAnsi="PT Astra Serif"/>
          <w:szCs w:val="28"/>
        </w:rPr>
        <w:t xml:space="preserve"> </w:t>
      </w:r>
      <w:r w:rsidRPr="00ED6292">
        <w:rPr>
          <w:rFonts w:ascii="PT Astra Serif" w:eastAsia="Times New Roman" w:hAnsi="PT Astra Serif"/>
          <w:szCs w:val="28"/>
        </w:rPr>
        <w:t xml:space="preserve">- лимиты 2024 </w:t>
      </w:r>
      <w:r>
        <w:rPr>
          <w:rFonts w:ascii="PT Astra Serif" w:eastAsia="Times New Roman" w:hAnsi="PT Astra Serif"/>
          <w:szCs w:val="28"/>
        </w:rPr>
        <w:t xml:space="preserve">года </w:t>
      </w:r>
      <w:r w:rsidRPr="00ED6292">
        <w:rPr>
          <w:rFonts w:ascii="PT Astra Serif" w:eastAsia="Times New Roman" w:hAnsi="PT Astra Serif"/>
          <w:szCs w:val="28"/>
        </w:rPr>
        <w:t>и 15,38 млн рублей – лимиты 2025</w:t>
      </w:r>
      <w:r>
        <w:rPr>
          <w:rFonts w:ascii="PT Astra Serif" w:eastAsia="Times New Roman" w:hAnsi="PT Astra Serif"/>
          <w:szCs w:val="28"/>
        </w:rPr>
        <w:t xml:space="preserve"> </w:t>
      </w:r>
      <w:proofErr w:type="spellStart"/>
      <w:r>
        <w:rPr>
          <w:rFonts w:ascii="PT Astra Serif" w:eastAsia="Times New Roman" w:hAnsi="PT Astra Serif"/>
          <w:szCs w:val="28"/>
        </w:rPr>
        <w:t>годп</w:t>
      </w:r>
      <w:proofErr w:type="spellEnd"/>
      <w:r w:rsidRPr="00ED6292">
        <w:rPr>
          <w:rFonts w:ascii="PT Astra Serif" w:eastAsia="Times New Roman" w:hAnsi="PT Astra Serif"/>
          <w:szCs w:val="28"/>
        </w:rPr>
        <w:t>).</w:t>
      </w:r>
    </w:p>
    <w:p w14:paraId="04559D77" w14:textId="39D0F731"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2024 г</w:t>
      </w:r>
      <w:r>
        <w:rPr>
          <w:rFonts w:ascii="PT Astra Serif" w:eastAsia="Times New Roman" w:hAnsi="PT Astra Serif"/>
          <w:szCs w:val="28"/>
        </w:rPr>
        <w:t>оду</w:t>
      </w:r>
      <w:r w:rsidRPr="00ED6292">
        <w:rPr>
          <w:rFonts w:ascii="PT Astra Serif" w:eastAsia="Times New Roman" w:hAnsi="PT Astra Serif"/>
          <w:szCs w:val="28"/>
        </w:rPr>
        <w:t xml:space="preserve"> заключен контракт на поставку и монтаж оборудования на сумму 97,5 млн рублей. Оборудование для создания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 xml:space="preserve">-центра закуплено в полном объёме и хранится на территории техникума (срок исполнения контракта до 31.07.2026). </w:t>
      </w:r>
    </w:p>
    <w:p w14:paraId="638690A8" w14:textId="5ECE1820"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2025 г</w:t>
      </w:r>
      <w:r>
        <w:rPr>
          <w:rFonts w:ascii="PT Astra Serif" w:eastAsia="Times New Roman" w:hAnsi="PT Astra Serif"/>
          <w:szCs w:val="28"/>
        </w:rPr>
        <w:t>оду</w:t>
      </w:r>
      <w:r w:rsidRPr="00ED6292">
        <w:rPr>
          <w:rFonts w:ascii="PT Astra Serif" w:eastAsia="Times New Roman" w:hAnsi="PT Astra Serif"/>
          <w:szCs w:val="28"/>
        </w:rPr>
        <w:t xml:space="preserve"> заключен контракт на выполнение работ по устройству основания под установку административно-бытового комплекса на сумму </w:t>
      </w:r>
      <w:r w:rsidR="002318EA">
        <w:rPr>
          <w:rFonts w:ascii="PT Astra Serif" w:eastAsia="Times New Roman" w:hAnsi="PT Astra Serif"/>
          <w:szCs w:val="28"/>
        </w:rPr>
        <w:br/>
      </w:r>
      <w:r w:rsidRPr="00ED6292">
        <w:rPr>
          <w:rFonts w:ascii="PT Astra Serif" w:eastAsia="Times New Roman" w:hAnsi="PT Astra Serif"/>
          <w:szCs w:val="28"/>
        </w:rPr>
        <w:t xml:space="preserve">7,5 млн рублей (срок исполнения контракта до 31.07.2026). Также заключен контракт на благоустройство территории создания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 xml:space="preserve">-центра на сумму 7,94 млн рублей (срок исполнения контракта до 31.07.2026). </w:t>
      </w:r>
    </w:p>
    <w:p w14:paraId="3C68603D"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2025 произведена заливка бетонной плиты и начат монтаж самого здания АБК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 xml:space="preserve">-центра. На текущий момент закрыт контур здания АБК. </w:t>
      </w:r>
      <w:proofErr w:type="spellStart"/>
      <w:r w:rsidRPr="00ED6292">
        <w:rPr>
          <w:rFonts w:ascii="PT Astra Serif" w:eastAsia="Times New Roman" w:hAnsi="PT Astra Serif"/>
          <w:szCs w:val="28"/>
        </w:rPr>
        <w:t>Фиджитал</w:t>
      </w:r>
      <w:proofErr w:type="spellEnd"/>
      <w:r w:rsidRPr="00ED6292">
        <w:rPr>
          <w:rFonts w:ascii="PT Astra Serif" w:eastAsia="Times New Roman" w:hAnsi="PT Astra Serif"/>
          <w:szCs w:val="28"/>
        </w:rPr>
        <w:t xml:space="preserve">-центр будет представлять собой крытую </w:t>
      </w:r>
      <w:proofErr w:type="spellStart"/>
      <w:r w:rsidRPr="00ED6292">
        <w:rPr>
          <w:rFonts w:ascii="PT Astra Serif" w:eastAsia="Times New Roman" w:hAnsi="PT Astra Serif"/>
          <w:szCs w:val="28"/>
        </w:rPr>
        <w:t>киберспортивную</w:t>
      </w:r>
      <w:proofErr w:type="spellEnd"/>
      <w:r w:rsidRPr="00ED6292">
        <w:rPr>
          <w:rFonts w:ascii="PT Astra Serif" w:eastAsia="Times New Roman" w:hAnsi="PT Astra Serif"/>
          <w:szCs w:val="28"/>
        </w:rPr>
        <w:t xml:space="preserve"> зону </w:t>
      </w:r>
      <w:r>
        <w:rPr>
          <w:rFonts w:ascii="PT Astra Serif" w:eastAsia="Times New Roman" w:hAnsi="PT Astra Serif"/>
          <w:szCs w:val="28"/>
        </w:rPr>
        <w:br/>
      </w:r>
      <w:r w:rsidRPr="00ED6292">
        <w:rPr>
          <w:rFonts w:ascii="PT Astra Serif" w:eastAsia="Times New Roman" w:hAnsi="PT Astra Serif"/>
          <w:szCs w:val="28"/>
        </w:rPr>
        <w:t xml:space="preserve">с раздевалками, душевыми и зоной отдыха, а также открытую спортивную площадку для мини-футбола, </w:t>
      </w:r>
      <w:proofErr w:type="spellStart"/>
      <w:r w:rsidRPr="00ED6292">
        <w:rPr>
          <w:rFonts w:ascii="PT Astra Serif" w:eastAsia="Times New Roman" w:hAnsi="PT Astra Serif"/>
          <w:szCs w:val="28"/>
        </w:rPr>
        <w:t>стритбола</w:t>
      </w:r>
      <w:proofErr w:type="spellEnd"/>
      <w:r w:rsidRPr="00ED6292">
        <w:rPr>
          <w:rFonts w:ascii="PT Astra Serif" w:eastAsia="Times New Roman" w:hAnsi="PT Astra Serif"/>
          <w:szCs w:val="28"/>
        </w:rPr>
        <w:t xml:space="preserve"> и </w:t>
      </w:r>
      <w:proofErr w:type="spellStart"/>
      <w:r w:rsidRPr="00ED6292">
        <w:rPr>
          <w:rFonts w:ascii="PT Astra Serif" w:eastAsia="Times New Roman" w:hAnsi="PT Astra Serif"/>
          <w:szCs w:val="28"/>
        </w:rPr>
        <w:t>воркаут</w:t>
      </w:r>
      <w:proofErr w:type="spellEnd"/>
      <w:r w:rsidRPr="00ED6292">
        <w:rPr>
          <w:rFonts w:ascii="PT Astra Serif" w:eastAsia="Times New Roman" w:hAnsi="PT Astra Serif"/>
          <w:szCs w:val="28"/>
        </w:rPr>
        <w:t>-тренажёров.</w:t>
      </w:r>
    </w:p>
    <w:p w14:paraId="0B40CA85"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октябре 2025 </w:t>
      </w:r>
      <w:proofErr w:type="spellStart"/>
      <w:r w:rsidRPr="00ED6292">
        <w:rPr>
          <w:rFonts w:ascii="PT Astra Serif" w:eastAsia="Times New Roman" w:hAnsi="PT Astra Serif"/>
          <w:szCs w:val="28"/>
        </w:rPr>
        <w:t>г</w:t>
      </w:r>
      <w:r>
        <w:rPr>
          <w:rFonts w:ascii="PT Astra Serif" w:eastAsia="Times New Roman" w:hAnsi="PT Astra Serif"/>
          <w:szCs w:val="28"/>
        </w:rPr>
        <w:t>одк</w:t>
      </w:r>
      <w:proofErr w:type="spellEnd"/>
      <w:r w:rsidRPr="00ED6292">
        <w:rPr>
          <w:rFonts w:ascii="PT Astra Serif" w:eastAsia="Times New Roman" w:hAnsi="PT Astra Serif"/>
          <w:szCs w:val="28"/>
        </w:rPr>
        <w:t xml:space="preserve"> в рамках соглашения между Правительством Ульяновской области, АО «</w:t>
      </w:r>
      <w:proofErr w:type="spellStart"/>
      <w:r w:rsidRPr="00ED6292">
        <w:rPr>
          <w:rFonts w:ascii="PT Astra Serif" w:eastAsia="Times New Roman" w:hAnsi="PT Astra Serif"/>
          <w:szCs w:val="28"/>
        </w:rPr>
        <w:t>Газпромнефть</w:t>
      </w:r>
      <w:proofErr w:type="spellEnd"/>
      <w:r w:rsidRPr="00ED6292">
        <w:rPr>
          <w:rFonts w:ascii="PT Astra Serif" w:eastAsia="Times New Roman" w:hAnsi="PT Astra Serif"/>
          <w:szCs w:val="28"/>
        </w:rPr>
        <w:t xml:space="preserve"> – АЭРО» и ПАО «Газпром нефть введён в эксплуатацию физкультурно-оздоровительный комплекс имени </w:t>
      </w:r>
      <w:r w:rsidRPr="00ED6292">
        <w:rPr>
          <w:rFonts w:ascii="PT Astra Serif" w:eastAsia="Times New Roman" w:hAnsi="PT Astra Serif"/>
          <w:szCs w:val="28"/>
        </w:rPr>
        <w:lastRenderedPageBreak/>
        <w:t xml:space="preserve">Миронова Василия Григорьевича в с. </w:t>
      </w:r>
      <w:proofErr w:type="spellStart"/>
      <w:r w:rsidRPr="00ED6292">
        <w:rPr>
          <w:rFonts w:ascii="PT Astra Serif" w:eastAsia="Times New Roman" w:hAnsi="PT Astra Serif"/>
          <w:szCs w:val="28"/>
        </w:rPr>
        <w:t>Ясашная</w:t>
      </w:r>
      <w:proofErr w:type="spellEnd"/>
      <w:r w:rsidRPr="00ED6292">
        <w:rPr>
          <w:rFonts w:ascii="PT Astra Serif" w:eastAsia="Times New Roman" w:hAnsi="PT Astra Serif"/>
          <w:szCs w:val="28"/>
        </w:rPr>
        <w:t xml:space="preserve"> Ташла Тереньгульского района.</w:t>
      </w:r>
    </w:p>
    <w:p w14:paraId="4FA6194C" w14:textId="77777777" w:rsidR="007222A5" w:rsidRPr="00ED6292" w:rsidRDefault="007222A5" w:rsidP="007222A5">
      <w:pPr>
        <w:widowControl w:val="0"/>
        <w:shd w:val="clear" w:color="auto" w:fill="FFFFFF" w:themeFill="background1"/>
        <w:ind w:firstLine="700"/>
        <w:rPr>
          <w:rFonts w:ascii="PT Astra Serif" w:eastAsia="PT Serif" w:hAnsi="PT Astra Serif" w:cs="PT Serif"/>
          <w:b/>
          <w:bCs/>
          <w:szCs w:val="28"/>
        </w:rPr>
      </w:pPr>
      <w:r w:rsidRPr="00ED6292">
        <w:rPr>
          <w:rFonts w:ascii="PT Astra Serif" w:eastAsia="PT Serif" w:hAnsi="PT Astra Serif" w:cs="PT Serif"/>
          <w:b/>
          <w:bCs/>
          <w:szCs w:val="28"/>
        </w:rPr>
        <w:t>В рамках федерального проекта «Развитие спорта высших достижений»:</w:t>
      </w:r>
    </w:p>
    <w:p w14:paraId="32254F4D" w14:textId="77777777" w:rsidR="007222A5" w:rsidRPr="00ED6292" w:rsidRDefault="007222A5" w:rsidP="007222A5">
      <w:pPr>
        <w:widowControl w:val="0"/>
        <w:shd w:val="clear" w:color="auto" w:fill="FFFFFF" w:themeFill="background1"/>
        <w:rPr>
          <w:rFonts w:ascii="PT Astra Serif" w:eastAsia="PT Serif" w:hAnsi="PT Astra Serif" w:cs="PT Serif"/>
          <w:szCs w:val="28"/>
        </w:rPr>
      </w:pPr>
      <w:r w:rsidRPr="00ED6292">
        <w:rPr>
          <w:rFonts w:ascii="PT Astra Serif" w:eastAsia="PT Serif" w:hAnsi="PT Astra Serif" w:cs="PT Serif"/>
          <w:b/>
          <w:bCs/>
          <w:szCs w:val="28"/>
        </w:rPr>
        <w:t xml:space="preserve">закуплено и поставлено оборудование и инвентарь для приведения организаций спортивной подготовки в нормативное состояние </w:t>
      </w:r>
      <w:r w:rsidRPr="00ED6292">
        <w:rPr>
          <w:rFonts w:ascii="PT Astra Serif" w:eastAsia="PT Serif" w:hAnsi="PT Astra Serif" w:cs="PT Serif"/>
          <w:szCs w:val="28"/>
        </w:rPr>
        <w:t>в 5 спортивных школ олимпийского резерва.</w:t>
      </w:r>
    </w:p>
    <w:p w14:paraId="5C601CE1" w14:textId="77777777" w:rsidR="007222A5" w:rsidRDefault="007222A5" w:rsidP="007222A5">
      <w:pPr>
        <w:widowControl w:val="0"/>
        <w:shd w:val="clear" w:color="auto" w:fill="FFFFFF" w:themeFill="background1"/>
        <w:rPr>
          <w:rFonts w:ascii="PT Astra Serif" w:eastAsia="PT Serif" w:hAnsi="PT Astra Serif" w:cs="PT Serif"/>
          <w:i/>
          <w:szCs w:val="28"/>
        </w:rPr>
      </w:pPr>
    </w:p>
    <w:p w14:paraId="6E40D0C2" w14:textId="77777777" w:rsidR="007222A5" w:rsidRPr="002A51F3" w:rsidRDefault="007222A5" w:rsidP="007222A5">
      <w:pPr>
        <w:widowControl w:val="0"/>
        <w:shd w:val="clear" w:color="auto" w:fill="FFFFFF" w:themeFill="background1"/>
        <w:rPr>
          <w:rFonts w:ascii="PT Astra Serif" w:eastAsia="PT Serif" w:hAnsi="PT Astra Serif" w:cs="PT Serif"/>
          <w:b/>
          <w:bCs/>
          <w:i/>
          <w:sz w:val="24"/>
          <w:szCs w:val="24"/>
          <w:u w:val="single"/>
        </w:rPr>
      </w:pPr>
      <w:r w:rsidRPr="002A51F3">
        <w:rPr>
          <w:rFonts w:ascii="PT Astra Serif" w:eastAsia="PT Serif" w:hAnsi="PT Astra Serif" w:cs="PT Serif"/>
          <w:b/>
          <w:bCs/>
          <w:i/>
          <w:sz w:val="24"/>
          <w:szCs w:val="24"/>
          <w:u w:val="single"/>
        </w:rPr>
        <w:t xml:space="preserve">Справочно: </w:t>
      </w:r>
    </w:p>
    <w:p w14:paraId="47958754" w14:textId="77777777" w:rsidR="007222A5" w:rsidRPr="002A51F3" w:rsidRDefault="007222A5" w:rsidP="007222A5">
      <w:pPr>
        <w:widowControl w:val="0"/>
        <w:shd w:val="clear" w:color="auto" w:fill="FFFFFF" w:themeFill="background1"/>
        <w:rPr>
          <w:rFonts w:ascii="PT Astra Serif" w:eastAsia="PT Serif" w:hAnsi="PT Astra Serif" w:cs="PT Serif"/>
          <w:i/>
          <w:sz w:val="24"/>
          <w:szCs w:val="24"/>
        </w:rPr>
      </w:pPr>
      <w:r w:rsidRPr="002A51F3">
        <w:rPr>
          <w:rFonts w:ascii="PT Astra Serif" w:eastAsia="PT Serif" w:hAnsi="PT Astra Serif" w:cs="PT Serif"/>
          <w:i/>
          <w:iCs/>
          <w:sz w:val="24"/>
          <w:szCs w:val="24"/>
        </w:rPr>
        <w:t>Спортивная школа олимпийского резерва по биатлону</w:t>
      </w:r>
      <w:r w:rsidRPr="002A51F3">
        <w:rPr>
          <w:rFonts w:ascii="PT Astra Serif" w:eastAsia="PT Serif" w:hAnsi="PT Astra Serif" w:cs="PT Serif"/>
          <w:i/>
          <w:sz w:val="24"/>
          <w:szCs w:val="24"/>
        </w:rPr>
        <w:t xml:space="preserve"> приобрела патроны для спортивного огнестрельного оружия. </w:t>
      </w:r>
      <w:r w:rsidRPr="002A51F3">
        <w:rPr>
          <w:rFonts w:ascii="PT Astra Serif" w:eastAsia="PT Serif" w:hAnsi="PT Astra Serif" w:cs="PT Serif"/>
          <w:i/>
          <w:iCs/>
          <w:sz w:val="24"/>
          <w:szCs w:val="24"/>
        </w:rPr>
        <w:t>Спортивная школа олимпийского резерва по боксу им. П.Т. Липатова</w:t>
      </w:r>
      <w:r w:rsidRPr="002A51F3">
        <w:rPr>
          <w:rFonts w:ascii="PT Astra Serif" w:eastAsia="PT Serif" w:hAnsi="PT Astra Serif" w:cs="PT Serif"/>
          <w:i/>
          <w:sz w:val="24"/>
          <w:szCs w:val="24"/>
        </w:rPr>
        <w:t xml:space="preserve"> обновила материально-техническую базу боксерскими лапами </w:t>
      </w:r>
      <w:r>
        <w:rPr>
          <w:rFonts w:ascii="PT Astra Serif" w:eastAsia="PT Serif" w:hAnsi="PT Astra Serif" w:cs="PT Serif"/>
          <w:i/>
          <w:sz w:val="24"/>
          <w:szCs w:val="24"/>
        </w:rPr>
        <w:br/>
      </w:r>
      <w:r w:rsidRPr="002A51F3">
        <w:rPr>
          <w:rFonts w:ascii="PT Astra Serif" w:eastAsia="PT Serif" w:hAnsi="PT Astra Serif" w:cs="PT Serif"/>
          <w:i/>
          <w:sz w:val="24"/>
          <w:szCs w:val="24"/>
        </w:rPr>
        <w:t xml:space="preserve">и манекеном для занятий единоборствами. </w:t>
      </w:r>
      <w:r w:rsidRPr="002A51F3">
        <w:rPr>
          <w:rFonts w:ascii="PT Astra Serif" w:eastAsia="PT Serif" w:hAnsi="PT Astra Serif" w:cs="PT Serif"/>
          <w:i/>
          <w:iCs/>
          <w:sz w:val="24"/>
          <w:szCs w:val="24"/>
        </w:rPr>
        <w:t>Спортивная школа олимпийского резерва по легкой атлетике</w:t>
      </w:r>
      <w:r w:rsidRPr="002A51F3">
        <w:rPr>
          <w:rFonts w:ascii="PT Astra Serif" w:eastAsia="PT Serif" w:hAnsi="PT Astra Serif" w:cs="PT Serif"/>
          <w:i/>
          <w:sz w:val="24"/>
          <w:szCs w:val="24"/>
        </w:rPr>
        <w:t xml:space="preserve"> приобрела новое современное оборудование-автоматическую систему хронометража. </w:t>
      </w:r>
      <w:r w:rsidRPr="002A51F3">
        <w:rPr>
          <w:rFonts w:ascii="PT Astra Serif" w:eastAsia="PT Serif" w:hAnsi="PT Astra Serif" w:cs="PT Serif"/>
          <w:i/>
          <w:iCs/>
          <w:sz w:val="24"/>
          <w:szCs w:val="24"/>
        </w:rPr>
        <w:t>Спортивная школа олимпийского резерва по тхэквондо</w:t>
      </w:r>
      <w:r w:rsidRPr="002A51F3">
        <w:rPr>
          <w:rFonts w:ascii="PT Astra Serif" w:eastAsia="PT Serif" w:hAnsi="PT Astra Serif" w:cs="PT Serif"/>
          <w:i/>
          <w:sz w:val="24"/>
          <w:szCs w:val="24"/>
        </w:rPr>
        <w:t xml:space="preserve"> приобрела </w:t>
      </w:r>
      <w:proofErr w:type="spellStart"/>
      <w:r w:rsidRPr="002A51F3">
        <w:rPr>
          <w:rFonts w:ascii="PT Astra Serif" w:eastAsia="PT Serif" w:hAnsi="PT Astra Serif" w:cs="PT Serif"/>
          <w:i/>
          <w:sz w:val="24"/>
          <w:szCs w:val="24"/>
        </w:rPr>
        <w:t>будо</w:t>
      </w:r>
      <w:proofErr w:type="spellEnd"/>
      <w:r w:rsidRPr="002A51F3">
        <w:rPr>
          <w:rFonts w:ascii="PT Astra Serif" w:eastAsia="PT Serif" w:hAnsi="PT Astra Serif" w:cs="PT Serif"/>
          <w:i/>
          <w:sz w:val="24"/>
          <w:szCs w:val="24"/>
        </w:rPr>
        <w:t xml:space="preserve">-маты, лапы-ракетки и </w:t>
      </w:r>
      <w:proofErr w:type="spellStart"/>
      <w:r w:rsidRPr="002A51F3">
        <w:rPr>
          <w:rFonts w:ascii="PT Astra Serif" w:eastAsia="PT Serif" w:hAnsi="PT Astra Serif" w:cs="PT Serif"/>
          <w:i/>
          <w:sz w:val="24"/>
          <w:szCs w:val="24"/>
        </w:rPr>
        <w:t>макивары</w:t>
      </w:r>
      <w:proofErr w:type="spellEnd"/>
      <w:r w:rsidRPr="002A51F3">
        <w:rPr>
          <w:rFonts w:ascii="PT Astra Serif" w:eastAsia="PT Serif" w:hAnsi="PT Astra Serif" w:cs="PT Serif"/>
          <w:i/>
          <w:sz w:val="24"/>
          <w:szCs w:val="24"/>
        </w:rPr>
        <w:t xml:space="preserve">. </w:t>
      </w:r>
      <w:r w:rsidRPr="002A51F3">
        <w:rPr>
          <w:rFonts w:ascii="PT Astra Serif" w:eastAsia="PT Serif" w:hAnsi="PT Astra Serif" w:cs="PT Serif"/>
          <w:i/>
          <w:iCs/>
          <w:sz w:val="24"/>
          <w:szCs w:val="24"/>
        </w:rPr>
        <w:t xml:space="preserve">Спортивная школа олимпийского резерва по боксу </w:t>
      </w:r>
      <w:r>
        <w:rPr>
          <w:rFonts w:ascii="PT Astra Serif" w:eastAsia="PT Serif" w:hAnsi="PT Astra Serif" w:cs="PT Serif"/>
          <w:i/>
          <w:iCs/>
          <w:sz w:val="24"/>
          <w:szCs w:val="24"/>
        </w:rPr>
        <w:br/>
      </w:r>
      <w:r w:rsidRPr="002A51F3">
        <w:rPr>
          <w:rFonts w:ascii="PT Astra Serif" w:eastAsia="PT Serif" w:hAnsi="PT Astra Serif" w:cs="PT Serif"/>
          <w:i/>
          <w:iCs/>
          <w:sz w:val="24"/>
          <w:szCs w:val="24"/>
        </w:rPr>
        <w:t>им. А.В. Гришина</w:t>
      </w:r>
      <w:r w:rsidRPr="002A51F3">
        <w:rPr>
          <w:rFonts w:ascii="PT Astra Serif" w:eastAsia="PT Serif" w:hAnsi="PT Astra Serif" w:cs="PT Serif"/>
          <w:i/>
          <w:sz w:val="24"/>
          <w:szCs w:val="24"/>
        </w:rPr>
        <w:t xml:space="preserve"> приобрела весы электронные напольные.</w:t>
      </w:r>
    </w:p>
    <w:p w14:paraId="4E758E3C" w14:textId="77777777" w:rsidR="007222A5" w:rsidRDefault="007222A5" w:rsidP="007222A5">
      <w:pPr>
        <w:widowControl w:val="0"/>
        <w:shd w:val="clear" w:color="auto" w:fill="FFFFFF" w:themeFill="background1"/>
        <w:rPr>
          <w:rFonts w:ascii="PT Astra Serif" w:eastAsia="PT Serif" w:hAnsi="PT Astra Serif" w:cs="PT Serif"/>
          <w:b/>
          <w:bCs/>
          <w:szCs w:val="28"/>
        </w:rPr>
      </w:pPr>
    </w:p>
    <w:p w14:paraId="0EDE8325" w14:textId="65522E3B" w:rsidR="007222A5" w:rsidRPr="00ED6292" w:rsidRDefault="007222A5" w:rsidP="007222A5">
      <w:pPr>
        <w:widowControl w:val="0"/>
        <w:shd w:val="clear" w:color="auto" w:fill="FFFFFF" w:themeFill="background1"/>
        <w:rPr>
          <w:rFonts w:ascii="PT Astra Serif" w:eastAsia="PT Serif" w:hAnsi="PT Astra Serif" w:cs="PT Serif"/>
          <w:szCs w:val="28"/>
        </w:rPr>
      </w:pPr>
      <w:r w:rsidRPr="00ED6292">
        <w:rPr>
          <w:rFonts w:ascii="PT Astra Serif" w:eastAsia="PT Serif" w:hAnsi="PT Astra Serif" w:cs="PT Serif"/>
          <w:b/>
          <w:bCs/>
          <w:szCs w:val="28"/>
        </w:rPr>
        <w:t xml:space="preserve">оказана государственная поддержка спортивных организаций, осуществляющих подготовку спортивного резерва. </w:t>
      </w:r>
      <w:r w:rsidRPr="00ED6292">
        <w:rPr>
          <w:rFonts w:ascii="PT Astra Serif" w:eastAsia="PT Serif" w:hAnsi="PT Astra Serif" w:cs="PT Serif"/>
          <w:szCs w:val="28"/>
        </w:rPr>
        <w:t xml:space="preserve">В рамках мероприятия проведена закупка спортивного оборудования, инвентаря и спортивной экипировки в 7 подведомственных учреждений и 1 спортивной школе </w:t>
      </w:r>
      <w:proofErr w:type="spellStart"/>
      <w:r w:rsidRPr="00ED6292">
        <w:rPr>
          <w:rFonts w:ascii="PT Astra Serif" w:eastAsia="PT Serif" w:hAnsi="PT Astra Serif" w:cs="PT Serif"/>
          <w:szCs w:val="28"/>
        </w:rPr>
        <w:t>г.Ульяновска</w:t>
      </w:r>
      <w:proofErr w:type="spellEnd"/>
      <w:r w:rsidRPr="00ED6292">
        <w:rPr>
          <w:rFonts w:ascii="PT Astra Serif" w:eastAsia="PT Serif" w:hAnsi="PT Astra Serif" w:cs="PT Serif"/>
          <w:szCs w:val="28"/>
        </w:rPr>
        <w:t>.</w:t>
      </w:r>
    </w:p>
    <w:p w14:paraId="0959D2C6" w14:textId="77777777" w:rsidR="007222A5" w:rsidRDefault="007222A5" w:rsidP="007222A5">
      <w:pPr>
        <w:widowControl w:val="0"/>
        <w:shd w:val="clear" w:color="auto" w:fill="FFFFFF" w:themeFill="background1"/>
        <w:rPr>
          <w:rFonts w:ascii="PT Astra Serif" w:eastAsia="PT Serif" w:hAnsi="PT Astra Serif" w:cs="PT Serif"/>
          <w:i/>
          <w:szCs w:val="28"/>
        </w:rPr>
      </w:pPr>
    </w:p>
    <w:p w14:paraId="55F7AF79" w14:textId="77777777" w:rsidR="007222A5" w:rsidRPr="002A51F3" w:rsidRDefault="007222A5" w:rsidP="007222A5">
      <w:pPr>
        <w:widowControl w:val="0"/>
        <w:shd w:val="clear" w:color="auto" w:fill="FFFFFF" w:themeFill="background1"/>
        <w:rPr>
          <w:rFonts w:ascii="PT Astra Serif" w:eastAsia="PT Serif" w:hAnsi="PT Astra Serif" w:cs="PT Serif"/>
          <w:b/>
          <w:bCs/>
          <w:i/>
          <w:sz w:val="24"/>
          <w:szCs w:val="24"/>
          <w:u w:val="single"/>
        </w:rPr>
      </w:pPr>
      <w:r w:rsidRPr="002A51F3">
        <w:rPr>
          <w:rFonts w:ascii="PT Astra Serif" w:eastAsia="PT Serif" w:hAnsi="PT Astra Serif" w:cs="PT Serif"/>
          <w:b/>
          <w:bCs/>
          <w:i/>
          <w:sz w:val="24"/>
          <w:szCs w:val="24"/>
          <w:u w:val="single"/>
        </w:rPr>
        <w:t>Справочно:</w:t>
      </w:r>
    </w:p>
    <w:p w14:paraId="1A13A1FB" w14:textId="77777777" w:rsidR="007222A5" w:rsidRPr="002A51F3" w:rsidRDefault="007222A5" w:rsidP="007222A5">
      <w:pPr>
        <w:widowControl w:val="0"/>
        <w:shd w:val="clear" w:color="auto" w:fill="FFFFFF" w:themeFill="background1"/>
        <w:rPr>
          <w:rFonts w:ascii="PT Astra Serif" w:eastAsia="PT Serif" w:hAnsi="PT Astra Serif" w:cs="PT Serif"/>
          <w:i/>
          <w:sz w:val="24"/>
          <w:szCs w:val="24"/>
        </w:rPr>
      </w:pPr>
      <w:r w:rsidRPr="002A51F3">
        <w:rPr>
          <w:rFonts w:ascii="PT Astra Serif" w:eastAsia="PT Serif" w:hAnsi="PT Astra Serif" w:cs="PT Serif"/>
          <w:i/>
          <w:iCs/>
          <w:sz w:val="24"/>
          <w:szCs w:val="24"/>
        </w:rPr>
        <w:t xml:space="preserve">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СШ по футболу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Волга» им. Н.П. Старостина</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СШОР по тхэквондо</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СШОР по лёгкой атлетике им. </w:t>
      </w:r>
      <w:proofErr w:type="spellStart"/>
      <w:r w:rsidRPr="002A51F3">
        <w:rPr>
          <w:rFonts w:ascii="PT Astra Serif" w:eastAsia="PT Serif" w:hAnsi="PT Astra Serif" w:cs="PT Serif"/>
          <w:i/>
          <w:iCs/>
          <w:sz w:val="24"/>
          <w:szCs w:val="24"/>
        </w:rPr>
        <w:t>А.С.Ларина</w:t>
      </w:r>
      <w:proofErr w:type="spellEnd"/>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Спортивная школа единоборств</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УСШОР по биатлону</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ОГКУ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СШОР по спортивной борьбе ИМ. А.И.ВИННИКА</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 ОГБУ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СШОР по художественной гимнастике</w:t>
      </w:r>
      <w:r>
        <w:rPr>
          <w:rFonts w:ascii="PT Astra Serif" w:eastAsia="PT Serif" w:hAnsi="PT Astra Serif" w:cs="PT Serif"/>
          <w:i/>
          <w:iCs/>
          <w:sz w:val="24"/>
          <w:szCs w:val="24"/>
        </w:rPr>
        <w:t>»</w:t>
      </w:r>
      <w:r w:rsidRPr="002A51F3">
        <w:rPr>
          <w:rFonts w:ascii="PT Astra Serif" w:eastAsia="Times New Roman" w:hAnsi="PT Astra Serif" w:cs="Times New Roman"/>
          <w:i/>
          <w:sz w:val="24"/>
          <w:szCs w:val="24"/>
        </w:rPr>
        <w:t xml:space="preserve"> </w:t>
      </w:r>
      <w:r w:rsidRPr="002A51F3">
        <w:rPr>
          <w:rFonts w:ascii="PT Astra Serif" w:eastAsia="PT Serif" w:hAnsi="PT Astra Serif" w:cs="PT Serif"/>
          <w:i/>
          <w:sz w:val="24"/>
          <w:szCs w:val="24"/>
        </w:rPr>
        <w:t xml:space="preserve">и в 1 спортивную школу города Ульяновска: </w:t>
      </w:r>
      <w:r w:rsidRPr="002A51F3">
        <w:rPr>
          <w:rFonts w:ascii="PT Astra Serif" w:eastAsia="PT Serif" w:hAnsi="PT Astra Serif" w:cs="PT Serif"/>
          <w:i/>
          <w:iCs/>
          <w:sz w:val="24"/>
          <w:szCs w:val="24"/>
        </w:rPr>
        <w:t xml:space="preserve">МБУ ДО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 xml:space="preserve">Спортивная школа </w:t>
      </w:r>
      <w:r>
        <w:rPr>
          <w:rFonts w:ascii="PT Astra Serif" w:eastAsia="PT Serif" w:hAnsi="PT Astra Serif" w:cs="PT Serif"/>
          <w:i/>
          <w:iCs/>
          <w:sz w:val="24"/>
          <w:szCs w:val="24"/>
        </w:rPr>
        <w:t>«</w:t>
      </w:r>
      <w:r w:rsidRPr="002A51F3">
        <w:rPr>
          <w:rFonts w:ascii="PT Astra Serif" w:eastAsia="PT Serif" w:hAnsi="PT Astra Serif" w:cs="PT Serif"/>
          <w:i/>
          <w:iCs/>
          <w:sz w:val="24"/>
          <w:szCs w:val="24"/>
        </w:rPr>
        <w:t>Фаворит</w:t>
      </w:r>
      <w:r>
        <w:rPr>
          <w:rFonts w:ascii="PT Astra Serif" w:eastAsia="PT Serif" w:hAnsi="PT Astra Serif" w:cs="PT Serif"/>
          <w:i/>
          <w:iCs/>
          <w:sz w:val="24"/>
          <w:szCs w:val="24"/>
        </w:rPr>
        <w:t>»</w:t>
      </w:r>
      <w:r w:rsidRPr="002A51F3">
        <w:rPr>
          <w:rFonts w:ascii="PT Astra Serif" w:eastAsia="PT Serif" w:hAnsi="PT Astra Serif" w:cs="PT Serif"/>
          <w:i/>
          <w:sz w:val="24"/>
          <w:szCs w:val="24"/>
        </w:rPr>
        <w:t>. Оказана поддержка 7 одаренным спортсменам.</w:t>
      </w:r>
    </w:p>
    <w:p w14:paraId="7E39D8AC" w14:textId="77777777" w:rsidR="007222A5" w:rsidRPr="00ED6292" w:rsidRDefault="007222A5" w:rsidP="007222A5">
      <w:pPr>
        <w:widowControl w:val="0"/>
        <w:rPr>
          <w:rFonts w:ascii="PT Astra Serif" w:eastAsia="Times New Roman" w:hAnsi="PT Astra Serif"/>
          <w:color w:val="212121"/>
          <w:szCs w:val="28"/>
        </w:rPr>
      </w:pPr>
    </w:p>
    <w:p w14:paraId="0C3A2B0F" w14:textId="77777777"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Спорт высших достижений</w:t>
      </w:r>
    </w:p>
    <w:p w14:paraId="2E929992" w14:textId="77777777" w:rsidR="007222A5" w:rsidRPr="00ED6292" w:rsidRDefault="007222A5" w:rsidP="007222A5">
      <w:pPr>
        <w:widowControl w:val="0"/>
        <w:ind w:firstLine="0"/>
        <w:jc w:val="center"/>
        <w:rPr>
          <w:rFonts w:ascii="PT Astra Serif" w:eastAsia="Times New Roman" w:hAnsi="PT Astra Serif"/>
          <w:b/>
          <w:szCs w:val="28"/>
        </w:rPr>
      </w:pPr>
    </w:p>
    <w:p w14:paraId="491A3594" w14:textId="77777777" w:rsidR="007222A5" w:rsidRPr="002A51F3" w:rsidRDefault="007222A5" w:rsidP="007222A5">
      <w:pPr>
        <w:widowControl w:val="0"/>
        <w:rPr>
          <w:rFonts w:ascii="PT Astra Serif" w:eastAsia="Times New Roman" w:hAnsi="PT Astra Serif"/>
          <w:b/>
          <w:bCs/>
          <w:szCs w:val="28"/>
        </w:rPr>
      </w:pPr>
      <w:r w:rsidRPr="002A51F3">
        <w:rPr>
          <w:rFonts w:ascii="PT Astra Serif" w:eastAsia="Times New Roman" w:hAnsi="PT Astra Serif"/>
          <w:b/>
          <w:bCs/>
          <w:szCs w:val="28"/>
        </w:rPr>
        <w:t>В регионе развивается более 90 видов спорта.</w:t>
      </w:r>
    </w:p>
    <w:p w14:paraId="0D8649CF" w14:textId="19EAABB5" w:rsidR="007222A5" w:rsidRPr="00ED6292" w:rsidRDefault="007222A5" w:rsidP="007222A5">
      <w:pPr>
        <w:widowControl w:val="0"/>
        <w:rPr>
          <w:rFonts w:ascii="PT Astra Serif" w:eastAsia="Times New Roman" w:hAnsi="PT Astra Serif" w:cs="Times New Roman"/>
          <w:szCs w:val="28"/>
        </w:rPr>
      </w:pPr>
      <w:r w:rsidRPr="00ED6292">
        <w:rPr>
          <w:rFonts w:ascii="PT Astra Serif" w:eastAsia="Times New Roman" w:hAnsi="PT Astra Serif" w:cs="Times New Roman"/>
          <w:szCs w:val="28"/>
        </w:rPr>
        <w:t xml:space="preserve">Всего в 2025 году на развитие спорта высших достижений и системы подготовки спортивного резерва в Ульяновской области в рамках государственной программы «Развитие физической культуры и спорта </w:t>
      </w:r>
      <w:r>
        <w:rPr>
          <w:rFonts w:ascii="PT Astra Serif" w:eastAsia="Times New Roman" w:hAnsi="PT Astra Serif" w:cs="Times New Roman"/>
          <w:szCs w:val="28"/>
        </w:rPr>
        <w:br/>
      </w:r>
      <w:r w:rsidRPr="00ED6292">
        <w:rPr>
          <w:rFonts w:ascii="PT Astra Serif" w:eastAsia="Times New Roman" w:hAnsi="PT Astra Serif" w:cs="Times New Roman"/>
          <w:szCs w:val="28"/>
        </w:rPr>
        <w:t xml:space="preserve">в Ульяновской области» </w:t>
      </w:r>
      <w:r w:rsidRPr="00BF16EB">
        <w:rPr>
          <w:rFonts w:ascii="PT Astra Serif" w:eastAsia="Times New Roman" w:hAnsi="PT Astra Serif" w:cs="Times New Roman"/>
          <w:b/>
          <w:bCs/>
          <w:szCs w:val="28"/>
        </w:rPr>
        <w:t>направлено 113,1 млн рублей</w:t>
      </w:r>
      <w:r w:rsidRPr="00ED6292">
        <w:rPr>
          <w:rFonts w:ascii="PT Astra Serif" w:eastAsia="Times New Roman" w:hAnsi="PT Astra Serif" w:cs="Times New Roman"/>
          <w:szCs w:val="28"/>
        </w:rPr>
        <w:t>.</w:t>
      </w:r>
    </w:p>
    <w:p w14:paraId="73CA31E9" w14:textId="49B59544" w:rsidR="007222A5" w:rsidRPr="00ED6292" w:rsidRDefault="007222A5" w:rsidP="007222A5">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1) на поддержку спортивных клубов по игровым видам спорта выделено 38,5 млн рублей (в 2024 году 132,5 млн рублей):</w:t>
      </w:r>
    </w:p>
    <w:p w14:paraId="2EE99BD3" w14:textId="61026ED7" w:rsidR="007222A5" w:rsidRPr="00ED6292" w:rsidRDefault="007222A5" w:rsidP="007222A5">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 xml:space="preserve">средства направлены АНО «ПХК Волга» </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 xml:space="preserve">15,0 млн рублей, </w:t>
      </w:r>
      <w:r w:rsidR="002318EA">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АНО «ФК Волга» </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 xml:space="preserve">20,0 млн рублей, АНО ВК «Динамо» </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 xml:space="preserve">2,5 млн рублей, </w:t>
      </w:r>
      <w:r w:rsidR="002318EA">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АНО ФК «Солнечные орлы» </w:t>
      </w:r>
      <w:r>
        <w:rPr>
          <w:rFonts w:ascii="PT Astra Serif" w:eastAsia="Times New Roman" w:hAnsi="PT Astra Serif" w:cs="Times New Roman"/>
          <w:szCs w:val="28"/>
          <w:lang w:eastAsia="ru-RU"/>
        </w:rPr>
        <w:t xml:space="preserve">- </w:t>
      </w:r>
      <w:r w:rsidRPr="00ED6292">
        <w:rPr>
          <w:rFonts w:ascii="PT Astra Serif" w:eastAsia="Times New Roman" w:hAnsi="PT Astra Serif" w:cs="Times New Roman"/>
          <w:szCs w:val="28"/>
          <w:lang w:eastAsia="ru-RU"/>
        </w:rPr>
        <w:t>1,0 млн рублей.</w:t>
      </w:r>
    </w:p>
    <w:p w14:paraId="530BC1F2" w14:textId="77777777" w:rsidR="007222A5" w:rsidRPr="00ED6292" w:rsidRDefault="007222A5" w:rsidP="007222A5">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Объём субсидии составляет 85 процентов от общего объёма затрат спортивного клуба на финансовый год</w:t>
      </w:r>
      <w:r>
        <w:rPr>
          <w:rFonts w:ascii="PT Astra Serif" w:eastAsia="Times New Roman" w:hAnsi="PT Astra Serif" w:cs="Times New Roman"/>
          <w:szCs w:val="28"/>
          <w:lang w:eastAsia="ru-RU"/>
        </w:rPr>
        <w:t>;</w:t>
      </w:r>
    </w:p>
    <w:p w14:paraId="051C4805" w14:textId="1A0A6A19" w:rsidR="007222A5" w:rsidRPr="00ED6292" w:rsidRDefault="007222A5" w:rsidP="007222A5">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 xml:space="preserve">2) в рамках мероприятия предоставлено дополнительное материальное </w:t>
      </w:r>
      <w:r w:rsidRPr="00ED6292">
        <w:rPr>
          <w:rFonts w:ascii="PT Astra Serif" w:eastAsia="Times New Roman" w:hAnsi="PT Astra Serif" w:cs="Times New Roman"/>
          <w:szCs w:val="28"/>
          <w:lang w:eastAsia="ru-RU"/>
        </w:rPr>
        <w:lastRenderedPageBreak/>
        <w:t>обеспечение лицам, имеющим выдающиеся достижения и особые заслуги перед Российской Федерацией в области физической культуры и спорта на выплаты социального характера, согласно постановлению Правительства Ульяновской области от 27.05.2011 №</w:t>
      </w:r>
      <w:r>
        <w:rPr>
          <w:rFonts w:ascii="PT Astra Serif" w:eastAsia="Times New Roman" w:hAnsi="PT Astra Serif" w:cs="Times New Roman"/>
          <w:szCs w:val="28"/>
          <w:lang w:eastAsia="ru-RU"/>
        </w:rPr>
        <w:t> </w:t>
      </w:r>
      <w:r w:rsidRPr="00ED6292">
        <w:rPr>
          <w:rFonts w:ascii="PT Astra Serif" w:eastAsia="Times New Roman" w:hAnsi="PT Astra Serif" w:cs="Times New Roman"/>
          <w:szCs w:val="28"/>
          <w:lang w:eastAsia="ru-RU"/>
        </w:rPr>
        <w:t>233-П «О дополнительном материальном обеспечении лиц, проживающих на территории Ульяновской области и имеющих выдающиеся достижения и особые заслуги перед РФ» – выделено 38,8 млн рублей (в 2024 году – 36,6 млн рублей). Согласно распоряжени</w:t>
      </w:r>
      <w:r>
        <w:rPr>
          <w:rFonts w:ascii="PT Astra Serif" w:eastAsia="Times New Roman" w:hAnsi="PT Astra Serif" w:cs="Times New Roman"/>
          <w:szCs w:val="28"/>
          <w:lang w:eastAsia="ru-RU"/>
        </w:rPr>
        <w:t>ям</w:t>
      </w:r>
      <w:r w:rsidRPr="00ED6292">
        <w:rPr>
          <w:rFonts w:ascii="PT Astra Serif" w:eastAsia="Times New Roman" w:hAnsi="PT Astra Serif" w:cs="Times New Roman"/>
          <w:szCs w:val="28"/>
          <w:lang w:eastAsia="ru-RU"/>
        </w:rPr>
        <w:t xml:space="preserve"> </w:t>
      </w:r>
      <w:proofErr w:type="spellStart"/>
      <w:r w:rsidRPr="00ED6292">
        <w:rPr>
          <w:rFonts w:ascii="PT Astra Serif" w:eastAsia="Times New Roman" w:hAnsi="PT Astra Serif" w:cs="Times New Roman"/>
          <w:szCs w:val="28"/>
          <w:lang w:eastAsia="ru-RU"/>
        </w:rPr>
        <w:t>Минспорта</w:t>
      </w:r>
      <w:proofErr w:type="spellEnd"/>
      <w:r w:rsidRPr="00ED6292">
        <w:rPr>
          <w:rFonts w:ascii="PT Astra Serif" w:eastAsia="Times New Roman" w:hAnsi="PT Astra Serif" w:cs="Times New Roman"/>
          <w:szCs w:val="28"/>
          <w:lang w:eastAsia="ru-RU"/>
        </w:rPr>
        <w:t xml:space="preserve"> Ульяновской области получили выплату 282 человек (в 2024 году 276 человек).</w:t>
      </w:r>
    </w:p>
    <w:p w14:paraId="290398E5" w14:textId="77777777" w:rsidR="007222A5" w:rsidRPr="00ED6292" w:rsidRDefault="007222A5" w:rsidP="007222A5">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 xml:space="preserve">Министерство физической культуры и спорта Ульяновской области продолжает поддерживать талантливых спортсменов в соответствии </w:t>
      </w:r>
      <w:r>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 xml:space="preserve">с постановлением Правительства Ульяновской области от 27.05.2011 № 233-П «О дополнительном материальном обеспечении лиц, проживающих на территории Ульяновской области и имеющих выдающиеся достижения </w:t>
      </w:r>
      <w:r>
        <w:rPr>
          <w:rFonts w:ascii="PT Astra Serif" w:eastAsia="Times New Roman" w:hAnsi="PT Astra Serif" w:cs="Times New Roman"/>
          <w:szCs w:val="28"/>
          <w:lang w:eastAsia="ru-RU"/>
        </w:rPr>
        <w:br/>
      </w:r>
      <w:r w:rsidRPr="00ED6292">
        <w:rPr>
          <w:rFonts w:ascii="PT Astra Serif" w:eastAsia="Times New Roman" w:hAnsi="PT Astra Serif" w:cs="Times New Roman"/>
          <w:szCs w:val="28"/>
          <w:lang w:eastAsia="ru-RU"/>
        </w:rPr>
        <w:t>и особые заслуги перед Российской Федерацией в области физической культуры и спорта, а также поощрения спортсменов высокого класса и их тренеров, проживающих на территории Ульяновской области».</w:t>
      </w:r>
    </w:p>
    <w:p w14:paraId="67778B9C" w14:textId="77777777" w:rsidR="004C19F1" w:rsidRPr="00ED6292" w:rsidRDefault="004C19F1" w:rsidP="004C19F1">
      <w:pPr>
        <w:widowControl w:val="0"/>
        <w:shd w:val="clear" w:color="auto" w:fill="FFFFFF"/>
        <w:ind w:firstLine="697"/>
        <w:rPr>
          <w:rFonts w:ascii="PT Astra Serif" w:eastAsia="Times New Roman" w:hAnsi="PT Astra Serif" w:cs="Times New Roman"/>
          <w:szCs w:val="28"/>
          <w:lang w:eastAsia="ru-RU"/>
        </w:rPr>
      </w:pPr>
      <w:r w:rsidRPr="00ED6292">
        <w:rPr>
          <w:rFonts w:ascii="PT Astra Serif" w:eastAsia="Times New Roman" w:hAnsi="PT Astra Serif" w:cs="Times New Roman"/>
          <w:szCs w:val="28"/>
          <w:lang w:eastAsia="ru-RU"/>
        </w:rPr>
        <w:t>Данная система предусматривает поддержку как действующих спортсменов и тренеров, так и спортсменов, и тренеров, закончивших спортивную карьеру.</w:t>
      </w:r>
    </w:p>
    <w:p w14:paraId="76782ECC" w14:textId="77777777" w:rsidR="004C19F1" w:rsidRPr="008D5740" w:rsidRDefault="004C19F1" w:rsidP="007222A5">
      <w:pPr>
        <w:widowControl w:val="0"/>
        <w:rPr>
          <w:rFonts w:ascii="PT Astra Serif" w:eastAsia="Times New Roman" w:hAnsi="PT Astra Serif" w:cs="Times New Roman"/>
          <w:sz w:val="20"/>
          <w:szCs w:val="20"/>
        </w:rPr>
      </w:pPr>
    </w:p>
    <w:tbl>
      <w:tblPr>
        <w:tblW w:w="9349" w:type="dxa"/>
        <w:tblBorders>
          <w:top w:val="nil"/>
          <w:left w:val="nil"/>
          <w:bottom w:val="nil"/>
          <w:right w:val="nil"/>
          <w:insideH w:val="nil"/>
          <w:insideV w:val="nil"/>
        </w:tblBorders>
        <w:tblLayout w:type="fixed"/>
        <w:tblLook w:val="0600" w:firstRow="0" w:lastRow="0" w:firstColumn="0" w:lastColumn="0" w:noHBand="1" w:noVBand="1"/>
      </w:tblPr>
      <w:tblGrid>
        <w:gridCol w:w="3255"/>
        <w:gridCol w:w="3543"/>
        <w:gridCol w:w="2551"/>
      </w:tblGrid>
      <w:tr w:rsidR="007222A5" w:rsidRPr="00ED6292" w14:paraId="544716BC" w14:textId="77777777" w:rsidTr="00EB15FA">
        <w:trPr>
          <w:cantSplit/>
          <w:trHeight w:val="493"/>
        </w:trPr>
        <w:tc>
          <w:tcPr>
            <w:tcW w:w="325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vAlign w:val="center"/>
          </w:tcPr>
          <w:p w14:paraId="5DED9E2A" w14:textId="041AFEF7" w:rsidR="007222A5" w:rsidRPr="00EB15FA" w:rsidRDefault="007222A5" w:rsidP="00EB15FA">
            <w:pPr>
              <w:widowControl w:val="0"/>
              <w:ind w:firstLine="0"/>
              <w:jc w:val="center"/>
              <w:rPr>
                <w:rFonts w:ascii="PT Astra Serif" w:eastAsia="Times New Roman" w:hAnsi="PT Astra Serif" w:cs="Times New Roman"/>
                <w:b/>
                <w:bCs/>
                <w:sz w:val="18"/>
                <w:szCs w:val="18"/>
              </w:rPr>
            </w:pPr>
            <w:r w:rsidRPr="00EB15FA">
              <w:rPr>
                <w:rFonts w:ascii="PT Astra Serif" w:eastAsia="Times New Roman" w:hAnsi="PT Astra Serif" w:cs="Times New Roman"/>
                <w:b/>
                <w:bCs/>
                <w:sz w:val="18"/>
                <w:szCs w:val="18"/>
              </w:rPr>
              <w:t xml:space="preserve">Количество мероприятий </w:t>
            </w:r>
          </w:p>
        </w:tc>
        <w:tc>
          <w:tcPr>
            <w:tcW w:w="3543"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center"/>
          </w:tcPr>
          <w:p w14:paraId="7FD9A924" w14:textId="77777777" w:rsidR="007222A5" w:rsidRPr="00EB15FA" w:rsidRDefault="007222A5" w:rsidP="00B80AAC">
            <w:pPr>
              <w:widowControl w:val="0"/>
              <w:ind w:firstLine="0"/>
              <w:jc w:val="center"/>
              <w:rPr>
                <w:rFonts w:ascii="PT Astra Serif" w:eastAsia="Times New Roman" w:hAnsi="PT Astra Serif" w:cs="Times New Roman"/>
                <w:b/>
                <w:bCs/>
                <w:sz w:val="18"/>
                <w:szCs w:val="18"/>
              </w:rPr>
            </w:pPr>
            <w:r w:rsidRPr="00EB15FA">
              <w:rPr>
                <w:rFonts w:ascii="PT Astra Serif" w:eastAsia="Times New Roman" w:hAnsi="PT Astra Serif" w:cs="Times New Roman"/>
                <w:b/>
                <w:bCs/>
                <w:sz w:val="18"/>
                <w:szCs w:val="18"/>
              </w:rPr>
              <w:t>Количество спортсменов, участвовавших в соревнованиях</w:t>
            </w:r>
          </w:p>
        </w:tc>
        <w:tc>
          <w:tcPr>
            <w:tcW w:w="2551" w:type="dxa"/>
            <w:tcBorders>
              <w:top w:val="single" w:sz="5" w:space="0" w:color="000000"/>
              <w:left w:val="nil"/>
              <w:bottom w:val="single" w:sz="5" w:space="0" w:color="000000"/>
              <w:right w:val="single" w:sz="5" w:space="0" w:color="000000"/>
            </w:tcBorders>
            <w:tcMar>
              <w:top w:w="100" w:type="dxa"/>
              <w:left w:w="100" w:type="dxa"/>
              <w:bottom w:w="100" w:type="dxa"/>
              <w:right w:w="100" w:type="dxa"/>
            </w:tcMar>
            <w:vAlign w:val="center"/>
          </w:tcPr>
          <w:p w14:paraId="5C3ABBE5" w14:textId="46367157" w:rsidR="007222A5" w:rsidRPr="00EB15FA" w:rsidRDefault="007222A5" w:rsidP="00EB15FA">
            <w:pPr>
              <w:widowControl w:val="0"/>
              <w:ind w:firstLine="0"/>
              <w:jc w:val="center"/>
              <w:rPr>
                <w:rFonts w:ascii="PT Astra Serif" w:eastAsia="Times New Roman" w:hAnsi="PT Astra Serif" w:cs="Times New Roman"/>
                <w:b/>
                <w:bCs/>
                <w:sz w:val="18"/>
                <w:szCs w:val="18"/>
              </w:rPr>
            </w:pPr>
            <w:r w:rsidRPr="00EB15FA">
              <w:rPr>
                <w:rFonts w:ascii="PT Astra Serif" w:eastAsia="Times New Roman" w:hAnsi="PT Astra Serif" w:cs="Times New Roman"/>
                <w:b/>
                <w:bCs/>
                <w:sz w:val="18"/>
                <w:szCs w:val="18"/>
              </w:rPr>
              <w:t>Количество призёров</w:t>
            </w:r>
            <w:r w:rsidR="00EB15FA">
              <w:rPr>
                <w:rFonts w:ascii="PT Astra Serif" w:eastAsia="Times New Roman" w:hAnsi="PT Astra Serif" w:cs="Times New Roman"/>
                <w:b/>
                <w:bCs/>
                <w:sz w:val="18"/>
                <w:szCs w:val="18"/>
              </w:rPr>
              <w:t xml:space="preserve"> </w:t>
            </w:r>
            <w:r w:rsidRPr="00EB15FA">
              <w:rPr>
                <w:rFonts w:ascii="PT Astra Serif" w:eastAsia="Times New Roman" w:hAnsi="PT Astra Serif" w:cs="Times New Roman"/>
                <w:b/>
                <w:bCs/>
                <w:sz w:val="18"/>
                <w:szCs w:val="18"/>
              </w:rPr>
              <w:t>и победителей соревнований</w:t>
            </w:r>
          </w:p>
        </w:tc>
      </w:tr>
      <w:tr w:rsidR="007222A5" w:rsidRPr="00ED6292" w14:paraId="6B34C2FE" w14:textId="77777777" w:rsidTr="00EB15FA">
        <w:trPr>
          <w:cantSplit/>
          <w:trHeight w:val="408"/>
        </w:trPr>
        <w:tc>
          <w:tcPr>
            <w:tcW w:w="325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63FFC45"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b/>
                <w:bCs/>
                <w:sz w:val="18"/>
                <w:szCs w:val="18"/>
              </w:rPr>
              <w:t>ВСЕГО: 853</w:t>
            </w:r>
            <w:r w:rsidRPr="00EB15FA">
              <w:rPr>
                <w:rFonts w:ascii="PT Astra Serif" w:eastAsia="Times New Roman" w:hAnsi="PT Astra Serif" w:cs="Times New Roman"/>
                <w:sz w:val="18"/>
                <w:szCs w:val="18"/>
              </w:rPr>
              <w:t xml:space="preserve"> спортивном мероприятии, из них: (в 2024 г. 821)</w:t>
            </w:r>
          </w:p>
        </w:tc>
        <w:tc>
          <w:tcPr>
            <w:tcW w:w="3543" w:type="dxa"/>
            <w:tcBorders>
              <w:top w:val="nil"/>
              <w:left w:val="nil"/>
              <w:bottom w:val="single" w:sz="5" w:space="0" w:color="000000"/>
              <w:right w:val="single" w:sz="5" w:space="0" w:color="000000"/>
            </w:tcBorders>
            <w:tcMar>
              <w:top w:w="100" w:type="dxa"/>
              <w:left w:w="100" w:type="dxa"/>
              <w:bottom w:w="100" w:type="dxa"/>
              <w:right w:w="100" w:type="dxa"/>
            </w:tcMar>
          </w:tcPr>
          <w:p w14:paraId="1FBDB1F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b/>
                <w:bCs/>
                <w:sz w:val="18"/>
                <w:szCs w:val="18"/>
              </w:rPr>
              <w:t>ВСЕГО:</w:t>
            </w:r>
            <w:r w:rsidRPr="00EB15FA">
              <w:rPr>
                <w:rFonts w:ascii="PT Astra Serif" w:eastAsia="Times New Roman" w:hAnsi="PT Astra Serif" w:cs="Times New Roman"/>
                <w:sz w:val="18"/>
                <w:szCs w:val="18"/>
              </w:rPr>
              <w:t xml:space="preserve"> </w:t>
            </w:r>
            <w:r w:rsidRPr="00EB15FA">
              <w:rPr>
                <w:rFonts w:ascii="PT Astra Serif" w:eastAsia="Times New Roman" w:hAnsi="PT Astra Serif" w:cs="Times New Roman"/>
                <w:b/>
                <w:bCs/>
                <w:sz w:val="18"/>
                <w:szCs w:val="18"/>
              </w:rPr>
              <w:t xml:space="preserve">30268 </w:t>
            </w:r>
            <w:r w:rsidRPr="00EB15FA">
              <w:rPr>
                <w:rFonts w:ascii="PT Astra Serif" w:eastAsia="Times New Roman" w:hAnsi="PT Astra Serif" w:cs="Times New Roman"/>
                <w:sz w:val="18"/>
                <w:szCs w:val="18"/>
              </w:rPr>
              <w:t>человек, в том числе: (в 2024 г. 26520)</w:t>
            </w:r>
          </w:p>
        </w:tc>
        <w:tc>
          <w:tcPr>
            <w:tcW w:w="2551" w:type="dxa"/>
            <w:tcBorders>
              <w:top w:val="nil"/>
              <w:left w:val="nil"/>
              <w:bottom w:val="single" w:sz="5" w:space="0" w:color="000000"/>
              <w:right w:val="single" w:sz="5" w:space="0" w:color="000000"/>
            </w:tcBorders>
            <w:tcMar>
              <w:top w:w="100" w:type="dxa"/>
              <w:left w:w="100" w:type="dxa"/>
              <w:bottom w:w="100" w:type="dxa"/>
              <w:right w:w="100" w:type="dxa"/>
            </w:tcMar>
          </w:tcPr>
          <w:p w14:paraId="4B6134D6"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b/>
                <w:bCs/>
                <w:sz w:val="18"/>
                <w:szCs w:val="18"/>
              </w:rPr>
              <w:t>ВСЕГО: 1584</w:t>
            </w:r>
            <w:r w:rsidRPr="00EB15FA">
              <w:rPr>
                <w:rFonts w:ascii="PT Astra Serif" w:eastAsia="Times New Roman" w:hAnsi="PT Astra Serif" w:cs="Times New Roman"/>
                <w:sz w:val="18"/>
                <w:szCs w:val="18"/>
              </w:rPr>
              <w:t xml:space="preserve"> медали, в том числе: (в 2024 г. 1493)</w:t>
            </w:r>
          </w:p>
        </w:tc>
      </w:tr>
      <w:tr w:rsidR="007222A5" w:rsidRPr="00ED6292" w14:paraId="04BFF53A" w14:textId="77777777" w:rsidTr="00EB15FA">
        <w:trPr>
          <w:cantSplit/>
          <w:trHeight w:val="4140"/>
        </w:trPr>
        <w:tc>
          <w:tcPr>
            <w:tcW w:w="325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2296E87"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Областных и межрегиональных соревнованиях – 218:</w:t>
            </w:r>
          </w:p>
          <w:p w14:paraId="6A820C61"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Областные и межрегиональные турниры –69,</w:t>
            </w:r>
          </w:p>
          <w:p w14:paraId="1A21CF31"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Ульяновской области – 67,</w:t>
            </w:r>
          </w:p>
          <w:p w14:paraId="1E163823"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Ульяновской области –57,</w:t>
            </w:r>
          </w:p>
          <w:p w14:paraId="55744612"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Ульяновской области – 25.</w:t>
            </w:r>
          </w:p>
          <w:p w14:paraId="68B0F295"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Всероссийских соревнованиях – 554</w:t>
            </w:r>
          </w:p>
          <w:p w14:paraId="67573A5C"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Всероссийские турниры – 208,</w:t>
            </w:r>
          </w:p>
          <w:p w14:paraId="1866BB6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ПФО – 83,</w:t>
            </w:r>
          </w:p>
          <w:p w14:paraId="3830526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ПФО – 35,</w:t>
            </w:r>
          </w:p>
          <w:p w14:paraId="30D64084"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России – 94,</w:t>
            </w:r>
          </w:p>
          <w:p w14:paraId="2675CE8A"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России – 92,</w:t>
            </w:r>
          </w:p>
          <w:p w14:paraId="10813BA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России – 42.</w:t>
            </w:r>
          </w:p>
          <w:p w14:paraId="48DA665C"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Международных соревнованиях – 43;</w:t>
            </w:r>
          </w:p>
          <w:p w14:paraId="7D95B873"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Тренировочных мероприятиях – 38.</w:t>
            </w:r>
          </w:p>
        </w:tc>
        <w:tc>
          <w:tcPr>
            <w:tcW w:w="3543" w:type="dxa"/>
            <w:tcBorders>
              <w:top w:val="nil"/>
              <w:left w:val="nil"/>
              <w:bottom w:val="single" w:sz="5" w:space="0" w:color="000000"/>
              <w:right w:val="single" w:sz="5" w:space="0" w:color="000000"/>
            </w:tcBorders>
            <w:tcMar>
              <w:top w:w="100" w:type="dxa"/>
              <w:left w:w="100" w:type="dxa"/>
              <w:bottom w:w="100" w:type="dxa"/>
              <w:right w:w="100" w:type="dxa"/>
            </w:tcMar>
          </w:tcPr>
          <w:p w14:paraId="73D21C9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в областных и межрегиональных соревнованиях – 22570:</w:t>
            </w:r>
          </w:p>
          <w:p w14:paraId="5E9FE722"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на Всероссийских соревнованиях – 8075, из них:</w:t>
            </w:r>
          </w:p>
          <w:p w14:paraId="3772DD31"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Всероссийские соревнования - 3152,</w:t>
            </w:r>
          </w:p>
          <w:p w14:paraId="4C9C7279"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ПФО – 2116,</w:t>
            </w:r>
          </w:p>
          <w:p w14:paraId="28E06559"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ПФО – 367,</w:t>
            </w:r>
          </w:p>
          <w:p w14:paraId="439CD58F"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России - 890,</w:t>
            </w:r>
          </w:p>
          <w:p w14:paraId="72B99AB3"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России – 1266,</w:t>
            </w:r>
          </w:p>
          <w:p w14:paraId="5570B75E"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и этапы Кубка России – 284,</w:t>
            </w:r>
          </w:p>
          <w:p w14:paraId="6037722E"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на Международных соревнованиях</w:t>
            </w:r>
          </w:p>
          <w:p w14:paraId="4A24312B"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234, из них:</w:t>
            </w:r>
          </w:p>
          <w:p w14:paraId="697F0C05"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Международные соревнования – 203,</w:t>
            </w:r>
          </w:p>
          <w:p w14:paraId="49FD0E02"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мира – 13,</w:t>
            </w:r>
          </w:p>
          <w:p w14:paraId="0C0F35AD"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мира - 10,</w:t>
            </w:r>
          </w:p>
          <w:p w14:paraId="3E8AE43F"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мира – 6,</w:t>
            </w:r>
          </w:p>
          <w:p w14:paraId="716319C7"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Европы – 1,</w:t>
            </w:r>
          </w:p>
          <w:p w14:paraId="01E0DFC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Европы – 1.</w:t>
            </w:r>
          </w:p>
          <w:p w14:paraId="2AF5B221"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На тренировочных мероприятиях – 389</w:t>
            </w:r>
          </w:p>
        </w:tc>
        <w:tc>
          <w:tcPr>
            <w:tcW w:w="2551" w:type="dxa"/>
            <w:tcBorders>
              <w:top w:val="nil"/>
              <w:left w:val="nil"/>
              <w:bottom w:val="single" w:sz="5" w:space="0" w:color="000000"/>
              <w:right w:val="single" w:sz="5" w:space="0" w:color="000000"/>
            </w:tcBorders>
            <w:tcMar>
              <w:top w:w="100" w:type="dxa"/>
              <w:left w:w="100" w:type="dxa"/>
              <w:bottom w:w="100" w:type="dxa"/>
              <w:right w:w="100" w:type="dxa"/>
            </w:tcMar>
          </w:tcPr>
          <w:p w14:paraId="2EBF77DB" w14:textId="18C18092"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 xml:space="preserve">на Всероссийских соревнованиях – 1485, </w:t>
            </w:r>
            <w:r w:rsidR="00B158EE" w:rsidRPr="00EB15FA">
              <w:rPr>
                <w:rFonts w:ascii="PT Astra Serif" w:eastAsia="Times New Roman" w:hAnsi="PT Astra Serif" w:cs="Times New Roman"/>
                <w:sz w:val="18"/>
                <w:szCs w:val="18"/>
              </w:rPr>
              <w:br/>
            </w:r>
            <w:r w:rsidRPr="00EB15FA">
              <w:rPr>
                <w:rFonts w:ascii="PT Astra Serif" w:eastAsia="Times New Roman" w:hAnsi="PT Astra Serif" w:cs="Times New Roman"/>
                <w:sz w:val="18"/>
                <w:szCs w:val="18"/>
              </w:rPr>
              <w:t>из них:</w:t>
            </w:r>
          </w:p>
          <w:p w14:paraId="0265CB34"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Всероссийские соревнования - 486,</w:t>
            </w:r>
          </w:p>
          <w:p w14:paraId="163137AD"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ПФО – 575,</w:t>
            </w:r>
          </w:p>
          <w:p w14:paraId="79319AA6"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ПФО – 149,</w:t>
            </w:r>
          </w:p>
          <w:p w14:paraId="7F06C8FD"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России - 113,</w:t>
            </w:r>
          </w:p>
          <w:p w14:paraId="42598753"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России – 85,</w:t>
            </w:r>
          </w:p>
          <w:p w14:paraId="7FA946E7"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и этапы Кубка России – 60.</w:t>
            </w:r>
          </w:p>
          <w:p w14:paraId="1C11FE43"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 xml:space="preserve"> на Международных соревнованиях – 76. из них:</w:t>
            </w:r>
          </w:p>
          <w:p w14:paraId="79540B01" w14:textId="22912E32"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международные соревнования – 48,</w:t>
            </w:r>
          </w:p>
          <w:p w14:paraId="28372E2F"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мира – 7,</w:t>
            </w:r>
          </w:p>
          <w:p w14:paraId="67F38E9F"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мира – 1.</w:t>
            </w:r>
          </w:p>
          <w:p w14:paraId="05B369E5"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Чемпионат Европы - 1,</w:t>
            </w:r>
          </w:p>
          <w:p w14:paraId="4EF21A88"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Первенство Европы – 1,</w:t>
            </w:r>
          </w:p>
          <w:p w14:paraId="38F0B0EB" w14:textId="77777777" w:rsidR="007222A5" w:rsidRPr="00EB15FA" w:rsidRDefault="007222A5" w:rsidP="00B80AAC">
            <w:pPr>
              <w:widowControl w:val="0"/>
              <w:ind w:firstLine="0"/>
              <w:rPr>
                <w:rFonts w:ascii="PT Astra Serif" w:eastAsia="Times New Roman" w:hAnsi="PT Astra Serif" w:cs="Times New Roman"/>
                <w:sz w:val="18"/>
                <w:szCs w:val="18"/>
              </w:rPr>
            </w:pPr>
            <w:r w:rsidRPr="00EB15FA">
              <w:rPr>
                <w:rFonts w:ascii="PT Astra Serif" w:eastAsia="Times New Roman" w:hAnsi="PT Astra Serif" w:cs="Times New Roman"/>
                <w:sz w:val="18"/>
                <w:szCs w:val="18"/>
              </w:rPr>
              <w:t>Кубок мира – 9.</w:t>
            </w:r>
          </w:p>
        </w:tc>
      </w:tr>
    </w:tbl>
    <w:p w14:paraId="532F5AFB" w14:textId="77777777" w:rsidR="007222A5" w:rsidRPr="008D5740" w:rsidRDefault="007222A5" w:rsidP="007222A5">
      <w:pPr>
        <w:widowControl w:val="0"/>
        <w:rPr>
          <w:rFonts w:ascii="PT Astra Serif" w:eastAsia="Times New Roman" w:hAnsi="PT Astra Serif"/>
          <w:sz w:val="20"/>
          <w:szCs w:val="20"/>
        </w:rPr>
      </w:pPr>
    </w:p>
    <w:p w14:paraId="70CC7690" w14:textId="77777777" w:rsidR="004C19F1" w:rsidRDefault="004C19F1" w:rsidP="004C19F1">
      <w:pPr>
        <w:widowControl w:val="0"/>
        <w:rPr>
          <w:rFonts w:ascii="PT Astra Serif" w:eastAsia="Times New Roman" w:hAnsi="PT Astra Serif" w:cs="Times New Roman"/>
          <w:b/>
          <w:szCs w:val="28"/>
        </w:rPr>
      </w:pPr>
      <w:r w:rsidRPr="00ED6292">
        <w:rPr>
          <w:rFonts w:ascii="PT Astra Serif" w:eastAsia="Times New Roman" w:hAnsi="PT Astra Serif" w:cs="Times New Roman"/>
          <w:szCs w:val="28"/>
        </w:rPr>
        <w:t xml:space="preserve">На реализацию календарного плана областных, международных, всероссийских физкультурных и спортивных мероприятий, который входит </w:t>
      </w:r>
      <w:r>
        <w:rPr>
          <w:rFonts w:ascii="PT Astra Serif" w:eastAsia="Times New Roman" w:hAnsi="PT Astra Serif" w:cs="Times New Roman"/>
          <w:szCs w:val="28"/>
        </w:rPr>
        <w:br/>
      </w:r>
      <w:r w:rsidRPr="00ED6292">
        <w:rPr>
          <w:rFonts w:ascii="PT Astra Serif" w:eastAsia="Times New Roman" w:hAnsi="PT Astra Serif" w:cs="Times New Roman"/>
          <w:szCs w:val="28"/>
        </w:rPr>
        <w:t xml:space="preserve">в структуру федерального проекта </w:t>
      </w:r>
      <w:r w:rsidRPr="00ED6292">
        <w:rPr>
          <w:rFonts w:ascii="PT Astra Serif" w:eastAsia="Times New Roman" w:hAnsi="PT Astra Serif" w:cs="Times New Roman"/>
          <w:b/>
          <w:szCs w:val="28"/>
        </w:rPr>
        <w:t>«Развитие спорта высших достижений», в 2025 году направлено 35,8 млн рублей.</w:t>
      </w:r>
    </w:p>
    <w:p w14:paraId="5AC22FC4" w14:textId="0BD29843"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По результатам выступлений на всероссийской и международной арене в 2025 году 243 ульяновских спортсмена были включены в составы </w:t>
      </w:r>
      <w:r w:rsidRPr="00ED6292">
        <w:rPr>
          <w:rFonts w:ascii="PT Astra Serif" w:eastAsia="Times New Roman" w:hAnsi="PT Astra Serif"/>
          <w:szCs w:val="28"/>
        </w:rPr>
        <w:lastRenderedPageBreak/>
        <w:t>спортивных сборных команд Российской Федерации.</w:t>
      </w:r>
    </w:p>
    <w:p w14:paraId="66AF5136" w14:textId="77777777" w:rsidR="007222A5" w:rsidRPr="00ED6292" w:rsidRDefault="007222A5" w:rsidP="007222A5">
      <w:pPr>
        <w:widowControl w:val="0"/>
        <w:ind w:firstLine="700"/>
        <w:rPr>
          <w:rFonts w:ascii="PT Astra Serif" w:eastAsia="PT Serif" w:hAnsi="PT Astra Serif" w:cs="PT Serif"/>
          <w:szCs w:val="28"/>
        </w:rPr>
      </w:pPr>
      <w:r w:rsidRPr="00ED6292">
        <w:rPr>
          <w:rFonts w:ascii="PT Astra Serif" w:eastAsia="PT Serif" w:hAnsi="PT Astra Serif" w:cs="PT Serif"/>
          <w:szCs w:val="28"/>
        </w:rPr>
        <w:t>Динамика количества ульяновских спортсменов, удостоенных званий КМС, МС, МСМК, ЗМС, за 2020</w:t>
      </w:r>
      <w:r>
        <w:rPr>
          <w:rFonts w:ascii="PT Astra Serif" w:eastAsia="PT Serif" w:hAnsi="PT Astra Serif" w:cs="PT Serif"/>
          <w:szCs w:val="28"/>
        </w:rPr>
        <w:t xml:space="preserve"> </w:t>
      </w:r>
      <w:r w:rsidRPr="00ED6292">
        <w:rPr>
          <w:rFonts w:ascii="PT Astra Serif" w:eastAsia="PT Serif" w:hAnsi="PT Astra Serif" w:cs="PT Serif"/>
          <w:szCs w:val="28"/>
        </w:rPr>
        <w:t>-</w:t>
      </w:r>
      <w:r>
        <w:rPr>
          <w:rFonts w:ascii="PT Astra Serif" w:eastAsia="PT Serif" w:hAnsi="PT Astra Serif" w:cs="PT Serif"/>
          <w:szCs w:val="28"/>
        </w:rPr>
        <w:t xml:space="preserve"> </w:t>
      </w:r>
      <w:r w:rsidRPr="00ED6292">
        <w:rPr>
          <w:rFonts w:ascii="PT Astra Serif" w:eastAsia="PT Serif" w:hAnsi="PT Astra Serif" w:cs="PT Serif"/>
          <w:szCs w:val="28"/>
        </w:rPr>
        <w:t>2025 годы представлена в таблице:</w:t>
      </w:r>
    </w:p>
    <w:p w14:paraId="6ECB6ABE" w14:textId="77777777" w:rsidR="007222A5" w:rsidRPr="008D5740" w:rsidRDefault="007222A5" w:rsidP="007222A5">
      <w:pPr>
        <w:widowControl w:val="0"/>
        <w:rPr>
          <w:rFonts w:ascii="PT Astra Serif" w:eastAsia="PT Serif" w:hAnsi="PT Astra Serif" w:cs="PT Serif"/>
          <w:bCs/>
          <w:sz w:val="20"/>
          <w:szCs w:val="20"/>
        </w:rPr>
      </w:pPr>
    </w:p>
    <w:tbl>
      <w:tblPr>
        <w:tblStyle w:val="aff4"/>
        <w:tblW w:w="9544" w:type="dxa"/>
        <w:tblLook w:val="04A0" w:firstRow="1" w:lastRow="0" w:firstColumn="1" w:lastColumn="0" w:noHBand="0" w:noVBand="1"/>
      </w:tblPr>
      <w:tblGrid>
        <w:gridCol w:w="1696"/>
        <w:gridCol w:w="1447"/>
        <w:gridCol w:w="1447"/>
        <w:gridCol w:w="1356"/>
        <w:gridCol w:w="1207"/>
        <w:gridCol w:w="1208"/>
        <w:gridCol w:w="1183"/>
      </w:tblGrid>
      <w:tr w:rsidR="007222A5" w:rsidRPr="007B2524" w14:paraId="46FD9B4F" w14:textId="77777777" w:rsidTr="008D5740">
        <w:tc>
          <w:tcPr>
            <w:tcW w:w="1696" w:type="dxa"/>
          </w:tcPr>
          <w:p w14:paraId="0CCAEAF8" w14:textId="77777777" w:rsidR="007222A5" w:rsidRPr="007B2524" w:rsidRDefault="007222A5" w:rsidP="00B80AAC">
            <w:pPr>
              <w:widowControl w:val="0"/>
              <w:ind w:firstLine="0"/>
              <w:jc w:val="center"/>
              <w:rPr>
                <w:rFonts w:ascii="PT Astra Serif" w:eastAsia="PT Serif" w:hAnsi="PT Astra Serif" w:cs="PT Serif"/>
                <w:b/>
                <w:bCs/>
                <w:sz w:val="20"/>
                <w:lang w:val="en-US"/>
              </w:rPr>
            </w:pPr>
            <w:proofErr w:type="spellStart"/>
            <w:r w:rsidRPr="007B2524">
              <w:rPr>
                <w:rFonts w:ascii="PT Astra Serif" w:eastAsia="PT Serif" w:hAnsi="PT Astra Serif" w:cs="PT Serif"/>
                <w:b/>
                <w:bCs/>
                <w:sz w:val="20"/>
                <w:lang w:val="en-US"/>
              </w:rPr>
              <w:t>Звание</w:t>
            </w:r>
            <w:proofErr w:type="spellEnd"/>
          </w:p>
        </w:tc>
        <w:tc>
          <w:tcPr>
            <w:tcW w:w="1447" w:type="dxa"/>
          </w:tcPr>
          <w:p w14:paraId="5FA4EDF4"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lang w:val="en-US"/>
              </w:rPr>
              <w:t>2020</w:t>
            </w:r>
            <w:r>
              <w:rPr>
                <w:rFonts w:ascii="PT Astra Serif" w:eastAsia="PT Serif" w:hAnsi="PT Astra Serif" w:cs="PT Serif"/>
                <w:b/>
                <w:bCs/>
                <w:sz w:val="20"/>
              </w:rPr>
              <w:t xml:space="preserve"> г.</w:t>
            </w:r>
          </w:p>
        </w:tc>
        <w:tc>
          <w:tcPr>
            <w:tcW w:w="1447" w:type="dxa"/>
          </w:tcPr>
          <w:p w14:paraId="55499CE1"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lang w:val="en-US"/>
              </w:rPr>
              <w:t>2021</w:t>
            </w:r>
            <w:r>
              <w:rPr>
                <w:rFonts w:ascii="PT Astra Serif" w:eastAsia="PT Serif" w:hAnsi="PT Astra Serif" w:cs="PT Serif"/>
                <w:b/>
                <w:bCs/>
                <w:sz w:val="20"/>
              </w:rPr>
              <w:t xml:space="preserve"> г.</w:t>
            </w:r>
          </w:p>
        </w:tc>
        <w:tc>
          <w:tcPr>
            <w:tcW w:w="1356" w:type="dxa"/>
          </w:tcPr>
          <w:p w14:paraId="04144B85"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lang w:val="en-US"/>
              </w:rPr>
              <w:t>2022</w:t>
            </w:r>
            <w:r>
              <w:rPr>
                <w:rFonts w:ascii="PT Astra Serif" w:eastAsia="PT Serif" w:hAnsi="PT Astra Serif" w:cs="PT Serif"/>
                <w:b/>
                <w:bCs/>
                <w:sz w:val="20"/>
              </w:rPr>
              <w:t xml:space="preserve"> г.</w:t>
            </w:r>
          </w:p>
        </w:tc>
        <w:tc>
          <w:tcPr>
            <w:tcW w:w="1207" w:type="dxa"/>
          </w:tcPr>
          <w:p w14:paraId="19A1D063"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lang w:val="en-US"/>
              </w:rPr>
              <w:t>2023</w:t>
            </w:r>
            <w:r>
              <w:rPr>
                <w:rFonts w:ascii="PT Astra Serif" w:eastAsia="PT Serif" w:hAnsi="PT Astra Serif" w:cs="PT Serif"/>
                <w:b/>
                <w:bCs/>
                <w:sz w:val="20"/>
              </w:rPr>
              <w:t xml:space="preserve"> г.</w:t>
            </w:r>
          </w:p>
        </w:tc>
        <w:tc>
          <w:tcPr>
            <w:tcW w:w="1208" w:type="dxa"/>
          </w:tcPr>
          <w:p w14:paraId="6FC419BD"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lang w:val="en-US"/>
              </w:rPr>
              <w:t>2024</w:t>
            </w:r>
            <w:r>
              <w:rPr>
                <w:rFonts w:ascii="PT Astra Serif" w:eastAsia="PT Serif" w:hAnsi="PT Astra Serif" w:cs="PT Serif"/>
                <w:b/>
                <w:bCs/>
                <w:sz w:val="20"/>
              </w:rPr>
              <w:t xml:space="preserve"> г.</w:t>
            </w:r>
          </w:p>
        </w:tc>
        <w:tc>
          <w:tcPr>
            <w:tcW w:w="1183" w:type="dxa"/>
          </w:tcPr>
          <w:p w14:paraId="511C5534" w14:textId="77777777" w:rsidR="007222A5" w:rsidRPr="007B2524" w:rsidRDefault="007222A5" w:rsidP="00B80AAC">
            <w:pPr>
              <w:widowControl w:val="0"/>
              <w:ind w:firstLine="0"/>
              <w:jc w:val="center"/>
              <w:rPr>
                <w:rFonts w:ascii="PT Astra Serif" w:eastAsia="PT Serif" w:hAnsi="PT Astra Serif" w:cs="PT Serif"/>
                <w:b/>
                <w:bCs/>
                <w:sz w:val="20"/>
              </w:rPr>
            </w:pPr>
            <w:r w:rsidRPr="007B2524">
              <w:rPr>
                <w:rFonts w:ascii="PT Astra Serif" w:eastAsia="PT Serif" w:hAnsi="PT Astra Serif" w:cs="PT Serif"/>
                <w:b/>
                <w:bCs/>
                <w:sz w:val="20"/>
              </w:rPr>
              <w:t>2025</w:t>
            </w:r>
            <w:r>
              <w:rPr>
                <w:rFonts w:ascii="PT Astra Serif" w:eastAsia="PT Serif" w:hAnsi="PT Astra Serif" w:cs="PT Serif"/>
                <w:b/>
                <w:bCs/>
                <w:sz w:val="20"/>
              </w:rPr>
              <w:t xml:space="preserve"> г.</w:t>
            </w:r>
          </w:p>
        </w:tc>
      </w:tr>
      <w:tr w:rsidR="007222A5" w:rsidRPr="007B2524" w14:paraId="0B237D03" w14:textId="77777777" w:rsidTr="008D5740">
        <w:tc>
          <w:tcPr>
            <w:tcW w:w="1696" w:type="dxa"/>
          </w:tcPr>
          <w:p w14:paraId="0A3C035D" w14:textId="77777777" w:rsidR="007222A5" w:rsidRPr="007B2524" w:rsidRDefault="007222A5" w:rsidP="00B80AAC">
            <w:pPr>
              <w:widowControl w:val="0"/>
              <w:ind w:firstLine="0"/>
              <w:rPr>
                <w:rFonts w:ascii="PT Astra Serif" w:eastAsia="PT Serif" w:hAnsi="PT Astra Serif" w:cs="PT Serif"/>
                <w:b/>
                <w:bCs/>
                <w:sz w:val="20"/>
                <w:lang w:val="en-US"/>
              </w:rPr>
            </w:pPr>
            <w:r w:rsidRPr="007B2524">
              <w:rPr>
                <w:rFonts w:ascii="PT Astra Serif" w:eastAsia="PT Serif" w:hAnsi="PT Astra Serif" w:cs="PT Serif"/>
                <w:b/>
                <w:bCs/>
                <w:sz w:val="20"/>
                <w:lang w:val="en-US"/>
              </w:rPr>
              <w:t>КМС</w:t>
            </w:r>
          </w:p>
        </w:tc>
        <w:tc>
          <w:tcPr>
            <w:tcW w:w="1447" w:type="dxa"/>
          </w:tcPr>
          <w:p w14:paraId="3B59BC36"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519</w:t>
            </w:r>
          </w:p>
        </w:tc>
        <w:tc>
          <w:tcPr>
            <w:tcW w:w="1447" w:type="dxa"/>
          </w:tcPr>
          <w:p w14:paraId="7C962AA5"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648</w:t>
            </w:r>
          </w:p>
        </w:tc>
        <w:tc>
          <w:tcPr>
            <w:tcW w:w="1356" w:type="dxa"/>
          </w:tcPr>
          <w:p w14:paraId="27EF03A3"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566</w:t>
            </w:r>
          </w:p>
        </w:tc>
        <w:tc>
          <w:tcPr>
            <w:tcW w:w="1207" w:type="dxa"/>
          </w:tcPr>
          <w:p w14:paraId="176B5C42"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653</w:t>
            </w:r>
          </w:p>
        </w:tc>
        <w:tc>
          <w:tcPr>
            <w:tcW w:w="1208" w:type="dxa"/>
          </w:tcPr>
          <w:p w14:paraId="0CBF13DD"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668</w:t>
            </w:r>
          </w:p>
        </w:tc>
        <w:tc>
          <w:tcPr>
            <w:tcW w:w="1183" w:type="dxa"/>
          </w:tcPr>
          <w:p w14:paraId="1969CE7E" w14:textId="77777777" w:rsidR="007222A5" w:rsidRPr="007B2524" w:rsidRDefault="007222A5" w:rsidP="00B80AAC">
            <w:pPr>
              <w:widowControl w:val="0"/>
              <w:ind w:firstLine="0"/>
              <w:jc w:val="center"/>
              <w:rPr>
                <w:rFonts w:ascii="PT Astra Serif" w:eastAsia="PT Serif" w:hAnsi="PT Astra Serif" w:cs="PT Serif"/>
                <w:bCs/>
                <w:sz w:val="20"/>
              </w:rPr>
            </w:pPr>
            <w:r w:rsidRPr="007B2524">
              <w:rPr>
                <w:rFonts w:ascii="PT Astra Serif" w:eastAsia="PT Serif" w:hAnsi="PT Astra Serif" w:cs="PT Serif"/>
                <w:bCs/>
                <w:sz w:val="20"/>
              </w:rPr>
              <w:t>664</w:t>
            </w:r>
          </w:p>
        </w:tc>
      </w:tr>
      <w:tr w:rsidR="007222A5" w:rsidRPr="007B2524" w14:paraId="79DC7B92" w14:textId="77777777" w:rsidTr="008D5740">
        <w:tc>
          <w:tcPr>
            <w:tcW w:w="1696" w:type="dxa"/>
          </w:tcPr>
          <w:p w14:paraId="6B7F8945" w14:textId="77777777" w:rsidR="007222A5" w:rsidRPr="007B2524" w:rsidRDefault="007222A5" w:rsidP="00B80AAC">
            <w:pPr>
              <w:widowControl w:val="0"/>
              <w:ind w:firstLine="0"/>
              <w:rPr>
                <w:rFonts w:ascii="PT Astra Serif" w:eastAsia="PT Serif" w:hAnsi="PT Astra Serif" w:cs="PT Serif"/>
                <w:b/>
                <w:bCs/>
                <w:sz w:val="20"/>
                <w:lang w:val="en-US"/>
              </w:rPr>
            </w:pPr>
            <w:r w:rsidRPr="007B2524">
              <w:rPr>
                <w:rFonts w:ascii="PT Astra Serif" w:eastAsia="PT Serif" w:hAnsi="PT Astra Serif" w:cs="PT Serif"/>
                <w:b/>
                <w:bCs/>
                <w:sz w:val="20"/>
                <w:lang w:val="en-US"/>
              </w:rPr>
              <w:t>МС</w:t>
            </w:r>
          </w:p>
        </w:tc>
        <w:tc>
          <w:tcPr>
            <w:tcW w:w="1447" w:type="dxa"/>
          </w:tcPr>
          <w:p w14:paraId="16C20A37" w14:textId="77777777" w:rsidR="007222A5" w:rsidRPr="007B2524" w:rsidRDefault="007222A5" w:rsidP="008D5740">
            <w:pPr>
              <w:widowControl w:val="0"/>
              <w:ind w:left="-184" w:firstLine="184"/>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58</w:t>
            </w:r>
          </w:p>
        </w:tc>
        <w:tc>
          <w:tcPr>
            <w:tcW w:w="1447" w:type="dxa"/>
          </w:tcPr>
          <w:p w14:paraId="2D0E940F"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65</w:t>
            </w:r>
          </w:p>
        </w:tc>
        <w:tc>
          <w:tcPr>
            <w:tcW w:w="1356" w:type="dxa"/>
          </w:tcPr>
          <w:p w14:paraId="2352C025"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68</w:t>
            </w:r>
          </w:p>
        </w:tc>
        <w:tc>
          <w:tcPr>
            <w:tcW w:w="1207" w:type="dxa"/>
          </w:tcPr>
          <w:p w14:paraId="38A203DD"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46</w:t>
            </w:r>
          </w:p>
        </w:tc>
        <w:tc>
          <w:tcPr>
            <w:tcW w:w="1208" w:type="dxa"/>
          </w:tcPr>
          <w:p w14:paraId="3A7B0682"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42</w:t>
            </w:r>
          </w:p>
        </w:tc>
        <w:tc>
          <w:tcPr>
            <w:tcW w:w="1183" w:type="dxa"/>
          </w:tcPr>
          <w:p w14:paraId="1CB57F2C" w14:textId="77777777" w:rsidR="007222A5" w:rsidRPr="007B2524" w:rsidRDefault="007222A5" w:rsidP="00B80AAC">
            <w:pPr>
              <w:widowControl w:val="0"/>
              <w:ind w:firstLine="0"/>
              <w:jc w:val="center"/>
              <w:rPr>
                <w:rFonts w:ascii="PT Astra Serif" w:eastAsia="PT Serif" w:hAnsi="PT Astra Serif" w:cs="PT Serif"/>
                <w:bCs/>
                <w:sz w:val="20"/>
              </w:rPr>
            </w:pPr>
            <w:r w:rsidRPr="007B2524">
              <w:rPr>
                <w:rFonts w:ascii="PT Astra Serif" w:eastAsia="PT Serif" w:hAnsi="PT Astra Serif" w:cs="PT Serif"/>
                <w:bCs/>
                <w:sz w:val="20"/>
              </w:rPr>
              <w:t>69</w:t>
            </w:r>
          </w:p>
        </w:tc>
      </w:tr>
      <w:tr w:rsidR="007222A5" w:rsidRPr="007B2524" w14:paraId="627BA368" w14:textId="77777777" w:rsidTr="008D5740">
        <w:tc>
          <w:tcPr>
            <w:tcW w:w="1696" w:type="dxa"/>
          </w:tcPr>
          <w:p w14:paraId="1A7D7FE9" w14:textId="77777777" w:rsidR="007222A5" w:rsidRPr="007B2524" w:rsidRDefault="007222A5" w:rsidP="00B80AAC">
            <w:pPr>
              <w:widowControl w:val="0"/>
              <w:ind w:firstLine="0"/>
              <w:rPr>
                <w:rFonts w:ascii="PT Astra Serif" w:eastAsia="PT Serif" w:hAnsi="PT Astra Serif" w:cs="PT Serif"/>
                <w:b/>
                <w:bCs/>
                <w:sz w:val="20"/>
                <w:lang w:val="en-US"/>
              </w:rPr>
            </w:pPr>
            <w:r w:rsidRPr="007B2524">
              <w:rPr>
                <w:rFonts w:ascii="PT Astra Serif" w:eastAsia="PT Serif" w:hAnsi="PT Astra Serif" w:cs="PT Serif"/>
                <w:b/>
                <w:bCs/>
                <w:sz w:val="20"/>
                <w:lang w:val="en-US"/>
              </w:rPr>
              <w:t>МСМК</w:t>
            </w:r>
          </w:p>
        </w:tc>
        <w:tc>
          <w:tcPr>
            <w:tcW w:w="1447" w:type="dxa"/>
          </w:tcPr>
          <w:p w14:paraId="5BA0C876"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6</w:t>
            </w:r>
          </w:p>
        </w:tc>
        <w:tc>
          <w:tcPr>
            <w:tcW w:w="1447" w:type="dxa"/>
          </w:tcPr>
          <w:p w14:paraId="42374743"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3</w:t>
            </w:r>
          </w:p>
        </w:tc>
        <w:tc>
          <w:tcPr>
            <w:tcW w:w="1356" w:type="dxa"/>
          </w:tcPr>
          <w:p w14:paraId="5DB59A7F"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3</w:t>
            </w:r>
          </w:p>
        </w:tc>
        <w:tc>
          <w:tcPr>
            <w:tcW w:w="1207" w:type="dxa"/>
          </w:tcPr>
          <w:p w14:paraId="1AF4ED14"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1</w:t>
            </w:r>
          </w:p>
        </w:tc>
        <w:tc>
          <w:tcPr>
            <w:tcW w:w="1208" w:type="dxa"/>
          </w:tcPr>
          <w:p w14:paraId="4137E42B"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w:t>
            </w:r>
          </w:p>
        </w:tc>
        <w:tc>
          <w:tcPr>
            <w:tcW w:w="1183" w:type="dxa"/>
          </w:tcPr>
          <w:p w14:paraId="18391F8A" w14:textId="77777777" w:rsidR="007222A5" w:rsidRPr="007B2524" w:rsidRDefault="007222A5" w:rsidP="00B80AAC">
            <w:pPr>
              <w:widowControl w:val="0"/>
              <w:ind w:firstLine="0"/>
              <w:jc w:val="center"/>
              <w:rPr>
                <w:rFonts w:ascii="PT Astra Serif" w:eastAsia="PT Serif" w:hAnsi="PT Astra Serif" w:cs="PT Serif"/>
                <w:bCs/>
                <w:sz w:val="20"/>
              </w:rPr>
            </w:pPr>
            <w:r w:rsidRPr="007B2524">
              <w:rPr>
                <w:rFonts w:ascii="PT Astra Serif" w:eastAsia="PT Serif" w:hAnsi="PT Astra Serif" w:cs="PT Serif"/>
                <w:bCs/>
                <w:sz w:val="20"/>
              </w:rPr>
              <w:t>2</w:t>
            </w:r>
          </w:p>
        </w:tc>
      </w:tr>
      <w:tr w:rsidR="007222A5" w:rsidRPr="007B2524" w14:paraId="491E8DC5" w14:textId="77777777" w:rsidTr="008D5740">
        <w:trPr>
          <w:trHeight w:val="62"/>
        </w:trPr>
        <w:tc>
          <w:tcPr>
            <w:tcW w:w="1696" w:type="dxa"/>
          </w:tcPr>
          <w:p w14:paraId="3C38C86A" w14:textId="77777777" w:rsidR="007222A5" w:rsidRPr="007B2524" w:rsidRDefault="007222A5" w:rsidP="00B80AAC">
            <w:pPr>
              <w:widowControl w:val="0"/>
              <w:ind w:firstLine="0"/>
              <w:rPr>
                <w:rFonts w:ascii="PT Astra Serif" w:eastAsia="PT Serif" w:hAnsi="PT Astra Serif" w:cs="PT Serif"/>
                <w:b/>
                <w:bCs/>
                <w:sz w:val="20"/>
                <w:lang w:val="en-US"/>
              </w:rPr>
            </w:pPr>
            <w:r w:rsidRPr="007B2524">
              <w:rPr>
                <w:rFonts w:ascii="PT Astra Serif" w:eastAsia="PT Serif" w:hAnsi="PT Astra Serif" w:cs="PT Serif"/>
                <w:b/>
                <w:bCs/>
                <w:sz w:val="20"/>
                <w:lang w:val="en-US"/>
              </w:rPr>
              <w:t>ЗМС</w:t>
            </w:r>
          </w:p>
        </w:tc>
        <w:tc>
          <w:tcPr>
            <w:tcW w:w="1447" w:type="dxa"/>
          </w:tcPr>
          <w:p w14:paraId="696D591B"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0</w:t>
            </w:r>
          </w:p>
        </w:tc>
        <w:tc>
          <w:tcPr>
            <w:tcW w:w="1447" w:type="dxa"/>
          </w:tcPr>
          <w:p w14:paraId="23004F68"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3</w:t>
            </w:r>
          </w:p>
        </w:tc>
        <w:tc>
          <w:tcPr>
            <w:tcW w:w="1356" w:type="dxa"/>
          </w:tcPr>
          <w:p w14:paraId="5DF30027"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3</w:t>
            </w:r>
          </w:p>
        </w:tc>
        <w:tc>
          <w:tcPr>
            <w:tcW w:w="1207" w:type="dxa"/>
          </w:tcPr>
          <w:p w14:paraId="4E59BAEC"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1</w:t>
            </w:r>
          </w:p>
        </w:tc>
        <w:tc>
          <w:tcPr>
            <w:tcW w:w="1208" w:type="dxa"/>
          </w:tcPr>
          <w:p w14:paraId="6364D902" w14:textId="77777777" w:rsidR="007222A5" w:rsidRPr="007B2524" w:rsidRDefault="007222A5" w:rsidP="00B80AAC">
            <w:pPr>
              <w:widowControl w:val="0"/>
              <w:ind w:firstLine="0"/>
              <w:jc w:val="center"/>
              <w:rPr>
                <w:rFonts w:ascii="PT Astra Serif" w:eastAsia="PT Serif" w:hAnsi="PT Astra Serif" w:cs="PT Serif"/>
                <w:bCs/>
                <w:sz w:val="20"/>
                <w:lang w:val="en-US"/>
              </w:rPr>
            </w:pPr>
            <w:r w:rsidRPr="007B2524">
              <w:rPr>
                <w:rFonts w:ascii="PT Astra Serif" w:eastAsia="PT Serif" w:hAnsi="PT Astra Serif" w:cs="PT Serif"/>
                <w:bCs/>
                <w:sz w:val="20"/>
                <w:lang w:val="en-US"/>
              </w:rPr>
              <w:t>-</w:t>
            </w:r>
          </w:p>
        </w:tc>
        <w:tc>
          <w:tcPr>
            <w:tcW w:w="1183" w:type="dxa"/>
          </w:tcPr>
          <w:p w14:paraId="2EE6036F" w14:textId="77777777" w:rsidR="007222A5" w:rsidRPr="007B2524" w:rsidRDefault="007222A5" w:rsidP="00B80AAC">
            <w:pPr>
              <w:widowControl w:val="0"/>
              <w:ind w:firstLine="0"/>
              <w:jc w:val="center"/>
              <w:rPr>
                <w:rFonts w:ascii="PT Astra Serif" w:eastAsia="PT Serif" w:hAnsi="PT Astra Serif" w:cs="PT Serif"/>
                <w:bCs/>
                <w:sz w:val="20"/>
              </w:rPr>
            </w:pPr>
            <w:r w:rsidRPr="007B2524">
              <w:rPr>
                <w:rFonts w:ascii="PT Astra Serif" w:eastAsia="PT Serif" w:hAnsi="PT Astra Serif" w:cs="PT Serif"/>
                <w:bCs/>
                <w:sz w:val="20"/>
              </w:rPr>
              <w:t>-</w:t>
            </w:r>
          </w:p>
        </w:tc>
      </w:tr>
    </w:tbl>
    <w:p w14:paraId="34318D3E" w14:textId="77777777" w:rsidR="007222A5" w:rsidRPr="008D5740" w:rsidRDefault="007222A5" w:rsidP="007222A5">
      <w:pPr>
        <w:widowControl w:val="0"/>
        <w:ind w:firstLine="697"/>
        <w:rPr>
          <w:rFonts w:ascii="PT Astra Serif" w:eastAsia="PT Serif" w:hAnsi="PT Astra Serif" w:cs="PT Serif"/>
          <w:sz w:val="20"/>
          <w:szCs w:val="20"/>
        </w:rPr>
      </w:pPr>
    </w:p>
    <w:p w14:paraId="6C0452B8"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В 2025 году в Ульяновской области прошло более 30 масштабных мероприятий межрегионального и всероссийского уровня. Среди ярких спортивных событий:</w:t>
      </w:r>
    </w:p>
    <w:p w14:paraId="7CE65CD1"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Чемпионат и Первенство ПФО по лёгкой атлетике, </w:t>
      </w:r>
    </w:p>
    <w:p w14:paraId="2C83C76C"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Всероссийский турнир по ММА памяти Петра Минеева, </w:t>
      </w:r>
    </w:p>
    <w:p w14:paraId="568639B3"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Чемпионат России по ралли-рейдам – 20 лет «Холмам России»,</w:t>
      </w:r>
    </w:p>
    <w:p w14:paraId="76605C18"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Юбилейный ночной турнир по баскетболу 3х3, </w:t>
      </w:r>
    </w:p>
    <w:p w14:paraId="69B9FD47"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Чемпионат и Первенство ПФО по </w:t>
      </w:r>
      <w:proofErr w:type="spellStart"/>
      <w:r w:rsidRPr="00ED6292">
        <w:rPr>
          <w:rFonts w:ascii="PT Astra Serif" w:eastAsia="PT Serif" w:hAnsi="PT Astra Serif" w:cs="PT Serif"/>
          <w:szCs w:val="28"/>
        </w:rPr>
        <w:t>кудо</w:t>
      </w:r>
      <w:proofErr w:type="spellEnd"/>
      <w:r w:rsidRPr="00ED6292">
        <w:rPr>
          <w:rFonts w:ascii="PT Astra Serif" w:eastAsia="PT Serif" w:hAnsi="PT Astra Serif" w:cs="PT Serif"/>
          <w:szCs w:val="28"/>
        </w:rPr>
        <w:t xml:space="preserve"> в год 20-летия региональной федерации, </w:t>
      </w:r>
    </w:p>
    <w:p w14:paraId="1F3670AD"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Всероссийские соревнования по тхэквондо памяти Василия </w:t>
      </w:r>
      <w:proofErr w:type="spellStart"/>
      <w:r w:rsidRPr="00ED6292">
        <w:rPr>
          <w:rFonts w:ascii="PT Astra Serif" w:eastAsia="PT Serif" w:hAnsi="PT Astra Serif" w:cs="PT Serif"/>
          <w:szCs w:val="28"/>
        </w:rPr>
        <w:t>Свалухина</w:t>
      </w:r>
      <w:proofErr w:type="spellEnd"/>
      <w:r w:rsidRPr="00ED6292">
        <w:rPr>
          <w:rFonts w:ascii="PT Astra Serif" w:eastAsia="PT Serif" w:hAnsi="PT Astra Serif" w:cs="PT Serif"/>
          <w:szCs w:val="28"/>
        </w:rPr>
        <w:t xml:space="preserve">, </w:t>
      </w:r>
    </w:p>
    <w:p w14:paraId="068D5533"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Чемпионат России и Первенство России по морскому многоборью (дисциплина — морское троеборье). В спортивном мероприятии приняло участие около 490 участников из 15 регионов Российской Федерации. </w:t>
      </w:r>
    </w:p>
    <w:p w14:paraId="770A296A"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Первенство России по хоккею с мячом среди юношей 16</w:t>
      </w:r>
      <w:r>
        <w:rPr>
          <w:rFonts w:ascii="PT Astra Serif" w:eastAsia="PT Serif" w:hAnsi="PT Astra Serif" w:cs="PT Serif"/>
          <w:szCs w:val="28"/>
        </w:rPr>
        <w:t xml:space="preserve"> </w:t>
      </w:r>
      <w:r w:rsidRPr="00ED6292">
        <w:rPr>
          <w:rFonts w:ascii="PT Astra Serif" w:eastAsia="PT Serif" w:hAnsi="PT Astra Serif" w:cs="PT Serif"/>
          <w:szCs w:val="28"/>
        </w:rPr>
        <w:t>-</w:t>
      </w:r>
      <w:r>
        <w:rPr>
          <w:rFonts w:ascii="PT Astra Serif" w:eastAsia="PT Serif" w:hAnsi="PT Astra Serif" w:cs="PT Serif"/>
          <w:szCs w:val="28"/>
        </w:rPr>
        <w:t xml:space="preserve"> </w:t>
      </w:r>
      <w:r w:rsidRPr="00ED6292">
        <w:rPr>
          <w:rFonts w:ascii="PT Astra Serif" w:eastAsia="PT Serif" w:hAnsi="PT Astra Serif" w:cs="PT Serif"/>
          <w:szCs w:val="28"/>
        </w:rPr>
        <w:t xml:space="preserve">17 лет. </w:t>
      </w:r>
      <w:r>
        <w:rPr>
          <w:rFonts w:ascii="PT Astra Serif" w:eastAsia="PT Serif" w:hAnsi="PT Astra Serif" w:cs="PT Serif"/>
          <w:szCs w:val="28"/>
        </w:rPr>
        <w:br/>
      </w:r>
      <w:r w:rsidRPr="00ED6292">
        <w:rPr>
          <w:rFonts w:ascii="PT Astra Serif" w:eastAsia="PT Serif" w:hAnsi="PT Astra Serif" w:cs="PT Serif"/>
          <w:szCs w:val="28"/>
        </w:rPr>
        <w:t xml:space="preserve">В соревновании приняло участие 160 спортсменов из 8 команд, представляющие Хабаровск, Новосибирск, Ульяновск, Красноярск, Казань, Первоуральск, Нижегородскую и Иркутскую области. Финальный этап Чемпионата России по </w:t>
      </w:r>
      <w:proofErr w:type="spellStart"/>
      <w:r w:rsidRPr="00ED6292">
        <w:rPr>
          <w:rFonts w:ascii="PT Astra Serif" w:eastAsia="PT Serif" w:hAnsi="PT Astra Serif" w:cs="PT Serif"/>
          <w:szCs w:val="28"/>
        </w:rPr>
        <w:t>футзалу</w:t>
      </w:r>
      <w:proofErr w:type="spellEnd"/>
      <w:r w:rsidRPr="00ED6292">
        <w:rPr>
          <w:rFonts w:ascii="PT Astra Serif" w:eastAsia="PT Serif" w:hAnsi="PT Astra Serif" w:cs="PT Serif"/>
          <w:szCs w:val="28"/>
        </w:rPr>
        <w:t xml:space="preserve"> среди мужских команд 1 лиги. В финальной части соревнований участвовало 11 команд, представляющие: Ярославль, Ростовскую область, Сургут, Хохольский, Нижний Новгород, Тюмень, Чебоксары, Ульяновск, Барнаул, </w:t>
      </w:r>
      <w:proofErr w:type="spellStart"/>
      <w:r w:rsidRPr="00ED6292">
        <w:rPr>
          <w:rFonts w:ascii="PT Astra Serif" w:eastAsia="PT Serif" w:hAnsi="PT Astra Serif" w:cs="PT Serif"/>
          <w:szCs w:val="28"/>
        </w:rPr>
        <w:t>Касимов</w:t>
      </w:r>
      <w:proofErr w:type="spellEnd"/>
      <w:r w:rsidRPr="00ED6292">
        <w:rPr>
          <w:rFonts w:ascii="PT Astra Serif" w:eastAsia="PT Serif" w:hAnsi="PT Astra Serif" w:cs="PT Serif"/>
          <w:szCs w:val="28"/>
        </w:rPr>
        <w:t>.</w:t>
      </w:r>
    </w:p>
    <w:p w14:paraId="5BE3C7EF" w14:textId="77777777" w:rsidR="007222A5" w:rsidRPr="00ED6292" w:rsidRDefault="007222A5" w:rsidP="007222A5">
      <w:pPr>
        <w:widowControl w:val="0"/>
        <w:ind w:firstLine="697"/>
        <w:rPr>
          <w:rFonts w:ascii="PT Astra Serif" w:eastAsia="PT Serif" w:hAnsi="PT Astra Serif" w:cs="PT Serif"/>
          <w:b/>
          <w:szCs w:val="28"/>
        </w:rPr>
      </w:pPr>
      <w:r w:rsidRPr="00ED6292">
        <w:rPr>
          <w:rFonts w:ascii="PT Astra Serif" w:eastAsia="PT Serif" w:hAnsi="PT Astra Serif" w:cs="PT Serif"/>
          <w:b/>
          <w:szCs w:val="28"/>
        </w:rPr>
        <w:t>Впервые на территории региона прошли яркие, зрелищные соревнования:</w:t>
      </w:r>
    </w:p>
    <w:p w14:paraId="4C7A028D"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Чемпионат России, Чемпионат и Первенство Приволжского федерального округа по парусному спорту. </w:t>
      </w:r>
    </w:p>
    <w:p w14:paraId="7FC0B62F"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Международные соревнования по </w:t>
      </w:r>
      <w:proofErr w:type="spellStart"/>
      <w:r w:rsidRPr="00ED6292">
        <w:rPr>
          <w:rFonts w:ascii="PT Astra Serif" w:eastAsia="PT Serif" w:hAnsi="PT Astra Serif" w:cs="PT Serif"/>
          <w:szCs w:val="28"/>
        </w:rPr>
        <w:t>микрофутзалу</w:t>
      </w:r>
      <w:proofErr w:type="spellEnd"/>
      <w:r w:rsidRPr="00ED6292">
        <w:rPr>
          <w:rFonts w:ascii="PT Astra Serif" w:eastAsia="PT Serif" w:hAnsi="PT Astra Serif" w:cs="PT Serif"/>
          <w:szCs w:val="28"/>
        </w:rPr>
        <w:t xml:space="preserve"> «Кубок Победы». </w:t>
      </w:r>
      <w:r>
        <w:rPr>
          <w:rFonts w:ascii="PT Astra Serif" w:eastAsia="PT Serif" w:hAnsi="PT Astra Serif" w:cs="PT Serif"/>
          <w:szCs w:val="28"/>
        </w:rPr>
        <w:br/>
      </w:r>
      <w:r w:rsidRPr="00ED6292">
        <w:rPr>
          <w:rFonts w:ascii="PT Astra Serif" w:eastAsia="PT Serif" w:hAnsi="PT Astra Serif" w:cs="PT Serif"/>
          <w:szCs w:val="28"/>
        </w:rPr>
        <w:t xml:space="preserve">В соревновании приняли участие шесть команд, представляющие: Бразилию, </w:t>
      </w:r>
      <w:proofErr w:type="spellStart"/>
      <w:r w:rsidRPr="00ED6292">
        <w:rPr>
          <w:rFonts w:ascii="PT Astra Serif" w:eastAsia="PT Serif" w:hAnsi="PT Astra Serif" w:cs="PT Serif"/>
          <w:szCs w:val="28"/>
        </w:rPr>
        <w:t>Кыргызскую</w:t>
      </w:r>
      <w:proofErr w:type="spellEnd"/>
      <w:r w:rsidRPr="00ED6292">
        <w:rPr>
          <w:rFonts w:ascii="PT Astra Serif" w:eastAsia="PT Serif" w:hAnsi="PT Astra Serif" w:cs="PT Serif"/>
          <w:szCs w:val="28"/>
        </w:rPr>
        <w:t xml:space="preserve"> Республику, Республику Казахстан, Кот-д'Ивуар</w:t>
      </w:r>
      <w:r>
        <w:rPr>
          <w:rFonts w:ascii="PT Astra Serif" w:eastAsia="PT Serif" w:hAnsi="PT Astra Serif" w:cs="PT Serif"/>
          <w:szCs w:val="28"/>
        </w:rPr>
        <w:t>,</w:t>
      </w:r>
      <w:r w:rsidRPr="00ED6292">
        <w:rPr>
          <w:rFonts w:ascii="PT Astra Serif" w:eastAsia="PT Serif" w:hAnsi="PT Astra Serif" w:cs="PT Serif"/>
          <w:szCs w:val="28"/>
        </w:rPr>
        <w:t xml:space="preserve"> Республику Беларусь и Российскую Федерацию. </w:t>
      </w:r>
    </w:p>
    <w:p w14:paraId="1F1A168C" w14:textId="77777777" w:rsidR="007222A5" w:rsidRPr="00ED6292" w:rsidRDefault="007222A5" w:rsidP="007222A5">
      <w:pPr>
        <w:widowControl w:val="0"/>
        <w:ind w:firstLine="697"/>
        <w:rPr>
          <w:rFonts w:ascii="PT Astra Serif" w:eastAsia="PT Serif" w:hAnsi="PT Astra Serif" w:cs="PT Serif"/>
          <w:szCs w:val="28"/>
        </w:rPr>
      </w:pPr>
      <w:r w:rsidRPr="00ED6292">
        <w:rPr>
          <w:rFonts w:ascii="PT Astra Serif" w:eastAsia="PT Serif" w:hAnsi="PT Astra Serif" w:cs="PT Serif"/>
          <w:szCs w:val="28"/>
        </w:rPr>
        <w:t xml:space="preserve">Первенство России и всероссийские соревнования по спортивному ориентированию. В соревнованиях приняли участие около 850 спортсменов до 19 лет. </w:t>
      </w:r>
    </w:p>
    <w:p w14:paraId="46DFBADF" w14:textId="5FC04FCC" w:rsidR="007222A5" w:rsidRPr="00ED6292" w:rsidRDefault="007222A5" w:rsidP="007222A5">
      <w:pPr>
        <w:widowControl w:val="0"/>
        <w:rPr>
          <w:rFonts w:ascii="PT Astra Serif" w:eastAsia="Times New Roman" w:hAnsi="PT Astra Serif"/>
          <w:szCs w:val="28"/>
        </w:rPr>
      </w:pPr>
      <w:r w:rsidRPr="00ED6292">
        <w:rPr>
          <w:rFonts w:ascii="PT Astra Serif" w:eastAsia="PT Serif" w:hAnsi="PT Astra Serif" w:cs="PT Serif"/>
          <w:szCs w:val="28"/>
        </w:rPr>
        <w:t xml:space="preserve">Профессиональный футбольный клуб «Волга» </w:t>
      </w:r>
      <w:r w:rsidR="00B158EE">
        <w:rPr>
          <w:rFonts w:ascii="PT Astra Serif" w:eastAsia="PT Serif" w:hAnsi="PT Astra Serif" w:cs="PT Serif"/>
          <w:szCs w:val="28"/>
        </w:rPr>
        <w:t>вышел в ФНЛ</w:t>
      </w:r>
      <w:r w:rsidRPr="00ED6292">
        <w:rPr>
          <w:rFonts w:ascii="PT Astra Serif" w:eastAsia="PT Serif" w:hAnsi="PT Astra Serif" w:cs="PT Serif"/>
          <w:szCs w:val="28"/>
        </w:rPr>
        <w:t>.</w:t>
      </w:r>
      <w:r w:rsidR="00EB15FA">
        <w:rPr>
          <w:rFonts w:ascii="PT Astra Serif" w:eastAsia="PT Serif" w:hAnsi="PT Astra Serif" w:cs="PT Serif"/>
          <w:szCs w:val="28"/>
        </w:rPr>
        <w:t xml:space="preserve"> </w:t>
      </w:r>
      <w:r w:rsidRPr="00ED6292">
        <w:rPr>
          <w:rFonts w:ascii="PT Astra Serif" w:eastAsia="PT Serif" w:hAnsi="PT Astra Serif" w:cs="PT Serif"/>
          <w:szCs w:val="28"/>
        </w:rPr>
        <w:t>Хоккейный клуб «Волга», в статусе самой молодой команды Суперлиги, дошёл до четверти финала розыгрыша Кубка России.</w:t>
      </w:r>
    </w:p>
    <w:p w14:paraId="7AF86467" w14:textId="1F22E598" w:rsidR="008D5740" w:rsidRDefault="008D5740" w:rsidP="007222A5">
      <w:pPr>
        <w:widowControl w:val="0"/>
        <w:ind w:firstLine="0"/>
        <w:jc w:val="center"/>
        <w:rPr>
          <w:rFonts w:ascii="PT Astra Serif" w:eastAsia="Times New Roman" w:hAnsi="PT Astra Serif"/>
          <w:b/>
          <w:szCs w:val="28"/>
          <w:highlight w:val="white"/>
        </w:rPr>
      </w:pPr>
    </w:p>
    <w:p w14:paraId="18CEAA46" w14:textId="77777777" w:rsidR="008D5740" w:rsidRDefault="008D5740" w:rsidP="007222A5">
      <w:pPr>
        <w:widowControl w:val="0"/>
        <w:ind w:firstLine="0"/>
        <w:jc w:val="center"/>
        <w:rPr>
          <w:rFonts w:ascii="PT Astra Serif" w:eastAsia="Times New Roman" w:hAnsi="PT Astra Serif"/>
          <w:b/>
          <w:szCs w:val="28"/>
          <w:highlight w:val="white"/>
        </w:rPr>
      </w:pPr>
    </w:p>
    <w:p w14:paraId="7134992F" w14:textId="57E4AE1D" w:rsidR="007222A5" w:rsidRDefault="007222A5" w:rsidP="007222A5">
      <w:pPr>
        <w:widowControl w:val="0"/>
        <w:ind w:firstLine="0"/>
        <w:jc w:val="center"/>
        <w:rPr>
          <w:rFonts w:ascii="PT Astra Serif" w:eastAsia="Times New Roman" w:hAnsi="PT Astra Serif"/>
          <w:b/>
          <w:szCs w:val="28"/>
          <w:highlight w:val="white"/>
        </w:rPr>
      </w:pPr>
      <w:r w:rsidRPr="00ED6292">
        <w:rPr>
          <w:rFonts w:ascii="PT Astra Serif" w:eastAsia="Times New Roman" w:hAnsi="PT Astra Serif"/>
          <w:b/>
          <w:szCs w:val="28"/>
          <w:highlight w:val="white"/>
        </w:rPr>
        <w:lastRenderedPageBreak/>
        <w:t>Развитие массового спорта</w:t>
      </w:r>
    </w:p>
    <w:p w14:paraId="09E5909F" w14:textId="77777777" w:rsidR="007222A5" w:rsidRPr="00ED6292" w:rsidRDefault="007222A5" w:rsidP="007222A5">
      <w:pPr>
        <w:widowControl w:val="0"/>
        <w:ind w:firstLine="0"/>
        <w:jc w:val="center"/>
        <w:rPr>
          <w:rFonts w:ascii="PT Astra Serif" w:eastAsia="Times New Roman" w:hAnsi="PT Astra Serif"/>
          <w:b/>
          <w:szCs w:val="28"/>
          <w:highlight w:val="white"/>
        </w:rPr>
      </w:pPr>
    </w:p>
    <w:p w14:paraId="46E9D0A5"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По статистическим данным по итогам 2025 года </w:t>
      </w:r>
      <w:r w:rsidRPr="003B7FC7">
        <w:rPr>
          <w:rFonts w:ascii="PT Astra Serif" w:eastAsia="Times New Roman" w:hAnsi="PT Astra Serif"/>
          <w:b/>
          <w:bCs/>
          <w:szCs w:val="28"/>
        </w:rPr>
        <w:t>доля, систематически занимающегося физической культурой и спортом населения</w:t>
      </w:r>
      <w:r>
        <w:rPr>
          <w:rFonts w:ascii="PT Astra Serif" w:eastAsia="Times New Roman" w:hAnsi="PT Astra Serif"/>
          <w:b/>
          <w:bCs/>
          <w:szCs w:val="28"/>
        </w:rPr>
        <w:t>,</w:t>
      </w:r>
      <w:r w:rsidRPr="00ED6292">
        <w:rPr>
          <w:rFonts w:ascii="PT Astra Serif" w:eastAsia="Times New Roman" w:hAnsi="PT Astra Serif"/>
          <w:szCs w:val="28"/>
        </w:rPr>
        <w:t xml:space="preserve"> в разбивке по возрастной категории составила:</w:t>
      </w:r>
    </w:p>
    <w:p w14:paraId="12F61C37"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детей и молодёжи в возрасте от 3 до 29 лет, систематически занимающихся физической культурой и спортом – 92,5%;</w:t>
      </w:r>
    </w:p>
    <w:p w14:paraId="06A52E65"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граждан среднего возраста (женщины в возрасте от 30 до 54 лет, мужчины в возрасте от 30 до 59 лет), систематически занимающихся физической культурой и спортом – 65,5%;</w:t>
      </w:r>
    </w:p>
    <w:p w14:paraId="09F185F4"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граждан старшего возраста (женщины в возрасте от 55 до 79 лет, мужчины в возрасте от 60 до 79 лет), систематически занимающихся физической культурой и спортом – 42,8%;</w:t>
      </w:r>
    </w:p>
    <w:p w14:paraId="11AC8A08"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доля лиц с ограниченными возможностями здоровья и инвалидов, систематически занимающихся физической культурой и спортом, в общей численности указанной категории населения, не имеющего противопоказаний для занятий физической культурой и спортом – 13,45%.</w:t>
      </w:r>
    </w:p>
    <w:p w14:paraId="233804B6" w14:textId="11573CC5" w:rsidR="007222A5" w:rsidRPr="00ED6292" w:rsidRDefault="007222A5" w:rsidP="007222A5">
      <w:pPr>
        <w:widowControl w:val="0"/>
        <w:shd w:val="clear" w:color="auto" w:fill="FFFFFF"/>
        <w:ind w:firstLine="700"/>
        <w:rPr>
          <w:rFonts w:ascii="PT Astra Serif" w:eastAsia="PT Serif" w:hAnsi="PT Astra Serif" w:cs="PT Serif"/>
          <w:szCs w:val="28"/>
        </w:rPr>
      </w:pPr>
      <w:r w:rsidRPr="00ED6292">
        <w:rPr>
          <w:rFonts w:ascii="PT Astra Serif" w:eastAsia="PT Serif" w:hAnsi="PT Astra Serif" w:cs="PT Serif"/>
          <w:szCs w:val="28"/>
        </w:rPr>
        <w:t xml:space="preserve">Из областного бюджета Ульяновской области в 2025 году </w:t>
      </w:r>
      <w:r w:rsidRPr="003B7FC7">
        <w:rPr>
          <w:rFonts w:ascii="PT Astra Serif" w:eastAsia="PT Serif" w:hAnsi="PT Astra Serif" w:cs="PT Serif"/>
          <w:b/>
          <w:bCs/>
          <w:szCs w:val="28"/>
        </w:rPr>
        <w:t>на развитие массового спорта» выделено 28,4 млн рублей</w:t>
      </w:r>
      <w:r w:rsidRPr="00ED6292">
        <w:rPr>
          <w:rFonts w:ascii="PT Astra Serif" w:eastAsia="PT Serif" w:hAnsi="PT Astra Serif" w:cs="PT Serif"/>
          <w:szCs w:val="28"/>
        </w:rPr>
        <w:t>, в т</w:t>
      </w:r>
      <w:r>
        <w:rPr>
          <w:rFonts w:ascii="PT Astra Serif" w:eastAsia="PT Serif" w:hAnsi="PT Astra Serif" w:cs="PT Serif"/>
          <w:szCs w:val="28"/>
        </w:rPr>
        <w:t>ом числе</w:t>
      </w:r>
      <w:r w:rsidRPr="00ED6292">
        <w:rPr>
          <w:rFonts w:ascii="PT Astra Serif" w:eastAsia="PT Serif" w:hAnsi="PT Astra Serif" w:cs="PT Serif"/>
          <w:szCs w:val="28"/>
        </w:rPr>
        <w:t>:</w:t>
      </w:r>
    </w:p>
    <w:p w14:paraId="37198F9C" w14:textId="47721A35" w:rsidR="007222A5" w:rsidRPr="00ED6292" w:rsidRDefault="007222A5" w:rsidP="007222A5">
      <w:pPr>
        <w:widowControl w:val="0"/>
        <w:shd w:val="clear" w:color="auto" w:fill="FFFFFF"/>
        <w:rPr>
          <w:rFonts w:ascii="PT Astra Serif" w:eastAsia="PT Serif" w:hAnsi="PT Astra Serif" w:cs="PT Serif"/>
          <w:szCs w:val="28"/>
        </w:rPr>
      </w:pPr>
      <w:r w:rsidRPr="00ED6292">
        <w:rPr>
          <w:rFonts w:ascii="PT Astra Serif" w:eastAsia="PT Serif" w:hAnsi="PT Astra Serif" w:cs="PT Serif"/>
          <w:szCs w:val="28"/>
        </w:rPr>
        <w:t>на оказание мер</w:t>
      </w:r>
      <w:r w:rsidRPr="00ED6292">
        <w:rPr>
          <w:rFonts w:ascii="PT Astra Serif" w:eastAsia="PT Serif" w:hAnsi="PT Astra Serif" w:cs="PT Serif"/>
          <w:bCs/>
          <w:szCs w:val="28"/>
        </w:rPr>
        <w:t xml:space="preserve"> финансовой поддержки </w:t>
      </w:r>
      <w:r w:rsidRPr="00ED6292">
        <w:rPr>
          <w:rFonts w:ascii="PT Astra Serif" w:eastAsia="PT Serif" w:hAnsi="PT Astra Serif" w:cs="PT Serif"/>
          <w:bCs/>
          <w:iCs/>
          <w:szCs w:val="28"/>
        </w:rPr>
        <w:t>в</w:t>
      </w:r>
      <w:r w:rsidRPr="00ED6292">
        <w:rPr>
          <w:rFonts w:ascii="PT Astra Serif" w:eastAsia="PT Serif" w:hAnsi="PT Astra Serif" w:cs="PT Serif"/>
          <w:bCs/>
          <w:i/>
          <w:iCs/>
          <w:szCs w:val="28"/>
        </w:rPr>
        <w:t xml:space="preserve"> </w:t>
      </w:r>
      <w:r w:rsidRPr="00ED6292">
        <w:rPr>
          <w:rFonts w:ascii="PT Astra Serif" w:eastAsia="PT Serif" w:hAnsi="PT Astra Serif" w:cs="PT Serif"/>
          <w:bCs/>
          <w:szCs w:val="28"/>
        </w:rPr>
        <w:t>соответствии с</w:t>
      </w:r>
      <w:hyperlink r:id="rId12" w:anchor="/document/81/282668/">
        <w:r w:rsidRPr="00ED6292">
          <w:rPr>
            <w:rFonts w:ascii="PT Astra Serif" w:eastAsia="PT Serif" w:hAnsi="PT Astra Serif" w:cs="PT Serif"/>
            <w:bCs/>
            <w:szCs w:val="28"/>
          </w:rPr>
          <w:t xml:space="preserve"> Законом Ульяновской области от 02.10.2020 № 103-ЗО</w:t>
        </w:r>
      </w:hyperlink>
      <w:r w:rsidRPr="00ED6292">
        <w:rPr>
          <w:rFonts w:ascii="PT Astra Serif" w:eastAsia="PT Serif" w:hAnsi="PT Astra Serif" w:cs="PT Serif"/>
          <w:szCs w:val="28"/>
        </w:rPr>
        <w:t xml:space="preserve"> на сумму 0,3 млн рублей. Получило 28 человек, в т</w:t>
      </w:r>
      <w:r>
        <w:rPr>
          <w:rFonts w:ascii="PT Astra Serif" w:eastAsia="PT Serif" w:hAnsi="PT Astra Serif" w:cs="PT Serif"/>
          <w:szCs w:val="28"/>
        </w:rPr>
        <w:t>ом числе</w:t>
      </w:r>
      <w:r w:rsidRPr="00ED6292">
        <w:rPr>
          <w:rFonts w:ascii="PT Astra Serif" w:eastAsia="PT Serif" w:hAnsi="PT Astra Serif" w:cs="PT Serif"/>
          <w:szCs w:val="28"/>
        </w:rPr>
        <w:t xml:space="preserve"> 18 специалистов поступили на работу </w:t>
      </w:r>
      <w:r>
        <w:rPr>
          <w:rFonts w:ascii="PT Astra Serif" w:eastAsia="PT Serif" w:hAnsi="PT Astra Serif" w:cs="PT Serif"/>
          <w:szCs w:val="28"/>
        </w:rPr>
        <w:br/>
      </w:r>
      <w:r w:rsidRPr="00ED6292">
        <w:rPr>
          <w:rFonts w:ascii="PT Astra Serif" w:eastAsia="PT Serif" w:hAnsi="PT Astra Serif" w:cs="PT Serif"/>
          <w:szCs w:val="28"/>
        </w:rPr>
        <w:t>в государственные учреждения и 8 в муниципальные спортивные школы. Размер выплат 1 тыс. рублей ежемесячно, 10 тыс. рублей единовременно при поступлении;</w:t>
      </w:r>
    </w:p>
    <w:p w14:paraId="6AA7372D" w14:textId="636483A5" w:rsidR="007222A5" w:rsidRPr="00ED6292" w:rsidRDefault="007222A5" w:rsidP="007222A5">
      <w:pPr>
        <w:widowControl w:val="0"/>
        <w:shd w:val="clear" w:color="auto" w:fill="FFFFFF"/>
        <w:rPr>
          <w:rFonts w:ascii="PT Astra Serif" w:eastAsia="Times New Roman" w:hAnsi="PT Astra Serif" w:cs="Times New Roman"/>
          <w:szCs w:val="28"/>
        </w:rPr>
      </w:pPr>
      <w:r w:rsidRPr="00ED6292">
        <w:rPr>
          <w:rFonts w:ascii="PT Astra Serif" w:eastAsia="PT Serif" w:hAnsi="PT Astra Serif" w:cs="PT Serif"/>
          <w:szCs w:val="28"/>
        </w:rPr>
        <w:t xml:space="preserve">на </w:t>
      </w:r>
      <w:r w:rsidRPr="00ED6292">
        <w:rPr>
          <w:rFonts w:ascii="PT Astra Serif" w:eastAsia="Times New Roman" w:hAnsi="PT Astra Serif" w:cs="Times New Roman"/>
          <w:szCs w:val="28"/>
        </w:rPr>
        <w:t>реализацию программы «Всеобуч по плаванию» на сумму 2,0 млн рублей. По программе «Всеобуч по плаванию» проведено обучение детей 2-4 классов навыкам плавания в количестве 1</w:t>
      </w:r>
      <w:r>
        <w:rPr>
          <w:rFonts w:ascii="PT Astra Serif" w:eastAsia="Times New Roman" w:hAnsi="PT Astra Serif" w:cs="Times New Roman"/>
          <w:szCs w:val="28"/>
        </w:rPr>
        <w:t> </w:t>
      </w:r>
      <w:r w:rsidRPr="00ED6292">
        <w:rPr>
          <w:rFonts w:ascii="PT Astra Serif" w:eastAsia="Times New Roman" w:hAnsi="PT Astra Serif" w:cs="Times New Roman"/>
          <w:szCs w:val="28"/>
        </w:rPr>
        <w:t xml:space="preserve">716 человек, в </w:t>
      </w:r>
      <w:r>
        <w:rPr>
          <w:rFonts w:ascii="PT Astra Serif" w:eastAsia="Times New Roman" w:hAnsi="PT Astra Serif" w:cs="Times New Roman"/>
          <w:szCs w:val="28"/>
        </w:rPr>
        <w:t>том числе</w:t>
      </w:r>
      <w:r w:rsidRPr="00ED6292">
        <w:rPr>
          <w:rFonts w:ascii="PT Astra Serif" w:eastAsia="Times New Roman" w:hAnsi="PT Astra Serif" w:cs="Times New Roman"/>
          <w:szCs w:val="28"/>
        </w:rPr>
        <w:t xml:space="preserve"> </w:t>
      </w:r>
      <w:r>
        <w:rPr>
          <w:rFonts w:ascii="PT Astra Serif" w:eastAsia="Times New Roman" w:hAnsi="PT Astra Serif" w:cs="Times New Roman"/>
          <w:szCs w:val="28"/>
        </w:rPr>
        <w:br/>
      </w:r>
      <w:r w:rsidRPr="00ED6292">
        <w:rPr>
          <w:rFonts w:ascii="PT Astra Serif" w:eastAsia="Times New Roman" w:hAnsi="PT Astra Serif" w:cs="Times New Roman"/>
          <w:szCs w:val="28"/>
        </w:rPr>
        <w:t>в муниципальных образованиях получило 1</w:t>
      </w:r>
      <w:r>
        <w:rPr>
          <w:rFonts w:ascii="PT Astra Serif" w:eastAsia="Times New Roman" w:hAnsi="PT Astra Serif" w:cs="Times New Roman"/>
          <w:szCs w:val="28"/>
        </w:rPr>
        <w:t> </w:t>
      </w:r>
      <w:r w:rsidRPr="00ED6292">
        <w:rPr>
          <w:rFonts w:ascii="PT Astra Serif" w:eastAsia="Times New Roman" w:hAnsi="PT Astra Serif" w:cs="Times New Roman"/>
          <w:szCs w:val="28"/>
        </w:rPr>
        <w:t xml:space="preserve">140 человека, в областных государственных учреждениях – 576 человек. </w:t>
      </w:r>
    </w:p>
    <w:p w14:paraId="2BFC9B95" w14:textId="72BF4997" w:rsidR="007222A5" w:rsidRPr="00ED6292" w:rsidRDefault="007222A5" w:rsidP="007222A5">
      <w:pPr>
        <w:widowControl w:val="0"/>
        <w:shd w:val="clear" w:color="auto" w:fill="FFFFFF"/>
        <w:rPr>
          <w:rFonts w:ascii="PT Astra Serif" w:eastAsia="Times New Roman" w:hAnsi="PT Astra Serif" w:cs="Times New Roman"/>
          <w:szCs w:val="28"/>
        </w:rPr>
      </w:pPr>
      <w:r w:rsidRPr="00ED6292">
        <w:rPr>
          <w:rFonts w:ascii="PT Astra Serif" w:eastAsia="Times New Roman" w:hAnsi="PT Astra Serif" w:cs="Times New Roman"/>
          <w:szCs w:val="28"/>
        </w:rPr>
        <w:t xml:space="preserve">на предоставление выплат на приобретение жилого помещения тренеры, прибывшие (переехавшие) в 2024 - 2026 годах в отдельные населенные пункты, расположенные на территории Ульяновской области, для работы </w:t>
      </w:r>
      <w:r>
        <w:rPr>
          <w:rFonts w:ascii="PT Astra Serif" w:eastAsia="Times New Roman" w:hAnsi="PT Astra Serif" w:cs="Times New Roman"/>
          <w:szCs w:val="28"/>
        </w:rPr>
        <w:br/>
      </w:r>
      <w:r w:rsidRPr="00ED6292">
        <w:rPr>
          <w:rFonts w:ascii="PT Astra Serif" w:eastAsia="Times New Roman" w:hAnsi="PT Astra Serif" w:cs="Times New Roman"/>
          <w:szCs w:val="28"/>
        </w:rPr>
        <w:t xml:space="preserve">в качестве тренера в сумме 1,0 млн рублей. Выплата предоставлена одному человеку – А.Ф. </w:t>
      </w:r>
      <w:proofErr w:type="spellStart"/>
      <w:r w:rsidRPr="00ED6292">
        <w:rPr>
          <w:rFonts w:ascii="PT Astra Serif" w:eastAsia="Times New Roman" w:hAnsi="PT Astra Serif" w:cs="Times New Roman"/>
          <w:szCs w:val="28"/>
        </w:rPr>
        <w:t>Алееву</w:t>
      </w:r>
      <w:proofErr w:type="spellEnd"/>
      <w:r w:rsidRPr="00ED6292">
        <w:rPr>
          <w:rFonts w:ascii="PT Astra Serif" w:eastAsia="Times New Roman" w:hAnsi="PT Astra Serif" w:cs="Times New Roman"/>
          <w:szCs w:val="28"/>
        </w:rPr>
        <w:t xml:space="preserve"> тренеру, тренеру-преподавателю, на приобретение жилого помещения, в целях создания дополнительных условий, способствующих развитию на территории Ульяновской области спорта (постановление Правительства Ульяновской области от 22.02.2022 №</w:t>
      </w:r>
      <w:r>
        <w:rPr>
          <w:rFonts w:ascii="PT Astra Serif" w:eastAsia="Times New Roman" w:hAnsi="PT Astra Serif" w:cs="Times New Roman"/>
          <w:szCs w:val="28"/>
        </w:rPr>
        <w:t> </w:t>
      </w:r>
      <w:r w:rsidRPr="00ED6292">
        <w:rPr>
          <w:rFonts w:ascii="PT Astra Serif" w:eastAsia="Times New Roman" w:hAnsi="PT Astra Serif" w:cs="Times New Roman"/>
          <w:szCs w:val="28"/>
        </w:rPr>
        <w:t>101-П).</w:t>
      </w:r>
    </w:p>
    <w:p w14:paraId="14E95BA1" w14:textId="38E134FB" w:rsidR="007222A5" w:rsidRPr="00ED6292" w:rsidRDefault="007222A5" w:rsidP="007222A5">
      <w:pPr>
        <w:widowControl w:val="0"/>
        <w:shd w:val="clear" w:color="auto" w:fill="FFFFFF"/>
        <w:rPr>
          <w:rFonts w:ascii="PT Astra Serif" w:eastAsia="Times New Roman" w:hAnsi="PT Astra Serif" w:cs="Times New Roman"/>
          <w:szCs w:val="28"/>
        </w:rPr>
      </w:pPr>
      <w:r w:rsidRPr="00ED6292">
        <w:rPr>
          <w:rFonts w:ascii="PT Astra Serif" w:eastAsia="Times New Roman" w:hAnsi="PT Astra Serif" w:cs="Times New Roman"/>
          <w:szCs w:val="28"/>
        </w:rPr>
        <w:t>на реализацию календарного плана комплексных и спортивно-массовых оздоровительных мероприятии в сумме 19,2 млн рублей.</w:t>
      </w:r>
    </w:p>
    <w:p w14:paraId="576CE151" w14:textId="6E307B88" w:rsidR="007222A5" w:rsidRPr="00ED6292" w:rsidRDefault="007222A5" w:rsidP="007222A5">
      <w:pPr>
        <w:widowControl w:val="0"/>
        <w:shd w:val="clear" w:color="auto" w:fill="FFFFFF"/>
        <w:rPr>
          <w:rFonts w:ascii="PT Astra Serif" w:eastAsia="PT Serif" w:hAnsi="PT Astra Serif" w:cs="PT Serif"/>
          <w:bCs/>
          <w:szCs w:val="28"/>
        </w:rPr>
      </w:pPr>
      <w:r w:rsidRPr="00ED6292">
        <w:rPr>
          <w:rFonts w:ascii="PT Astra Serif" w:eastAsia="PT Serif" w:hAnsi="PT Astra Serif" w:cs="PT Serif"/>
          <w:bCs/>
          <w:szCs w:val="28"/>
        </w:rPr>
        <w:t>на деятельность регионального оператора ГТО в 2025 году направлено 5,9 млн рублей.</w:t>
      </w:r>
    </w:p>
    <w:p w14:paraId="070CB240" w14:textId="77777777" w:rsidR="007222A5" w:rsidRPr="00ED6292" w:rsidRDefault="007222A5" w:rsidP="007222A5">
      <w:pPr>
        <w:widowControl w:val="0"/>
        <w:rPr>
          <w:rFonts w:ascii="PT Astra Serif" w:hAnsi="PT Astra Serif"/>
          <w:szCs w:val="28"/>
        </w:rPr>
      </w:pPr>
      <w:r w:rsidRPr="00ED6292">
        <w:rPr>
          <w:rFonts w:ascii="PT Astra Serif" w:hAnsi="PT Astra Serif"/>
          <w:szCs w:val="28"/>
        </w:rPr>
        <w:t xml:space="preserve">2025 год в </w:t>
      </w:r>
      <w:r>
        <w:rPr>
          <w:rFonts w:ascii="PT Astra Serif" w:hAnsi="PT Astra Serif"/>
          <w:szCs w:val="28"/>
        </w:rPr>
        <w:t xml:space="preserve">Российской Федерации </w:t>
      </w:r>
      <w:r w:rsidRPr="00ED6292">
        <w:rPr>
          <w:rFonts w:ascii="PT Astra Serif" w:hAnsi="PT Astra Serif"/>
          <w:szCs w:val="28"/>
        </w:rPr>
        <w:t xml:space="preserve">прошел под эгидой празднования </w:t>
      </w:r>
      <w:r>
        <w:rPr>
          <w:rFonts w:ascii="PT Astra Serif" w:hAnsi="PT Astra Serif"/>
          <w:szCs w:val="28"/>
        </w:rPr>
        <w:br/>
      </w:r>
      <w:r w:rsidRPr="00ED6292">
        <w:rPr>
          <w:rFonts w:ascii="PT Astra Serif" w:hAnsi="PT Astra Serif"/>
          <w:szCs w:val="28"/>
        </w:rPr>
        <w:t>80-й годовщины Победы в Великой Отечественной войне 1941</w:t>
      </w:r>
      <w:r>
        <w:rPr>
          <w:rFonts w:ascii="PT Astra Serif" w:hAnsi="PT Astra Serif"/>
          <w:szCs w:val="28"/>
        </w:rPr>
        <w:t xml:space="preserve"> </w:t>
      </w:r>
      <w:r w:rsidRPr="00ED6292">
        <w:rPr>
          <w:rFonts w:ascii="PT Astra Serif" w:hAnsi="PT Astra Serif"/>
          <w:szCs w:val="28"/>
        </w:rPr>
        <w:t>-</w:t>
      </w:r>
      <w:r>
        <w:rPr>
          <w:rFonts w:ascii="PT Astra Serif" w:hAnsi="PT Astra Serif"/>
          <w:szCs w:val="28"/>
        </w:rPr>
        <w:t xml:space="preserve"> </w:t>
      </w:r>
      <w:r w:rsidRPr="00ED6292">
        <w:rPr>
          <w:rFonts w:ascii="PT Astra Serif" w:hAnsi="PT Astra Serif"/>
          <w:szCs w:val="28"/>
        </w:rPr>
        <w:t xml:space="preserve">1945 годов </w:t>
      </w:r>
      <w:r>
        <w:rPr>
          <w:rFonts w:ascii="PT Astra Serif" w:hAnsi="PT Astra Serif"/>
          <w:szCs w:val="28"/>
        </w:rPr>
        <w:br/>
      </w:r>
      <w:r w:rsidRPr="00ED6292">
        <w:rPr>
          <w:rFonts w:ascii="PT Astra Serif" w:hAnsi="PT Astra Serif"/>
          <w:szCs w:val="28"/>
        </w:rPr>
        <w:t xml:space="preserve">и Года Защитников Отечества. В рамках тематического года в Ульяновской </w:t>
      </w:r>
      <w:r w:rsidRPr="00ED6292">
        <w:rPr>
          <w:rFonts w:ascii="PT Astra Serif" w:hAnsi="PT Astra Serif"/>
          <w:szCs w:val="28"/>
        </w:rPr>
        <w:lastRenderedPageBreak/>
        <w:t xml:space="preserve">области организовано и проведено свыше 250 физкультурно-спортивных мероприятий, посвященных историческим памятным датам, подвигам героев прошлого и современности, формируя непрерывную связь поколений </w:t>
      </w:r>
      <w:r>
        <w:rPr>
          <w:rFonts w:ascii="PT Astra Serif" w:hAnsi="PT Astra Serif"/>
          <w:szCs w:val="28"/>
        </w:rPr>
        <w:br/>
      </w:r>
      <w:r w:rsidRPr="00ED6292">
        <w:rPr>
          <w:rFonts w:ascii="PT Astra Serif" w:hAnsi="PT Astra Serif"/>
          <w:szCs w:val="28"/>
        </w:rPr>
        <w:t>и укрепляя чувство патриотизма у жителей региона. В рамках поддержки наших героев, бойцов специальной военной операции и участников других вооруженных конфликтов активизирована работа по вовлечению ветеранов боевых действий в спортивную жизнь.</w:t>
      </w:r>
    </w:p>
    <w:p w14:paraId="0D1F0237" w14:textId="77777777" w:rsidR="007222A5" w:rsidRPr="00ED6292" w:rsidRDefault="007222A5" w:rsidP="007222A5">
      <w:pPr>
        <w:widowControl w:val="0"/>
        <w:rPr>
          <w:rFonts w:ascii="PT Astra Serif" w:hAnsi="PT Astra Serif"/>
          <w:szCs w:val="28"/>
        </w:rPr>
      </w:pPr>
      <w:r w:rsidRPr="00ED6292">
        <w:rPr>
          <w:rFonts w:ascii="PT Astra Serif" w:hAnsi="PT Astra Serif"/>
          <w:szCs w:val="28"/>
        </w:rPr>
        <w:t>Было проведено свыше 85 спортивно-массовых региональных мероприятия, в которых приняли участие более 1</w:t>
      </w:r>
      <w:r>
        <w:rPr>
          <w:rFonts w:ascii="PT Astra Serif" w:hAnsi="PT Astra Serif"/>
          <w:szCs w:val="28"/>
        </w:rPr>
        <w:t> </w:t>
      </w:r>
      <w:r w:rsidRPr="00ED6292">
        <w:rPr>
          <w:rFonts w:ascii="PT Astra Serif" w:hAnsi="PT Astra Serif"/>
          <w:szCs w:val="28"/>
        </w:rPr>
        <w:t xml:space="preserve">500 инвалидов, включая детей-инвалидов: чемпионаты и первенства города и Ульяновской области по адаптивным видам и дисциплинам спорта (спорт лиц с поражением опорно-двигательного аппарата, интеллектуальными нарушениями, спорт слепых </w:t>
      </w:r>
      <w:r>
        <w:rPr>
          <w:rFonts w:ascii="PT Astra Serif" w:hAnsi="PT Astra Serif"/>
          <w:szCs w:val="28"/>
        </w:rPr>
        <w:br/>
      </w:r>
      <w:r w:rsidRPr="00ED6292">
        <w:rPr>
          <w:rFonts w:ascii="PT Astra Serif" w:hAnsi="PT Astra Serif"/>
          <w:szCs w:val="28"/>
        </w:rPr>
        <w:t xml:space="preserve">и глухих), V юбилейные детские </w:t>
      </w:r>
      <w:proofErr w:type="spellStart"/>
      <w:r w:rsidRPr="00ED6292">
        <w:rPr>
          <w:rFonts w:ascii="PT Astra Serif" w:hAnsi="PT Astra Serif"/>
          <w:szCs w:val="28"/>
        </w:rPr>
        <w:t>паралимпийские</w:t>
      </w:r>
      <w:proofErr w:type="spellEnd"/>
      <w:r w:rsidRPr="00ED6292">
        <w:rPr>
          <w:rFonts w:ascii="PT Astra Serif" w:hAnsi="PT Astra Serif"/>
          <w:szCs w:val="28"/>
        </w:rPr>
        <w:t xml:space="preserve"> игры с участием более 300 детей-инвалидов, мастер-классы именитых </w:t>
      </w:r>
      <w:proofErr w:type="spellStart"/>
      <w:r w:rsidRPr="00ED6292">
        <w:rPr>
          <w:rFonts w:ascii="PT Astra Serif" w:hAnsi="PT Astra Serif"/>
          <w:szCs w:val="28"/>
        </w:rPr>
        <w:t>паралимпийцев</w:t>
      </w:r>
      <w:proofErr w:type="spellEnd"/>
      <w:r w:rsidRPr="00ED6292">
        <w:rPr>
          <w:rFonts w:ascii="PT Astra Serif" w:hAnsi="PT Astra Serif"/>
          <w:szCs w:val="28"/>
        </w:rPr>
        <w:t>, открытые уроки мужества в школах-интернатах.</w:t>
      </w:r>
    </w:p>
    <w:p w14:paraId="79A4BDF6" w14:textId="258A5CA6"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2025 году традиционная легкоатлетическая эстафета на приз газеты «Ульяновская правда» получила статус всероссийской, и е</w:t>
      </w:r>
      <w:r>
        <w:rPr>
          <w:rFonts w:ascii="PT Astra Serif" w:eastAsia="Times New Roman" w:hAnsi="PT Astra Serif"/>
          <w:szCs w:val="28"/>
        </w:rPr>
        <w:t>ё</w:t>
      </w:r>
      <w:r w:rsidRPr="00ED6292">
        <w:rPr>
          <w:rFonts w:ascii="PT Astra Serif" w:eastAsia="Times New Roman" w:hAnsi="PT Astra Serif"/>
          <w:szCs w:val="28"/>
        </w:rPr>
        <w:t xml:space="preserve"> почетным гостем стал Министр спорта России М</w:t>
      </w:r>
      <w:r w:rsidR="00EB15FA">
        <w:rPr>
          <w:rFonts w:ascii="PT Astra Serif" w:eastAsia="Times New Roman" w:hAnsi="PT Astra Serif"/>
          <w:szCs w:val="28"/>
        </w:rPr>
        <w:t>. </w:t>
      </w:r>
      <w:proofErr w:type="spellStart"/>
      <w:r w:rsidRPr="00ED6292">
        <w:rPr>
          <w:rFonts w:ascii="PT Astra Serif" w:eastAsia="Times New Roman" w:hAnsi="PT Astra Serif"/>
          <w:szCs w:val="28"/>
        </w:rPr>
        <w:t>Дягтерев</w:t>
      </w:r>
      <w:proofErr w:type="spellEnd"/>
      <w:r w:rsidRPr="00ED6292">
        <w:rPr>
          <w:rFonts w:ascii="PT Astra Serif" w:eastAsia="Times New Roman" w:hAnsi="PT Astra Serif"/>
          <w:szCs w:val="28"/>
        </w:rPr>
        <w:t xml:space="preserve">. В Ульяновске он также посетил Кубок России по бодибилдингу и Всероссийские соревнования по художественной гимнастике общества «Динамо» «Волжская весна». </w:t>
      </w:r>
    </w:p>
    <w:p w14:paraId="4018793C" w14:textId="56DA6C8F" w:rsidR="007222A5" w:rsidRPr="00ED6292" w:rsidRDefault="007222A5" w:rsidP="007222A5">
      <w:pPr>
        <w:widowControl w:val="0"/>
        <w:rPr>
          <w:rFonts w:ascii="PT Astra Serif" w:eastAsia="PT Serif" w:hAnsi="PT Astra Serif" w:cs="PT Serif"/>
          <w:szCs w:val="28"/>
        </w:rPr>
      </w:pPr>
      <w:r w:rsidRPr="00ED6292">
        <w:rPr>
          <w:rFonts w:ascii="PT Astra Serif" w:eastAsia="PT Serif" w:hAnsi="PT Astra Serif" w:cs="PT Serif"/>
          <w:szCs w:val="28"/>
        </w:rPr>
        <w:t>Особо знаковым событием для отрасли спорта в год Защитников Отечества стало решение о присвоении областной спортивной школе по хоккею «Лидер» имени Героя СВО Н</w:t>
      </w:r>
      <w:r w:rsidR="00EB15FA">
        <w:rPr>
          <w:rFonts w:ascii="PT Astra Serif" w:eastAsia="PT Serif" w:hAnsi="PT Astra Serif" w:cs="PT Serif"/>
          <w:szCs w:val="28"/>
        </w:rPr>
        <w:t>.П </w:t>
      </w:r>
      <w:proofErr w:type="spellStart"/>
      <w:r w:rsidRPr="00ED6292">
        <w:rPr>
          <w:rFonts w:ascii="PT Astra Serif" w:eastAsia="PT Serif" w:hAnsi="PT Astra Serif" w:cs="PT Serif"/>
          <w:szCs w:val="28"/>
        </w:rPr>
        <w:t>Юманова</w:t>
      </w:r>
      <w:proofErr w:type="spellEnd"/>
      <w:r w:rsidRPr="00ED6292">
        <w:rPr>
          <w:rFonts w:ascii="PT Astra Serif" w:eastAsia="PT Serif" w:hAnsi="PT Astra Serif" w:cs="PT Serif"/>
          <w:szCs w:val="28"/>
        </w:rPr>
        <w:t xml:space="preserve">. Директор спортивной школы по хоккею «Лидер» </w:t>
      </w:r>
      <w:r w:rsidR="00EB15FA" w:rsidRPr="00ED6292">
        <w:rPr>
          <w:rFonts w:ascii="PT Astra Serif" w:eastAsia="PT Serif" w:hAnsi="PT Astra Serif" w:cs="PT Serif"/>
          <w:szCs w:val="28"/>
        </w:rPr>
        <w:t>Н</w:t>
      </w:r>
      <w:r w:rsidR="00EB15FA">
        <w:rPr>
          <w:rFonts w:ascii="PT Astra Serif" w:eastAsia="PT Serif" w:hAnsi="PT Astra Serif" w:cs="PT Serif"/>
          <w:szCs w:val="28"/>
        </w:rPr>
        <w:t>.</w:t>
      </w:r>
      <w:r w:rsidR="00EB15FA" w:rsidRPr="00ED6292">
        <w:rPr>
          <w:rFonts w:ascii="PT Astra Serif" w:eastAsia="PT Serif" w:hAnsi="PT Astra Serif" w:cs="PT Serif"/>
          <w:szCs w:val="28"/>
        </w:rPr>
        <w:t>П</w:t>
      </w:r>
      <w:r w:rsidR="00EB15FA">
        <w:rPr>
          <w:rFonts w:ascii="PT Astra Serif" w:eastAsia="PT Serif" w:hAnsi="PT Astra Serif" w:cs="PT Serif"/>
          <w:szCs w:val="28"/>
        </w:rPr>
        <w:t>. </w:t>
      </w:r>
      <w:proofErr w:type="spellStart"/>
      <w:r w:rsidRPr="00ED6292">
        <w:rPr>
          <w:rFonts w:ascii="PT Astra Serif" w:eastAsia="PT Serif" w:hAnsi="PT Astra Serif" w:cs="PT Serif"/>
          <w:szCs w:val="28"/>
        </w:rPr>
        <w:t>Юманов</w:t>
      </w:r>
      <w:proofErr w:type="spellEnd"/>
      <w:r w:rsidRPr="00ED6292">
        <w:rPr>
          <w:rFonts w:ascii="PT Astra Serif" w:eastAsia="PT Serif" w:hAnsi="PT Astra Serif" w:cs="PT Serif"/>
          <w:szCs w:val="28"/>
        </w:rPr>
        <w:t xml:space="preserve"> погиб при исполнении воинского долга в ходе специальной военной операции, посмертно награжден орденом Мужества.</w:t>
      </w:r>
    </w:p>
    <w:p w14:paraId="05EFB7CF" w14:textId="77777777" w:rsidR="007222A5" w:rsidRPr="00ED6292" w:rsidRDefault="007222A5" w:rsidP="007222A5">
      <w:pPr>
        <w:widowControl w:val="0"/>
        <w:ind w:firstLine="0"/>
        <w:jc w:val="center"/>
        <w:rPr>
          <w:rFonts w:ascii="PT Astra Serif" w:eastAsia="Times New Roman" w:hAnsi="PT Astra Serif"/>
          <w:b/>
          <w:szCs w:val="28"/>
        </w:rPr>
      </w:pPr>
    </w:p>
    <w:p w14:paraId="586B3ED7" w14:textId="77777777"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Развитие адаптивного спорта</w:t>
      </w:r>
    </w:p>
    <w:p w14:paraId="25569240" w14:textId="77777777" w:rsidR="007222A5" w:rsidRPr="00ED6292" w:rsidRDefault="007222A5" w:rsidP="007222A5">
      <w:pPr>
        <w:widowControl w:val="0"/>
        <w:ind w:firstLine="0"/>
        <w:jc w:val="center"/>
        <w:rPr>
          <w:rFonts w:ascii="PT Astra Serif" w:eastAsia="Times New Roman" w:hAnsi="PT Astra Serif"/>
          <w:b/>
          <w:szCs w:val="28"/>
        </w:rPr>
      </w:pPr>
    </w:p>
    <w:p w14:paraId="05357A6B"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регионе 7 региональных отделений всероссийских общественных организаций и 2 общественных организации развивающих спорт инвалидов развивают и популяризируют 27 адаптивных видов спорта и спортивных дисциплин для инвалидов и людей с ограниченными возможностями здоровья. Наиболее массовыми и востребованными из них являются: лёгкая атлетика, плавание, бадминтон, настольный теннис, </w:t>
      </w:r>
      <w:proofErr w:type="spellStart"/>
      <w:r w:rsidRPr="00ED6292">
        <w:rPr>
          <w:rFonts w:ascii="PT Astra Serif" w:eastAsia="Times New Roman" w:hAnsi="PT Astra Serif"/>
          <w:szCs w:val="28"/>
        </w:rPr>
        <w:t>бочча</w:t>
      </w:r>
      <w:proofErr w:type="spellEnd"/>
      <w:r w:rsidRPr="00ED6292">
        <w:rPr>
          <w:rFonts w:ascii="PT Astra Serif" w:eastAsia="Times New Roman" w:hAnsi="PT Astra Serif"/>
          <w:szCs w:val="28"/>
        </w:rPr>
        <w:t xml:space="preserve">, </w:t>
      </w:r>
      <w:proofErr w:type="spellStart"/>
      <w:r w:rsidRPr="00ED6292">
        <w:rPr>
          <w:rFonts w:ascii="PT Astra Serif" w:eastAsia="Times New Roman" w:hAnsi="PT Astra Serif"/>
          <w:szCs w:val="28"/>
        </w:rPr>
        <w:t>футзал</w:t>
      </w:r>
      <w:proofErr w:type="spellEnd"/>
      <w:r w:rsidRPr="00ED6292">
        <w:rPr>
          <w:rFonts w:ascii="PT Astra Serif" w:eastAsia="Times New Roman" w:hAnsi="PT Astra Serif"/>
          <w:szCs w:val="28"/>
        </w:rPr>
        <w:t xml:space="preserve">, </w:t>
      </w:r>
      <w:proofErr w:type="spellStart"/>
      <w:r w:rsidRPr="00ED6292">
        <w:rPr>
          <w:rFonts w:ascii="PT Astra Serif" w:eastAsia="Times New Roman" w:hAnsi="PT Astra Serif"/>
          <w:szCs w:val="28"/>
        </w:rPr>
        <w:t>паратхэквондо</w:t>
      </w:r>
      <w:proofErr w:type="spellEnd"/>
      <w:r w:rsidRPr="00ED6292">
        <w:rPr>
          <w:rFonts w:ascii="PT Astra Serif" w:eastAsia="Times New Roman" w:hAnsi="PT Astra Serif"/>
          <w:szCs w:val="28"/>
        </w:rPr>
        <w:t xml:space="preserve"> </w:t>
      </w:r>
      <w:r w:rsidRPr="00ED6292">
        <w:rPr>
          <w:rFonts w:ascii="PT Astra Serif" w:eastAsia="Times New Roman" w:hAnsi="PT Astra Serif"/>
          <w:szCs w:val="28"/>
        </w:rPr>
        <w:br/>
        <w:t>и тхэквондо-</w:t>
      </w:r>
      <w:proofErr w:type="spellStart"/>
      <w:r w:rsidRPr="00ED6292">
        <w:rPr>
          <w:rFonts w:ascii="PT Astra Serif" w:eastAsia="Times New Roman" w:hAnsi="PT Astra Serif"/>
          <w:szCs w:val="28"/>
        </w:rPr>
        <w:t>пхумсэ</w:t>
      </w:r>
      <w:proofErr w:type="spellEnd"/>
      <w:r w:rsidRPr="00ED6292">
        <w:rPr>
          <w:rFonts w:ascii="PT Astra Serif" w:eastAsia="Times New Roman" w:hAnsi="PT Astra Serif"/>
          <w:szCs w:val="28"/>
        </w:rPr>
        <w:t xml:space="preserve">, баскетбол на колясках, пауэрлифтинг, армрестлинг, греко-римская борьба, дзюдо, шашки, шахматы, </w:t>
      </w:r>
      <w:proofErr w:type="spellStart"/>
      <w:r w:rsidRPr="00ED6292">
        <w:rPr>
          <w:rFonts w:ascii="PT Astra Serif" w:eastAsia="Times New Roman" w:hAnsi="PT Astra Serif"/>
          <w:szCs w:val="28"/>
        </w:rPr>
        <w:t>шаффлборд</w:t>
      </w:r>
      <w:proofErr w:type="spellEnd"/>
      <w:r w:rsidRPr="00ED6292">
        <w:rPr>
          <w:rFonts w:ascii="PT Astra Serif" w:eastAsia="Times New Roman" w:hAnsi="PT Astra Serif"/>
          <w:szCs w:val="28"/>
        </w:rPr>
        <w:t xml:space="preserve">, </w:t>
      </w:r>
      <w:proofErr w:type="spellStart"/>
      <w:r w:rsidRPr="00ED6292">
        <w:rPr>
          <w:rFonts w:ascii="PT Astra Serif" w:eastAsia="Times New Roman" w:hAnsi="PT Astra Serif"/>
          <w:szCs w:val="28"/>
        </w:rPr>
        <w:t>новус</w:t>
      </w:r>
      <w:proofErr w:type="spellEnd"/>
      <w:r w:rsidRPr="00ED6292">
        <w:rPr>
          <w:rFonts w:ascii="PT Astra Serif" w:eastAsia="Times New Roman" w:hAnsi="PT Astra Serif"/>
          <w:szCs w:val="28"/>
        </w:rPr>
        <w:t xml:space="preserve">, танцы на колясках, </w:t>
      </w:r>
      <w:proofErr w:type="spellStart"/>
      <w:r w:rsidRPr="00ED6292">
        <w:rPr>
          <w:rFonts w:ascii="PT Astra Serif" w:eastAsia="Times New Roman" w:hAnsi="PT Astra Serif"/>
          <w:szCs w:val="28"/>
        </w:rPr>
        <w:t>дартс</w:t>
      </w:r>
      <w:proofErr w:type="spellEnd"/>
      <w:r w:rsidRPr="00ED6292">
        <w:rPr>
          <w:rFonts w:ascii="PT Astra Serif" w:eastAsia="Times New Roman" w:hAnsi="PT Astra Serif"/>
          <w:szCs w:val="28"/>
        </w:rPr>
        <w:t>, городошный спорт и другие.</w:t>
      </w:r>
    </w:p>
    <w:p w14:paraId="6FA61430"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На базе Ульяновского государственного университета функционирует факультет физической культуры и реабилитации, который обеспечивает регион специалистами по адаптивной физической культуре и адаптивному спорту.</w:t>
      </w:r>
    </w:p>
    <w:p w14:paraId="516173EA"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С сентября 2016 года открыто областное государственное казённое учреждение «Ульяновская спортивно-адаптивная школа». Стратегической задачей адаптивной школы является социальная адаптация инвалидов и лиц</w:t>
      </w:r>
      <w:r w:rsidRPr="00ED6292">
        <w:rPr>
          <w:rFonts w:ascii="PT Astra Serif" w:eastAsia="Times New Roman" w:hAnsi="PT Astra Serif"/>
          <w:szCs w:val="28"/>
        </w:rPr>
        <w:br/>
      </w:r>
      <w:r w:rsidRPr="00ED6292">
        <w:rPr>
          <w:rFonts w:ascii="PT Astra Serif" w:eastAsia="Times New Roman" w:hAnsi="PT Astra Serif"/>
          <w:szCs w:val="28"/>
        </w:rPr>
        <w:lastRenderedPageBreak/>
        <w:t xml:space="preserve"> с ограниченными возможностями здоровья, в том числе и детей-инвалидов, </w:t>
      </w:r>
      <w:r w:rsidRPr="00ED6292">
        <w:rPr>
          <w:rFonts w:ascii="PT Astra Serif" w:eastAsia="Times New Roman" w:hAnsi="PT Astra Serif"/>
          <w:szCs w:val="28"/>
        </w:rPr>
        <w:br/>
        <w:t xml:space="preserve">и привлечение их к занятиям физической культурой и спортом, а также подготовка спортсменов высшего спортивного мастерства. С апреля 2023 года Ульяновской спортивно-адаптивной школе присвоен статус </w:t>
      </w:r>
      <w:proofErr w:type="spellStart"/>
      <w:r w:rsidRPr="00ED6292">
        <w:rPr>
          <w:rFonts w:ascii="PT Astra Serif" w:eastAsia="Times New Roman" w:hAnsi="PT Astra Serif"/>
          <w:szCs w:val="28"/>
        </w:rPr>
        <w:t>паралимпийского</w:t>
      </w:r>
      <w:proofErr w:type="spellEnd"/>
      <w:r w:rsidRPr="00ED6292">
        <w:rPr>
          <w:rFonts w:ascii="PT Astra Serif" w:eastAsia="Times New Roman" w:hAnsi="PT Astra Serif"/>
          <w:szCs w:val="28"/>
        </w:rPr>
        <w:t xml:space="preserve"> и </w:t>
      </w:r>
      <w:proofErr w:type="spellStart"/>
      <w:r w:rsidRPr="00ED6292">
        <w:rPr>
          <w:rFonts w:ascii="PT Astra Serif" w:eastAsia="Times New Roman" w:hAnsi="PT Astra Serif"/>
          <w:szCs w:val="28"/>
        </w:rPr>
        <w:t>сурдлимпийского</w:t>
      </w:r>
      <w:proofErr w:type="spellEnd"/>
      <w:r w:rsidRPr="00ED6292">
        <w:rPr>
          <w:rFonts w:ascii="PT Astra Serif" w:eastAsia="Times New Roman" w:hAnsi="PT Astra Serif"/>
          <w:szCs w:val="28"/>
        </w:rPr>
        <w:t xml:space="preserve"> резерва.</w:t>
      </w:r>
    </w:p>
    <w:p w14:paraId="22A8C93A"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На базе адаптивной школы реализуются программы спортивной подготовки по многим направлениям адаптивного спорта (</w:t>
      </w:r>
      <w:proofErr w:type="spellStart"/>
      <w:r w:rsidRPr="00ED6292">
        <w:rPr>
          <w:rFonts w:ascii="PT Astra Serif" w:eastAsia="Times New Roman" w:hAnsi="PT Astra Serif"/>
          <w:szCs w:val="28"/>
        </w:rPr>
        <w:t>паралимпийские</w:t>
      </w:r>
      <w:proofErr w:type="spellEnd"/>
      <w:r w:rsidRPr="00ED6292">
        <w:rPr>
          <w:rFonts w:ascii="PT Astra Serif" w:eastAsia="Times New Roman" w:hAnsi="PT Astra Serif"/>
          <w:szCs w:val="28"/>
        </w:rPr>
        <w:t xml:space="preserve">, неолимпийские и </w:t>
      </w:r>
      <w:proofErr w:type="spellStart"/>
      <w:r w:rsidRPr="00ED6292">
        <w:rPr>
          <w:rFonts w:ascii="PT Astra Serif" w:eastAsia="Times New Roman" w:hAnsi="PT Astra Serif"/>
          <w:szCs w:val="28"/>
        </w:rPr>
        <w:t>сурдлимпийские</w:t>
      </w:r>
      <w:proofErr w:type="spellEnd"/>
      <w:r w:rsidRPr="00ED6292">
        <w:rPr>
          <w:rFonts w:ascii="PT Astra Serif" w:eastAsia="Times New Roman" w:hAnsi="PT Astra Serif"/>
          <w:szCs w:val="28"/>
        </w:rPr>
        <w:t xml:space="preserve"> виды спорта).</w:t>
      </w:r>
    </w:p>
    <w:p w14:paraId="403C7B28" w14:textId="77777777" w:rsidR="007222A5" w:rsidRPr="00E319A6" w:rsidRDefault="007222A5" w:rsidP="007222A5">
      <w:pPr>
        <w:widowControl w:val="0"/>
        <w:rPr>
          <w:rFonts w:ascii="PT Astra Serif" w:eastAsia="Times New Roman" w:hAnsi="PT Astra Serif"/>
          <w:b/>
          <w:bCs/>
          <w:i/>
          <w:sz w:val="24"/>
          <w:szCs w:val="24"/>
          <w:u w:val="single"/>
        </w:rPr>
      </w:pPr>
    </w:p>
    <w:p w14:paraId="6B4D7323" w14:textId="77777777" w:rsidR="007222A5" w:rsidRPr="00E319A6" w:rsidRDefault="007222A5" w:rsidP="007222A5">
      <w:pPr>
        <w:widowControl w:val="0"/>
        <w:rPr>
          <w:rFonts w:ascii="PT Astra Serif" w:eastAsia="Times New Roman" w:hAnsi="PT Astra Serif"/>
          <w:b/>
          <w:bCs/>
          <w:i/>
          <w:sz w:val="24"/>
          <w:szCs w:val="24"/>
          <w:u w:val="single"/>
        </w:rPr>
      </w:pPr>
      <w:r w:rsidRPr="00E319A6">
        <w:rPr>
          <w:rFonts w:ascii="PT Astra Serif" w:eastAsia="Times New Roman" w:hAnsi="PT Astra Serif"/>
          <w:b/>
          <w:bCs/>
          <w:i/>
          <w:sz w:val="24"/>
          <w:szCs w:val="24"/>
          <w:u w:val="single"/>
        </w:rPr>
        <w:t>Справочно:</w:t>
      </w:r>
    </w:p>
    <w:p w14:paraId="1546FC1B" w14:textId="77777777" w:rsidR="007222A5" w:rsidRPr="00ED6292" w:rsidRDefault="007222A5" w:rsidP="007222A5">
      <w:pPr>
        <w:widowControl w:val="0"/>
        <w:rPr>
          <w:rFonts w:ascii="PT Astra Serif" w:eastAsia="Times New Roman" w:hAnsi="PT Astra Serif"/>
          <w:i/>
          <w:sz w:val="24"/>
          <w:szCs w:val="24"/>
        </w:rPr>
      </w:pPr>
      <w:r w:rsidRPr="00ED6292">
        <w:rPr>
          <w:rFonts w:ascii="PT Astra Serif" w:eastAsia="Times New Roman" w:hAnsi="PT Astra Serif"/>
          <w:i/>
          <w:sz w:val="24"/>
          <w:szCs w:val="24"/>
        </w:rPr>
        <w:t xml:space="preserve">спорт лиц с поражением опорно-двигательного аппарата: бадминтон, легкая атлетика, настольный теннис, плавание, баскетбол на колясках, пауэрлифтинг, </w:t>
      </w:r>
      <w:proofErr w:type="spellStart"/>
      <w:r w:rsidRPr="00ED6292">
        <w:rPr>
          <w:rFonts w:ascii="PT Astra Serif" w:eastAsia="Times New Roman" w:hAnsi="PT Astra Serif"/>
          <w:i/>
          <w:sz w:val="24"/>
          <w:szCs w:val="24"/>
        </w:rPr>
        <w:t>бочча</w:t>
      </w:r>
      <w:proofErr w:type="spellEnd"/>
      <w:r w:rsidRPr="00ED6292">
        <w:rPr>
          <w:rFonts w:ascii="PT Astra Serif" w:eastAsia="Times New Roman" w:hAnsi="PT Astra Serif"/>
          <w:i/>
          <w:sz w:val="24"/>
          <w:szCs w:val="24"/>
        </w:rPr>
        <w:t>, армрестлинг;</w:t>
      </w:r>
    </w:p>
    <w:p w14:paraId="5F424AFC" w14:textId="77777777" w:rsidR="007222A5" w:rsidRPr="00ED6292" w:rsidRDefault="007222A5" w:rsidP="007222A5">
      <w:pPr>
        <w:widowControl w:val="0"/>
        <w:rPr>
          <w:rFonts w:ascii="PT Astra Serif" w:eastAsia="Times New Roman" w:hAnsi="PT Astra Serif"/>
          <w:i/>
          <w:sz w:val="24"/>
          <w:szCs w:val="24"/>
        </w:rPr>
      </w:pPr>
      <w:r w:rsidRPr="00ED6292">
        <w:rPr>
          <w:rFonts w:ascii="PT Astra Serif" w:eastAsia="Times New Roman" w:hAnsi="PT Astra Serif"/>
          <w:i/>
          <w:sz w:val="24"/>
          <w:szCs w:val="24"/>
        </w:rPr>
        <w:t xml:space="preserve">спорт глухих: легкая атлетика, </w:t>
      </w:r>
      <w:proofErr w:type="spellStart"/>
      <w:r w:rsidRPr="00ED6292">
        <w:rPr>
          <w:rFonts w:ascii="PT Astra Serif" w:eastAsia="Times New Roman" w:hAnsi="PT Astra Serif"/>
          <w:i/>
          <w:sz w:val="24"/>
          <w:szCs w:val="24"/>
        </w:rPr>
        <w:t>футзал</w:t>
      </w:r>
      <w:proofErr w:type="spellEnd"/>
      <w:r w:rsidRPr="00ED6292">
        <w:rPr>
          <w:rFonts w:ascii="PT Astra Serif" w:eastAsia="Times New Roman" w:hAnsi="PT Astra Serif"/>
          <w:i/>
          <w:sz w:val="24"/>
          <w:szCs w:val="24"/>
        </w:rPr>
        <w:t>, греко-римская борьба;</w:t>
      </w:r>
    </w:p>
    <w:p w14:paraId="0D4381B6" w14:textId="77777777" w:rsidR="007222A5" w:rsidRPr="00ED6292" w:rsidRDefault="007222A5" w:rsidP="007222A5">
      <w:pPr>
        <w:widowControl w:val="0"/>
        <w:rPr>
          <w:rFonts w:ascii="PT Astra Serif" w:eastAsia="Times New Roman" w:hAnsi="PT Astra Serif"/>
          <w:i/>
          <w:sz w:val="24"/>
          <w:szCs w:val="24"/>
        </w:rPr>
      </w:pPr>
      <w:r w:rsidRPr="00ED6292">
        <w:rPr>
          <w:rFonts w:ascii="PT Astra Serif" w:eastAsia="Times New Roman" w:hAnsi="PT Astra Serif"/>
          <w:i/>
          <w:sz w:val="24"/>
          <w:szCs w:val="24"/>
        </w:rPr>
        <w:t>спорт слепых: дзюдо, легкая атлетика, пауэрлифтинг, плавание, самбо, настольный теннис;</w:t>
      </w:r>
    </w:p>
    <w:p w14:paraId="71D3E6A0" w14:textId="77777777" w:rsidR="007222A5" w:rsidRPr="00ED6292" w:rsidRDefault="007222A5" w:rsidP="007222A5">
      <w:pPr>
        <w:widowControl w:val="0"/>
        <w:rPr>
          <w:rFonts w:ascii="PT Astra Serif" w:eastAsia="Times New Roman" w:hAnsi="PT Astra Serif"/>
          <w:i/>
          <w:sz w:val="24"/>
          <w:szCs w:val="24"/>
        </w:rPr>
      </w:pPr>
      <w:r w:rsidRPr="00ED6292">
        <w:rPr>
          <w:rFonts w:ascii="PT Astra Serif" w:eastAsia="Times New Roman" w:hAnsi="PT Astra Serif"/>
          <w:i/>
          <w:sz w:val="24"/>
          <w:szCs w:val="24"/>
        </w:rPr>
        <w:t>спорт лиц с интеллектуальными нарушениями: лёгкая атлетика, плавание, баскетбол, бадминтон, дзюдо, тхэквондо-</w:t>
      </w:r>
      <w:proofErr w:type="spellStart"/>
      <w:r w:rsidRPr="00ED6292">
        <w:rPr>
          <w:rFonts w:ascii="PT Astra Serif" w:eastAsia="Times New Roman" w:hAnsi="PT Astra Serif"/>
          <w:i/>
          <w:sz w:val="24"/>
          <w:szCs w:val="24"/>
        </w:rPr>
        <w:t>пхумсэ</w:t>
      </w:r>
      <w:proofErr w:type="spellEnd"/>
      <w:r w:rsidRPr="00ED6292">
        <w:rPr>
          <w:rFonts w:ascii="PT Astra Serif" w:eastAsia="Times New Roman" w:hAnsi="PT Astra Serif"/>
          <w:i/>
          <w:sz w:val="24"/>
          <w:szCs w:val="24"/>
        </w:rPr>
        <w:t>.</w:t>
      </w:r>
    </w:p>
    <w:p w14:paraId="69437B36" w14:textId="77777777" w:rsidR="007222A5" w:rsidRPr="00ED6292" w:rsidRDefault="007222A5" w:rsidP="007222A5">
      <w:pPr>
        <w:widowControl w:val="0"/>
        <w:rPr>
          <w:rFonts w:ascii="PT Astra Serif" w:eastAsia="Times New Roman" w:hAnsi="PT Astra Serif"/>
          <w:szCs w:val="28"/>
        </w:rPr>
      </w:pPr>
    </w:p>
    <w:p w14:paraId="5CDAC6D1"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С целью реализации своей основной деятельности спортивно-адаптивная школа заключает договора на безвозмездной основе со спортивными объектами Ульяновской области для осуществления тренировочного процесса и проведения соревнований спортсменов-инвалидов школы: физкультурно-оздоровительные комплексы, бассейны, открытые спортивные площадки и стадионы, легкоатлетический манеж, детско-юношеские спортивные школы, спортивные площадки образовательных организаций.</w:t>
      </w:r>
    </w:p>
    <w:p w14:paraId="500A37F6" w14:textId="77777777"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В рамках вовлечения детей-инвалидов и детей с ОВЗ в занятия адаптивной физической культурой и адаптивным спортом, а также проведения физкультурно-спортивных и культурно-массовых мероприятий спортивно-адаптивная школа тесно взаимодействует с областными школами-интернатами.</w:t>
      </w:r>
    </w:p>
    <w:p w14:paraId="3311B1C2" w14:textId="3F786278"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По состоянию на 01</w:t>
      </w:r>
      <w:r w:rsidR="00B158EE">
        <w:rPr>
          <w:rFonts w:ascii="PT Astra Serif" w:eastAsia="Times New Roman" w:hAnsi="PT Astra Serif"/>
          <w:szCs w:val="28"/>
        </w:rPr>
        <w:t xml:space="preserve"> января </w:t>
      </w:r>
      <w:r w:rsidRPr="00ED6292">
        <w:rPr>
          <w:rFonts w:ascii="PT Astra Serif" w:eastAsia="Times New Roman" w:hAnsi="PT Astra Serif"/>
          <w:szCs w:val="28"/>
        </w:rPr>
        <w:t>2026</w:t>
      </w:r>
      <w:r w:rsidR="00B158EE">
        <w:rPr>
          <w:rFonts w:ascii="PT Astra Serif" w:eastAsia="Times New Roman" w:hAnsi="PT Astra Serif"/>
          <w:szCs w:val="28"/>
        </w:rPr>
        <w:t xml:space="preserve"> </w:t>
      </w:r>
      <w:r w:rsidRPr="00ED6292">
        <w:rPr>
          <w:rFonts w:ascii="PT Astra Serif" w:eastAsia="Times New Roman" w:hAnsi="PT Astra Serif"/>
          <w:szCs w:val="28"/>
        </w:rPr>
        <w:t>г</w:t>
      </w:r>
      <w:r w:rsidR="00B158EE">
        <w:rPr>
          <w:rFonts w:ascii="PT Astra Serif" w:eastAsia="Times New Roman" w:hAnsi="PT Astra Serif"/>
          <w:szCs w:val="28"/>
        </w:rPr>
        <w:t>ода</w:t>
      </w:r>
      <w:r w:rsidRPr="00ED6292">
        <w:rPr>
          <w:rFonts w:ascii="PT Astra Serif" w:eastAsia="Times New Roman" w:hAnsi="PT Astra Serif"/>
          <w:szCs w:val="28"/>
        </w:rPr>
        <w:t xml:space="preserve"> в спортивно-адаптивной школе занимаются 235 спортсменов-инвалидов и спортсменов с ограниченными возможностями здоровья, из них 89 несовершеннолетних занимающихся </w:t>
      </w:r>
      <w:r>
        <w:rPr>
          <w:rFonts w:ascii="PT Astra Serif" w:eastAsia="Times New Roman" w:hAnsi="PT Astra Serif"/>
          <w:szCs w:val="28"/>
        </w:rPr>
        <w:br/>
      </w:r>
      <w:r w:rsidRPr="00ED6292">
        <w:rPr>
          <w:rFonts w:ascii="PT Astra Serif" w:eastAsia="Times New Roman" w:hAnsi="PT Astra Serif"/>
          <w:szCs w:val="28"/>
        </w:rPr>
        <w:t>и воспитанников, 26 тренеров, из которых 4 Заслуженных тренера России.</w:t>
      </w:r>
    </w:p>
    <w:p w14:paraId="48DD2DB4" w14:textId="77777777" w:rsidR="007222A5" w:rsidRPr="00ED6292" w:rsidRDefault="007222A5" w:rsidP="007222A5">
      <w:pPr>
        <w:widowControl w:val="0"/>
        <w:ind w:firstLine="720"/>
        <w:rPr>
          <w:rFonts w:ascii="PT Astra Serif" w:eastAsia="Times New Roman" w:hAnsi="PT Astra Serif"/>
          <w:szCs w:val="28"/>
        </w:rPr>
      </w:pPr>
      <w:r w:rsidRPr="00ED6292">
        <w:rPr>
          <w:rFonts w:ascii="PT Astra Serif" w:eastAsia="Times New Roman" w:hAnsi="PT Astra Serif"/>
          <w:szCs w:val="28"/>
        </w:rPr>
        <w:t>В 2025 году более 100 спортсменов сборной команды Ульяновской области по адаптивным видам спорта достойно выступили на международных и всероссийских спортивных аренах</w:t>
      </w:r>
      <w:r>
        <w:rPr>
          <w:rFonts w:ascii="PT Astra Serif" w:eastAsia="Times New Roman" w:hAnsi="PT Astra Serif"/>
          <w:szCs w:val="28"/>
        </w:rPr>
        <w:t>:</w:t>
      </w:r>
    </w:p>
    <w:p w14:paraId="682F1E24" w14:textId="77777777" w:rsidR="007222A5" w:rsidRPr="00ED6292" w:rsidRDefault="007222A5" w:rsidP="007222A5">
      <w:pPr>
        <w:widowControl w:val="0"/>
        <w:ind w:firstLine="720"/>
        <w:rPr>
          <w:rFonts w:ascii="PT Astra Serif" w:eastAsia="Times New Roman" w:hAnsi="PT Astra Serif"/>
          <w:szCs w:val="28"/>
        </w:rPr>
      </w:pPr>
      <w:r w:rsidRPr="00E319A6">
        <w:rPr>
          <w:rFonts w:ascii="PT Astra Serif" w:eastAsia="Times New Roman" w:hAnsi="PT Astra Serif"/>
          <w:b/>
          <w:bCs/>
          <w:szCs w:val="28"/>
        </w:rPr>
        <w:t>С 2023 года</w:t>
      </w:r>
      <w:r w:rsidRPr="00ED6292">
        <w:rPr>
          <w:rFonts w:ascii="PT Astra Serif" w:eastAsia="Times New Roman" w:hAnsi="PT Astra Serif"/>
          <w:szCs w:val="28"/>
        </w:rPr>
        <w:t xml:space="preserve"> Ульяновская спортивно-адаптивная школа занимается </w:t>
      </w:r>
      <w:r w:rsidRPr="00E319A6">
        <w:rPr>
          <w:rFonts w:ascii="PT Astra Serif" w:eastAsia="Times New Roman" w:hAnsi="PT Astra Serif"/>
          <w:b/>
          <w:bCs/>
          <w:szCs w:val="28"/>
        </w:rPr>
        <w:t>привлечением в адаптивный спорт участников СВО</w:t>
      </w:r>
      <w:r w:rsidRPr="00ED6292">
        <w:rPr>
          <w:rFonts w:ascii="PT Astra Serif" w:eastAsia="Times New Roman" w:hAnsi="PT Astra Serif"/>
          <w:szCs w:val="28"/>
        </w:rPr>
        <w:t>, получивших тяжёлые ранения и инвалидность.</w:t>
      </w:r>
    </w:p>
    <w:p w14:paraId="72A43D6A" w14:textId="77777777" w:rsidR="007222A5" w:rsidRPr="00ED6292" w:rsidRDefault="007222A5" w:rsidP="007222A5">
      <w:pPr>
        <w:widowControl w:val="0"/>
        <w:ind w:firstLine="720"/>
        <w:rPr>
          <w:rFonts w:ascii="PT Astra Serif" w:eastAsia="Times New Roman" w:hAnsi="PT Astra Serif"/>
          <w:szCs w:val="28"/>
        </w:rPr>
      </w:pPr>
      <w:r w:rsidRPr="00ED6292">
        <w:rPr>
          <w:rFonts w:ascii="PT Astra Serif" w:eastAsia="Times New Roman" w:hAnsi="PT Astra Serif"/>
          <w:szCs w:val="28"/>
        </w:rPr>
        <w:t xml:space="preserve">В ноябре 2023 года 3 ульяновских спортсмена, ветерана боевых действий, участвовали в «Кубке Защитников Отечества», который проходил </w:t>
      </w:r>
      <w:r>
        <w:rPr>
          <w:rFonts w:ascii="PT Astra Serif" w:eastAsia="Times New Roman" w:hAnsi="PT Astra Serif"/>
          <w:szCs w:val="28"/>
        </w:rPr>
        <w:br/>
      </w:r>
      <w:r w:rsidRPr="00ED6292">
        <w:rPr>
          <w:rFonts w:ascii="PT Astra Serif" w:eastAsia="Times New Roman" w:hAnsi="PT Astra Serif"/>
          <w:szCs w:val="28"/>
        </w:rPr>
        <w:t xml:space="preserve">в </w:t>
      </w:r>
      <w:proofErr w:type="spellStart"/>
      <w:r w:rsidRPr="00ED6292">
        <w:rPr>
          <w:rFonts w:ascii="PT Astra Serif" w:eastAsia="Times New Roman" w:hAnsi="PT Astra Serif"/>
          <w:szCs w:val="28"/>
        </w:rPr>
        <w:t>г.Уфа</w:t>
      </w:r>
      <w:proofErr w:type="spellEnd"/>
      <w:r w:rsidRPr="00ED6292">
        <w:rPr>
          <w:rFonts w:ascii="PT Astra Serif" w:eastAsia="Times New Roman" w:hAnsi="PT Astra Serif"/>
          <w:szCs w:val="28"/>
        </w:rPr>
        <w:t>. Спортсмены показали отличные результаты и привезли домой 3 медали: две золотых и одну серебряную.</w:t>
      </w:r>
    </w:p>
    <w:p w14:paraId="21D512C1" w14:textId="77777777" w:rsidR="007222A5" w:rsidRPr="00ED6292" w:rsidRDefault="007222A5" w:rsidP="007222A5">
      <w:pPr>
        <w:widowControl w:val="0"/>
        <w:ind w:firstLine="720"/>
        <w:rPr>
          <w:rFonts w:ascii="PT Astra Serif" w:eastAsia="Times New Roman" w:hAnsi="PT Astra Serif"/>
          <w:szCs w:val="28"/>
        </w:rPr>
      </w:pPr>
      <w:r w:rsidRPr="00ED6292">
        <w:rPr>
          <w:rFonts w:ascii="PT Astra Serif" w:eastAsia="Times New Roman" w:hAnsi="PT Astra Serif"/>
          <w:szCs w:val="28"/>
        </w:rPr>
        <w:lastRenderedPageBreak/>
        <w:t>В марте 2024 года в городе Ульяновск, по адресу: улица 12 Сентября, д.91 был открыт региональный образовательно-демонстрационный центр по адаптивным видам спорта, в котором сотрудники регионального отделения «</w:t>
      </w:r>
      <w:proofErr w:type="spellStart"/>
      <w:r w:rsidRPr="00ED6292">
        <w:rPr>
          <w:rFonts w:ascii="PT Astra Serif" w:eastAsia="Times New Roman" w:hAnsi="PT Astra Serif"/>
          <w:szCs w:val="28"/>
        </w:rPr>
        <w:t>Паралимпийского</w:t>
      </w:r>
      <w:proofErr w:type="spellEnd"/>
      <w:r w:rsidRPr="00ED6292">
        <w:rPr>
          <w:rFonts w:ascii="PT Astra Serif" w:eastAsia="Times New Roman" w:hAnsi="PT Astra Serif"/>
          <w:szCs w:val="28"/>
        </w:rPr>
        <w:t xml:space="preserve"> комитета России в Ульяновской области» проводят встречи и агитационные мероприятия, не только для участников СВО, получивших ранения и инвалидность, но и всех желающих заниматься адаптивным спортом. </w:t>
      </w:r>
    </w:p>
    <w:p w14:paraId="063D4AB6" w14:textId="77777777" w:rsidR="007222A5" w:rsidRPr="00ED6292" w:rsidRDefault="007222A5" w:rsidP="007222A5">
      <w:pPr>
        <w:widowControl w:val="0"/>
        <w:ind w:firstLine="720"/>
        <w:rPr>
          <w:rFonts w:ascii="PT Astra Serif" w:eastAsia="Times New Roman" w:hAnsi="PT Astra Serif"/>
          <w:szCs w:val="28"/>
        </w:rPr>
      </w:pPr>
      <w:r w:rsidRPr="00ED6292">
        <w:rPr>
          <w:rFonts w:ascii="PT Astra Serif" w:eastAsia="Times New Roman" w:hAnsi="PT Astra Serif"/>
          <w:szCs w:val="28"/>
        </w:rPr>
        <w:t xml:space="preserve">В апреле 2024 года на юбилейной 80-й легкоатлетической эстафете на призы газеты «Ульяновская правда» был организован презентационный забег для участников СВО. 12 спортсменов показали великолепные результаты </w:t>
      </w:r>
      <w:r>
        <w:rPr>
          <w:rFonts w:ascii="PT Astra Serif" w:eastAsia="Times New Roman" w:hAnsi="PT Astra Serif"/>
          <w:szCs w:val="28"/>
        </w:rPr>
        <w:br/>
      </w:r>
      <w:r w:rsidRPr="00ED6292">
        <w:rPr>
          <w:rFonts w:ascii="PT Astra Serif" w:eastAsia="Times New Roman" w:hAnsi="PT Astra Serif"/>
          <w:szCs w:val="28"/>
        </w:rPr>
        <w:t xml:space="preserve">и с 2025 года забеги данной категории официально включены в программу эстафеты. По итогам первого в истории областной эстафеты забега для ветеранов СВО </w:t>
      </w:r>
      <w:r w:rsidRPr="00552D90">
        <w:rPr>
          <w:rFonts w:ascii="PT Astra Serif" w:eastAsia="Times New Roman" w:hAnsi="PT Astra Serif"/>
          <w:b/>
          <w:bCs/>
          <w:szCs w:val="28"/>
        </w:rPr>
        <w:t>более 40 человек заинтересовались адаптивным спортом</w:t>
      </w:r>
      <w:r w:rsidRPr="00ED6292">
        <w:rPr>
          <w:rFonts w:ascii="PT Astra Serif" w:eastAsia="Times New Roman" w:hAnsi="PT Astra Serif"/>
          <w:szCs w:val="28"/>
        </w:rPr>
        <w:t xml:space="preserve">. </w:t>
      </w:r>
    </w:p>
    <w:p w14:paraId="7867DE5D" w14:textId="77777777" w:rsidR="007222A5" w:rsidRDefault="007222A5" w:rsidP="007222A5">
      <w:pPr>
        <w:widowControl w:val="0"/>
        <w:ind w:firstLine="720"/>
        <w:rPr>
          <w:rFonts w:ascii="PT Astra Serif" w:eastAsia="Times New Roman" w:hAnsi="PT Astra Serif"/>
          <w:szCs w:val="28"/>
        </w:rPr>
      </w:pPr>
      <w:r w:rsidRPr="00ED6292">
        <w:rPr>
          <w:rFonts w:ascii="PT Astra Serif" w:eastAsia="Times New Roman" w:hAnsi="PT Astra Serif"/>
          <w:szCs w:val="28"/>
        </w:rPr>
        <w:t xml:space="preserve">В настоящее время 8 участников СВО зачислены в группы спортивной подготовки и выезжают на всероссийские соревнования по спорту лиц </w:t>
      </w:r>
      <w:r>
        <w:rPr>
          <w:rFonts w:ascii="PT Astra Serif" w:eastAsia="Times New Roman" w:hAnsi="PT Astra Serif"/>
          <w:szCs w:val="28"/>
        </w:rPr>
        <w:br/>
      </w:r>
      <w:r w:rsidRPr="00ED6292">
        <w:rPr>
          <w:rFonts w:ascii="PT Astra Serif" w:eastAsia="Times New Roman" w:hAnsi="PT Astra Serif"/>
          <w:szCs w:val="28"/>
        </w:rPr>
        <w:t xml:space="preserve">с поражением ОДА. На сегодняшний день формируются группы по дисциплинам: плавание, легкая атлетика, лыжные гонки, стрельба из лука </w:t>
      </w:r>
      <w:r>
        <w:rPr>
          <w:rFonts w:ascii="PT Astra Serif" w:eastAsia="Times New Roman" w:hAnsi="PT Astra Serif"/>
          <w:szCs w:val="28"/>
        </w:rPr>
        <w:br/>
      </w:r>
      <w:r w:rsidRPr="00ED6292">
        <w:rPr>
          <w:rFonts w:ascii="PT Astra Serif" w:eastAsia="Times New Roman" w:hAnsi="PT Astra Serif"/>
          <w:szCs w:val="28"/>
        </w:rPr>
        <w:t>и пулевая стрельба непосредственно из участников боевых действий.</w:t>
      </w:r>
    </w:p>
    <w:p w14:paraId="43CA831B" w14:textId="77777777" w:rsidR="007222A5" w:rsidRPr="003E723E" w:rsidRDefault="007222A5" w:rsidP="007222A5">
      <w:pPr>
        <w:widowControl w:val="0"/>
        <w:rPr>
          <w:rFonts w:ascii="PT Astra Serif" w:eastAsia="Times New Roman" w:hAnsi="PT Astra Serif"/>
          <w:szCs w:val="28"/>
        </w:rPr>
      </w:pPr>
      <w:r w:rsidRPr="003E723E">
        <w:rPr>
          <w:rFonts w:ascii="PT Astra Serif" w:eastAsia="Times New Roman" w:hAnsi="PT Astra Serif"/>
          <w:szCs w:val="28"/>
        </w:rPr>
        <w:t>Сборная команда региона приняла участие в Первом всероссийском Кубке защитников Отечества по зимним видам спорта среди ветеранов СВО, который проходил в Ханты-Мансийске и с 12 по 18 марта 2025 года. Несмотря на то, что команда тренировалась только с декабря 2024 года, спортсмены показали превосходный результат:</w:t>
      </w:r>
    </w:p>
    <w:p w14:paraId="4B147D3F" w14:textId="4498D93D" w:rsidR="007222A5" w:rsidRPr="003E723E" w:rsidRDefault="007222A5" w:rsidP="007222A5">
      <w:pPr>
        <w:widowControl w:val="0"/>
        <w:rPr>
          <w:rFonts w:ascii="PT Astra Serif" w:eastAsia="Times New Roman" w:hAnsi="PT Astra Serif"/>
          <w:szCs w:val="28"/>
        </w:rPr>
      </w:pPr>
      <w:r w:rsidRPr="003E723E">
        <w:rPr>
          <w:rFonts w:ascii="PT Astra Serif" w:eastAsia="Times New Roman" w:hAnsi="PT Astra Serif"/>
          <w:szCs w:val="28"/>
        </w:rPr>
        <w:t>в лыжной гонке стоя В</w:t>
      </w:r>
      <w:r w:rsidR="00EB15FA">
        <w:rPr>
          <w:rFonts w:ascii="PT Astra Serif" w:eastAsia="Times New Roman" w:hAnsi="PT Astra Serif"/>
          <w:szCs w:val="28"/>
        </w:rPr>
        <w:t>. </w:t>
      </w:r>
      <w:r w:rsidRPr="003E723E">
        <w:rPr>
          <w:rFonts w:ascii="PT Astra Serif" w:eastAsia="Times New Roman" w:hAnsi="PT Astra Serif"/>
          <w:szCs w:val="28"/>
        </w:rPr>
        <w:t>Яковлев занял 7 место, С</w:t>
      </w:r>
      <w:r w:rsidR="00EB15FA">
        <w:rPr>
          <w:rFonts w:ascii="PT Astra Serif" w:eastAsia="Times New Roman" w:hAnsi="PT Astra Serif"/>
          <w:szCs w:val="28"/>
        </w:rPr>
        <w:t>. </w:t>
      </w:r>
      <w:proofErr w:type="spellStart"/>
      <w:r w:rsidRPr="003E723E">
        <w:rPr>
          <w:rFonts w:ascii="PT Astra Serif" w:eastAsia="Times New Roman" w:hAnsi="PT Astra Serif"/>
          <w:szCs w:val="28"/>
        </w:rPr>
        <w:t>Притула</w:t>
      </w:r>
      <w:proofErr w:type="spellEnd"/>
      <w:r w:rsidRPr="003E723E">
        <w:rPr>
          <w:rFonts w:ascii="PT Astra Serif" w:eastAsia="Times New Roman" w:hAnsi="PT Astra Serif"/>
          <w:szCs w:val="28"/>
        </w:rPr>
        <w:t xml:space="preserve"> – 13 место из 52 участников. В </w:t>
      </w:r>
      <w:r w:rsidR="00B158EE">
        <w:rPr>
          <w:rFonts w:ascii="PT Astra Serif" w:eastAsia="Times New Roman" w:hAnsi="PT Astra Serif"/>
          <w:szCs w:val="28"/>
        </w:rPr>
        <w:t>л</w:t>
      </w:r>
      <w:r w:rsidRPr="003E723E">
        <w:rPr>
          <w:rFonts w:ascii="PT Astra Serif" w:eastAsia="Times New Roman" w:hAnsi="PT Astra Serif"/>
          <w:szCs w:val="28"/>
        </w:rPr>
        <w:t>ыжной гонке сидя на бобах К</w:t>
      </w:r>
      <w:r w:rsidR="00EB15FA">
        <w:rPr>
          <w:rFonts w:ascii="PT Astra Serif" w:eastAsia="Times New Roman" w:hAnsi="PT Astra Serif"/>
          <w:szCs w:val="28"/>
        </w:rPr>
        <w:t>. </w:t>
      </w:r>
      <w:r w:rsidRPr="003E723E">
        <w:rPr>
          <w:rFonts w:ascii="PT Astra Serif" w:eastAsia="Times New Roman" w:hAnsi="PT Astra Serif"/>
          <w:szCs w:val="28"/>
        </w:rPr>
        <w:t>Мельник занял 7 место, И</w:t>
      </w:r>
      <w:r w:rsidR="00EB15FA">
        <w:rPr>
          <w:rFonts w:ascii="PT Astra Serif" w:eastAsia="Times New Roman" w:hAnsi="PT Astra Serif"/>
          <w:szCs w:val="28"/>
        </w:rPr>
        <w:t>. </w:t>
      </w:r>
      <w:r w:rsidRPr="003E723E">
        <w:rPr>
          <w:rFonts w:ascii="PT Astra Serif" w:eastAsia="Times New Roman" w:hAnsi="PT Astra Serif"/>
          <w:szCs w:val="28"/>
        </w:rPr>
        <w:t>Харин – 10 место из 23 участников;</w:t>
      </w:r>
    </w:p>
    <w:p w14:paraId="6C15BCF1" w14:textId="52CAF087" w:rsidR="007222A5" w:rsidRPr="003E723E" w:rsidRDefault="007222A5" w:rsidP="007222A5">
      <w:pPr>
        <w:widowControl w:val="0"/>
        <w:rPr>
          <w:rFonts w:ascii="PT Astra Serif" w:eastAsia="Times New Roman" w:hAnsi="PT Astra Serif"/>
          <w:szCs w:val="28"/>
        </w:rPr>
      </w:pPr>
      <w:r w:rsidRPr="003E723E">
        <w:rPr>
          <w:rFonts w:ascii="PT Astra Serif" w:eastAsia="Times New Roman" w:hAnsi="PT Astra Serif"/>
          <w:szCs w:val="28"/>
        </w:rPr>
        <w:t xml:space="preserve">в июле 2025 года - 4 спортсмена, участника СВО, выступили на Чемпионате России по спорту лиц с поражением ОДА (дисциплина - лёгкая атлетика) и 2 из них завоевали золотые медали: </w:t>
      </w:r>
      <w:r w:rsidR="00EB15FA" w:rsidRPr="003E723E">
        <w:rPr>
          <w:rFonts w:ascii="PT Astra Serif" w:eastAsia="Times New Roman" w:hAnsi="PT Astra Serif"/>
          <w:szCs w:val="28"/>
        </w:rPr>
        <w:t>С</w:t>
      </w:r>
      <w:r w:rsidR="00EB15FA">
        <w:rPr>
          <w:rFonts w:ascii="PT Astra Serif" w:eastAsia="Times New Roman" w:hAnsi="PT Astra Serif"/>
          <w:szCs w:val="28"/>
        </w:rPr>
        <w:t>. </w:t>
      </w:r>
      <w:proofErr w:type="spellStart"/>
      <w:r w:rsidRPr="003E723E">
        <w:rPr>
          <w:rFonts w:ascii="PT Astra Serif" w:eastAsia="Times New Roman" w:hAnsi="PT Astra Serif"/>
          <w:szCs w:val="28"/>
        </w:rPr>
        <w:t>Притула</w:t>
      </w:r>
      <w:proofErr w:type="spellEnd"/>
      <w:r w:rsidRPr="003E723E">
        <w:rPr>
          <w:rFonts w:ascii="PT Astra Serif" w:eastAsia="Times New Roman" w:hAnsi="PT Astra Serif"/>
          <w:szCs w:val="28"/>
        </w:rPr>
        <w:t xml:space="preserve"> и </w:t>
      </w:r>
      <w:r w:rsidR="00EB15FA">
        <w:rPr>
          <w:rFonts w:ascii="PT Astra Serif" w:eastAsia="Times New Roman" w:hAnsi="PT Astra Serif"/>
          <w:szCs w:val="28"/>
        </w:rPr>
        <w:t>Р Юсупов</w:t>
      </w:r>
      <w:r w:rsidRPr="003E723E">
        <w:rPr>
          <w:rFonts w:ascii="PT Astra Serif" w:eastAsia="Times New Roman" w:hAnsi="PT Astra Serif"/>
          <w:szCs w:val="28"/>
        </w:rPr>
        <w:t>;</w:t>
      </w:r>
    </w:p>
    <w:p w14:paraId="18FE4856" w14:textId="77777777" w:rsidR="007222A5" w:rsidRPr="003E723E" w:rsidRDefault="007222A5" w:rsidP="007222A5">
      <w:pPr>
        <w:widowControl w:val="0"/>
        <w:rPr>
          <w:rFonts w:ascii="PT Astra Serif" w:eastAsia="PT Serif" w:hAnsi="PT Astra Serif"/>
          <w:szCs w:val="28"/>
        </w:rPr>
      </w:pPr>
      <w:r w:rsidRPr="003E723E">
        <w:rPr>
          <w:rFonts w:ascii="PT Astra Serif" w:eastAsia="PT Serif" w:hAnsi="PT Astra Serif"/>
          <w:szCs w:val="28"/>
        </w:rPr>
        <w:t xml:space="preserve">в августе 2025 года 10 ульяновских спортсменов достойно выступили </w:t>
      </w:r>
      <w:r w:rsidRPr="003E723E">
        <w:rPr>
          <w:rFonts w:ascii="PT Astra Serif" w:eastAsia="PT Serif" w:hAnsi="PT Astra Serif"/>
          <w:szCs w:val="28"/>
        </w:rPr>
        <w:br/>
        <w:t xml:space="preserve">в Межрегиональном комплексном физкультурном мероприятии среди ветеранов СВО «Кубок Защитников Отечества» (ПФО): </w:t>
      </w:r>
    </w:p>
    <w:p w14:paraId="6E29DC89" w14:textId="77777777" w:rsidR="007222A5" w:rsidRPr="003E723E" w:rsidRDefault="007222A5" w:rsidP="007222A5">
      <w:pPr>
        <w:widowControl w:val="0"/>
        <w:rPr>
          <w:rFonts w:ascii="PT Astra Serif" w:eastAsia="PT Serif" w:hAnsi="PT Astra Serif"/>
          <w:szCs w:val="28"/>
        </w:rPr>
      </w:pPr>
      <w:r w:rsidRPr="003E723E">
        <w:rPr>
          <w:rFonts w:ascii="PT Astra Serif" w:eastAsia="PT Serif" w:hAnsi="PT Astra Serif"/>
          <w:szCs w:val="28"/>
        </w:rPr>
        <w:t>1 место по настольному теннису – Родион Грошев,</w:t>
      </w:r>
    </w:p>
    <w:p w14:paraId="56FE770B" w14:textId="77777777" w:rsidR="007222A5" w:rsidRPr="003E723E" w:rsidRDefault="007222A5" w:rsidP="007222A5">
      <w:pPr>
        <w:widowControl w:val="0"/>
        <w:tabs>
          <w:tab w:val="left" w:pos="5835"/>
        </w:tabs>
        <w:rPr>
          <w:rFonts w:ascii="PT Astra Serif" w:eastAsia="PT Serif" w:hAnsi="PT Astra Serif"/>
          <w:szCs w:val="28"/>
        </w:rPr>
      </w:pPr>
      <w:r w:rsidRPr="003E723E">
        <w:rPr>
          <w:rFonts w:ascii="PT Astra Serif" w:eastAsia="PT Serif" w:hAnsi="PT Astra Serif"/>
          <w:szCs w:val="28"/>
        </w:rPr>
        <w:t>2 место по пауэрлифтингу – Виталий Бабин,</w:t>
      </w:r>
    </w:p>
    <w:p w14:paraId="7B29C3D3" w14:textId="77777777" w:rsidR="007222A5" w:rsidRPr="003E723E" w:rsidRDefault="007222A5" w:rsidP="007222A5">
      <w:pPr>
        <w:widowControl w:val="0"/>
        <w:tabs>
          <w:tab w:val="left" w:pos="5835"/>
        </w:tabs>
        <w:rPr>
          <w:rFonts w:ascii="PT Astra Serif" w:eastAsia="PT Serif" w:hAnsi="PT Astra Serif"/>
          <w:szCs w:val="28"/>
        </w:rPr>
      </w:pPr>
      <w:r w:rsidRPr="003E723E">
        <w:rPr>
          <w:rFonts w:ascii="PT Astra Serif" w:eastAsia="PT Serif" w:hAnsi="PT Astra Serif"/>
          <w:szCs w:val="28"/>
        </w:rPr>
        <w:t>3 место по стрельбе из лука – Андрей Быков,</w:t>
      </w:r>
    </w:p>
    <w:p w14:paraId="0C4A65E6" w14:textId="77777777" w:rsidR="007222A5" w:rsidRPr="003E723E" w:rsidRDefault="007222A5" w:rsidP="007222A5">
      <w:pPr>
        <w:widowControl w:val="0"/>
        <w:tabs>
          <w:tab w:val="left" w:pos="5835"/>
        </w:tabs>
        <w:rPr>
          <w:rFonts w:ascii="PT Astra Serif" w:eastAsia="PT Serif" w:hAnsi="PT Astra Serif"/>
          <w:szCs w:val="28"/>
        </w:rPr>
      </w:pPr>
      <w:r w:rsidRPr="003E723E">
        <w:rPr>
          <w:rFonts w:ascii="PT Astra Serif" w:eastAsia="PT Serif" w:hAnsi="PT Astra Serif"/>
          <w:szCs w:val="28"/>
        </w:rPr>
        <w:t xml:space="preserve">3 место по спортивному метанию ножей – Сергей </w:t>
      </w:r>
      <w:proofErr w:type="spellStart"/>
      <w:r w:rsidRPr="003E723E">
        <w:rPr>
          <w:rFonts w:ascii="PT Astra Serif" w:eastAsia="PT Serif" w:hAnsi="PT Astra Serif"/>
          <w:szCs w:val="28"/>
        </w:rPr>
        <w:t>Притула</w:t>
      </w:r>
      <w:proofErr w:type="spellEnd"/>
      <w:r w:rsidRPr="003E723E">
        <w:rPr>
          <w:rFonts w:ascii="PT Astra Serif" w:eastAsia="PT Serif" w:hAnsi="PT Astra Serif"/>
          <w:szCs w:val="28"/>
        </w:rPr>
        <w:t>.</w:t>
      </w:r>
    </w:p>
    <w:p w14:paraId="6A2269DA" w14:textId="458F4EA6" w:rsidR="007222A5" w:rsidRDefault="007222A5" w:rsidP="003E723E">
      <w:pPr>
        <w:widowControl w:val="0"/>
        <w:ind w:firstLine="720"/>
        <w:rPr>
          <w:rFonts w:ascii="PT Astra Serif" w:eastAsia="Times New Roman" w:hAnsi="PT Astra Serif" w:cs="Times New Roman"/>
          <w:szCs w:val="28"/>
        </w:rPr>
      </w:pPr>
      <w:r w:rsidRPr="003E723E">
        <w:rPr>
          <w:rFonts w:ascii="PT Astra Serif" w:eastAsia="Times New Roman" w:hAnsi="PT Astra Serif" w:cs="Times New Roman"/>
          <w:szCs w:val="28"/>
        </w:rPr>
        <w:t>Бронзу Кубка России по спорту лиц с поражением опорно-двигательного аппарата в дисциплине плавание на дистанции 100 м на спине (класс S10) завоевал участник СВО И</w:t>
      </w:r>
      <w:r w:rsidR="00EB15FA">
        <w:rPr>
          <w:rFonts w:ascii="PT Astra Serif" w:eastAsia="Times New Roman" w:hAnsi="PT Astra Serif" w:cs="Times New Roman"/>
          <w:szCs w:val="28"/>
        </w:rPr>
        <w:t>. </w:t>
      </w:r>
      <w:r w:rsidRPr="003E723E">
        <w:rPr>
          <w:rFonts w:ascii="PT Astra Serif" w:eastAsia="Times New Roman" w:hAnsi="PT Astra Serif" w:cs="Times New Roman"/>
          <w:szCs w:val="28"/>
        </w:rPr>
        <w:t>Попов, выполнив норматив Мастера спорта России.</w:t>
      </w:r>
    </w:p>
    <w:p w14:paraId="45679F16" w14:textId="069703F8" w:rsidR="00EB15FA" w:rsidRDefault="00EB15FA" w:rsidP="003E723E">
      <w:pPr>
        <w:widowControl w:val="0"/>
        <w:ind w:firstLine="720"/>
        <w:rPr>
          <w:rFonts w:ascii="PT Astra Serif" w:eastAsia="Times New Roman" w:hAnsi="PT Astra Serif" w:cs="Times New Roman"/>
          <w:szCs w:val="28"/>
        </w:rPr>
      </w:pPr>
    </w:p>
    <w:p w14:paraId="522F124D" w14:textId="6AB236E3" w:rsidR="007222A5" w:rsidRPr="00ED6292"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 xml:space="preserve">Оказание услуг в области физкультуры и спорта </w:t>
      </w:r>
      <w:r w:rsidR="00A52819">
        <w:rPr>
          <w:rFonts w:ascii="PT Astra Serif" w:eastAsia="Times New Roman" w:hAnsi="PT Astra Serif"/>
          <w:b/>
          <w:szCs w:val="28"/>
        </w:rPr>
        <w:br/>
      </w:r>
      <w:r w:rsidRPr="00ED6292">
        <w:rPr>
          <w:rFonts w:ascii="PT Astra Serif" w:eastAsia="Times New Roman" w:hAnsi="PT Astra Serif"/>
          <w:b/>
          <w:szCs w:val="28"/>
        </w:rPr>
        <w:t>отдельным категориям граждан</w:t>
      </w:r>
    </w:p>
    <w:p w14:paraId="72DDE86A" w14:textId="77777777" w:rsidR="007222A5" w:rsidRPr="00ED6292" w:rsidRDefault="007222A5" w:rsidP="007222A5">
      <w:pPr>
        <w:widowControl w:val="0"/>
        <w:ind w:firstLine="0"/>
        <w:jc w:val="center"/>
        <w:rPr>
          <w:rFonts w:ascii="PT Astra Serif" w:eastAsia="Times New Roman" w:hAnsi="PT Astra Serif"/>
          <w:b/>
          <w:szCs w:val="28"/>
        </w:rPr>
      </w:pPr>
    </w:p>
    <w:p w14:paraId="462A1F8C" w14:textId="06E980E0"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В рамках программы </w:t>
      </w:r>
      <w:r>
        <w:rPr>
          <w:rFonts w:ascii="PT Astra Serif" w:eastAsia="Times New Roman" w:hAnsi="PT Astra Serif"/>
          <w:szCs w:val="28"/>
        </w:rPr>
        <w:t xml:space="preserve">по </w:t>
      </w:r>
      <w:r w:rsidRPr="00ED6292">
        <w:rPr>
          <w:rFonts w:ascii="PT Astra Serif" w:eastAsia="Times New Roman" w:hAnsi="PT Astra Serif"/>
          <w:szCs w:val="28"/>
        </w:rPr>
        <w:t>снижени</w:t>
      </w:r>
      <w:r>
        <w:rPr>
          <w:rFonts w:ascii="PT Astra Serif" w:eastAsia="Times New Roman" w:hAnsi="PT Astra Serif"/>
          <w:szCs w:val="28"/>
        </w:rPr>
        <w:t>ю</w:t>
      </w:r>
      <w:r w:rsidRPr="00ED6292">
        <w:rPr>
          <w:rFonts w:ascii="PT Astra Serif" w:eastAsia="Times New Roman" w:hAnsi="PT Astra Serif"/>
          <w:szCs w:val="28"/>
        </w:rPr>
        <w:t xml:space="preserve"> бедности в 2025 году оказано услуг </w:t>
      </w:r>
      <w:r w:rsidRPr="00ED6292">
        <w:rPr>
          <w:rFonts w:ascii="PT Astra Serif" w:eastAsia="Times New Roman" w:hAnsi="PT Astra Serif"/>
          <w:szCs w:val="28"/>
        </w:rPr>
        <w:lastRenderedPageBreak/>
        <w:t>67</w:t>
      </w:r>
      <w:r>
        <w:rPr>
          <w:rFonts w:ascii="PT Astra Serif" w:eastAsia="Times New Roman" w:hAnsi="PT Astra Serif"/>
          <w:szCs w:val="28"/>
        </w:rPr>
        <w:t> </w:t>
      </w:r>
      <w:r w:rsidRPr="00ED6292">
        <w:rPr>
          <w:rFonts w:ascii="PT Astra Serif" w:eastAsia="Times New Roman" w:hAnsi="PT Astra Serif"/>
          <w:szCs w:val="28"/>
        </w:rPr>
        <w:t>719 льготной категории граждан на сумму 73,8 млн рублей.</w:t>
      </w:r>
    </w:p>
    <w:p w14:paraId="59090D35" w14:textId="757654EC" w:rsidR="007222A5" w:rsidRPr="00C64858" w:rsidRDefault="007222A5" w:rsidP="007222A5">
      <w:pPr>
        <w:widowControl w:val="0"/>
        <w:rPr>
          <w:rFonts w:ascii="PT Astra Serif" w:eastAsia="Times New Roman" w:hAnsi="PT Astra Serif"/>
          <w:b/>
          <w:bCs/>
          <w:szCs w:val="28"/>
        </w:rPr>
      </w:pPr>
      <w:r w:rsidRPr="00C64858">
        <w:rPr>
          <w:rFonts w:ascii="PT Astra Serif" w:eastAsia="Times New Roman" w:hAnsi="PT Astra Serif"/>
          <w:b/>
          <w:bCs/>
          <w:szCs w:val="28"/>
        </w:rPr>
        <w:t>Предоставление услуг</w:t>
      </w:r>
      <w:r w:rsidRPr="00ED6292">
        <w:rPr>
          <w:rFonts w:ascii="PT Astra Serif" w:eastAsia="Times New Roman" w:hAnsi="PT Astra Serif"/>
          <w:szCs w:val="28"/>
        </w:rPr>
        <w:t xml:space="preserve"> физкультурно-спортивных организаций на льготных условиях </w:t>
      </w:r>
      <w:r w:rsidRPr="00C64858">
        <w:rPr>
          <w:rFonts w:ascii="PT Astra Serif" w:eastAsia="Times New Roman" w:hAnsi="PT Astra Serif"/>
          <w:b/>
          <w:bCs/>
          <w:szCs w:val="28"/>
        </w:rPr>
        <w:t>отдельным категориям</w:t>
      </w:r>
      <w:r w:rsidRPr="00ED6292">
        <w:rPr>
          <w:rFonts w:ascii="PT Astra Serif" w:eastAsia="Times New Roman" w:hAnsi="PT Astra Serif"/>
          <w:szCs w:val="28"/>
        </w:rPr>
        <w:t xml:space="preserve"> </w:t>
      </w:r>
      <w:r w:rsidRPr="00C64858">
        <w:rPr>
          <w:rFonts w:ascii="PT Astra Serif" w:eastAsia="Times New Roman" w:hAnsi="PT Astra Serif"/>
          <w:b/>
          <w:bCs/>
          <w:szCs w:val="28"/>
        </w:rPr>
        <w:t>граждан</w:t>
      </w:r>
      <w:r w:rsidRPr="00ED6292">
        <w:rPr>
          <w:rFonts w:ascii="PT Astra Serif" w:eastAsia="Times New Roman" w:hAnsi="PT Astra Serif"/>
          <w:szCs w:val="28"/>
        </w:rPr>
        <w:t xml:space="preserve"> (детям-сиротам, детям, оставшимся без попечения родителей, детям из многодетных и приёмных семей, лицам из числа детей-сирот и детей, оставшихся без попечения родителей) в количестве </w:t>
      </w:r>
      <w:r w:rsidRPr="00C64858">
        <w:rPr>
          <w:rFonts w:ascii="PT Astra Serif" w:eastAsia="Times New Roman" w:hAnsi="PT Astra Serif"/>
          <w:b/>
          <w:bCs/>
          <w:szCs w:val="28"/>
        </w:rPr>
        <w:t>34 496 услуги на сумму 30,2 млн рублей.</w:t>
      </w:r>
    </w:p>
    <w:p w14:paraId="4B4C91CE" w14:textId="60B00FB8" w:rsidR="007222A5" w:rsidRPr="00ED6292" w:rsidRDefault="007222A5" w:rsidP="007222A5">
      <w:pPr>
        <w:widowControl w:val="0"/>
        <w:rPr>
          <w:rFonts w:ascii="PT Astra Serif" w:eastAsia="Times New Roman" w:hAnsi="PT Astra Serif"/>
          <w:szCs w:val="28"/>
        </w:rPr>
      </w:pPr>
      <w:r w:rsidRPr="00ED6292">
        <w:rPr>
          <w:rFonts w:ascii="PT Astra Serif" w:eastAsia="Times New Roman" w:hAnsi="PT Astra Serif"/>
          <w:szCs w:val="28"/>
        </w:rPr>
        <w:t xml:space="preserve">Предоставление детям-сиротам, детям, оставшимся без попечения родителей, детям из многодетных и малообеспеченных семей, лицам из числа детей-сирот и детей, оставшихся без попечения родителей, инвалидам </w:t>
      </w:r>
      <w:r>
        <w:rPr>
          <w:rFonts w:ascii="PT Astra Serif" w:eastAsia="Times New Roman" w:hAnsi="PT Astra Serif"/>
          <w:szCs w:val="28"/>
        </w:rPr>
        <w:br/>
      </w:r>
      <w:r w:rsidRPr="00ED6292">
        <w:rPr>
          <w:rFonts w:ascii="PT Astra Serif" w:eastAsia="Times New Roman" w:hAnsi="PT Astra Serif"/>
          <w:szCs w:val="28"/>
        </w:rPr>
        <w:t>и пенсионерам права на бесплатное посещение одного из объектов спорта, участвующих в реализации социальной поддержки отдельных категорий граждан в сфере физической культуры и спорта в количестве 33</w:t>
      </w:r>
      <w:r>
        <w:rPr>
          <w:rFonts w:ascii="PT Astra Serif" w:eastAsia="Times New Roman" w:hAnsi="PT Astra Serif"/>
          <w:szCs w:val="28"/>
        </w:rPr>
        <w:t> </w:t>
      </w:r>
      <w:r w:rsidRPr="00ED6292">
        <w:rPr>
          <w:rFonts w:ascii="PT Astra Serif" w:eastAsia="Times New Roman" w:hAnsi="PT Astra Serif"/>
          <w:szCs w:val="28"/>
        </w:rPr>
        <w:t xml:space="preserve">223 услуги на сумму 43,6 млн рублей. </w:t>
      </w:r>
    </w:p>
    <w:p w14:paraId="538266B9" w14:textId="77777777" w:rsidR="007222A5" w:rsidRPr="00ED6292" w:rsidRDefault="007222A5" w:rsidP="007222A5">
      <w:pPr>
        <w:widowControl w:val="0"/>
        <w:rPr>
          <w:rFonts w:ascii="PT Astra Serif" w:eastAsia="Times New Roman" w:hAnsi="PT Astra Serif"/>
          <w:b/>
          <w:szCs w:val="28"/>
        </w:rPr>
      </w:pPr>
    </w:p>
    <w:p w14:paraId="4CABADB5" w14:textId="77777777" w:rsidR="007222A5" w:rsidRDefault="007222A5" w:rsidP="007222A5">
      <w:pPr>
        <w:widowControl w:val="0"/>
        <w:ind w:firstLine="0"/>
        <w:jc w:val="center"/>
        <w:rPr>
          <w:rFonts w:ascii="PT Astra Serif" w:eastAsia="Times New Roman" w:hAnsi="PT Astra Serif"/>
          <w:b/>
          <w:szCs w:val="28"/>
        </w:rPr>
      </w:pPr>
      <w:r w:rsidRPr="00ED6292">
        <w:rPr>
          <w:rFonts w:ascii="PT Astra Serif" w:eastAsia="Times New Roman" w:hAnsi="PT Astra Serif"/>
          <w:b/>
          <w:szCs w:val="28"/>
        </w:rPr>
        <w:t>Задачи в сфере физической культуры и спорта на 2026 год</w:t>
      </w:r>
    </w:p>
    <w:p w14:paraId="7133E52C" w14:textId="77777777" w:rsidR="007222A5" w:rsidRPr="00ED6292" w:rsidRDefault="007222A5" w:rsidP="007222A5">
      <w:pPr>
        <w:widowControl w:val="0"/>
        <w:ind w:firstLine="0"/>
        <w:jc w:val="center"/>
        <w:rPr>
          <w:rFonts w:ascii="PT Astra Serif" w:eastAsia="Times New Roman" w:hAnsi="PT Astra Serif"/>
          <w:b/>
          <w:szCs w:val="28"/>
        </w:rPr>
      </w:pPr>
    </w:p>
    <w:p w14:paraId="6EEBC2D1" w14:textId="77777777" w:rsidR="007222A5" w:rsidRPr="00ED6292" w:rsidRDefault="007222A5" w:rsidP="007222A5">
      <w:pPr>
        <w:widowControl w:val="0"/>
        <w:rPr>
          <w:rFonts w:ascii="PT Astra Serif" w:hAnsi="PT Astra Serif"/>
        </w:rPr>
      </w:pPr>
      <w:r w:rsidRPr="00ED6292">
        <w:rPr>
          <w:rFonts w:ascii="PT Astra Serif" w:hAnsi="PT Astra Serif"/>
        </w:rPr>
        <w:t xml:space="preserve">1. Создание </w:t>
      </w:r>
      <w:proofErr w:type="spellStart"/>
      <w:r w:rsidRPr="00ED6292">
        <w:rPr>
          <w:rFonts w:ascii="PT Astra Serif" w:hAnsi="PT Astra Serif"/>
        </w:rPr>
        <w:t>фиджитал</w:t>
      </w:r>
      <w:proofErr w:type="spellEnd"/>
      <w:r w:rsidRPr="00ED6292">
        <w:rPr>
          <w:rFonts w:ascii="PT Astra Serif" w:hAnsi="PT Astra Serif"/>
        </w:rPr>
        <w:t xml:space="preserve">-центра на территории Ульяновского спортивного училища (техникума) и «умных» спортивных площадок на территории муниципального образования «город Ульяновск», Чердаклинского </w:t>
      </w:r>
      <w:r>
        <w:rPr>
          <w:rFonts w:ascii="PT Astra Serif" w:hAnsi="PT Astra Serif"/>
        </w:rPr>
        <w:br/>
      </w:r>
      <w:r w:rsidRPr="00ED6292">
        <w:rPr>
          <w:rFonts w:ascii="PT Astra Serif" w:hAnsi="PT Astra Serif"/>
        </w:rPr>
        <w:t xml:space="preserve">и Новоспасского районов в рамках федерального проекта «Бизнес-спринт </w:t>
      </w:r>
      <w:r>
        <w:rPr>
          <w:rFonts w:ascii="PT Astra Serif" w:hAnsi="PT Astra Serif"/>
        </w:rPr>
        <w:br/>
      </w:r>
      <w:r w:rsidRPr="00ED6292">
        <w:rPr>
          <w:rFonts w:ascii="PT Astra Serif" w:hAnsi="PT Astra Serif"/>
        </w:rPr>
        <w:t>(Я выбираю спорт)».</w:t>
      </w:r>
    </w:p>
    <w:p w14:paraId="659DB340" w14:textId="77777777" w:rsidR="007222A5" w:rsidRPr="00ED6292" w:rsidRDefault="007222A5" w:rsidP="007222A5">
      <w:pPr>
        <w:widowControl w:val="0"/>
        <w:rPr>
          <w:rFonts w:ascii="PT Astra Serif" w:hAnsi="PT Astra Serif"/>
        </w:rPr>
      </w:pPr>
      <w:r w:rsidRPr="00ED6292">
        <w:rPr>
          <w:rFonts w:ascii="PT Astra Serif" w:hAnsi="PT Astra Serif"/>
        </w:rPr>
        <w:t>2. Создание модульного зала единоборств на территории муниципального образования «Чердаклинский район».</w:t>
      </w:r>
    </w:p>
    <w:p w14:paraId="6DF28AAB" w14:textId="77777777" w:rsidR="007222A5" w:rsidRPr="00ED6292" w:rsidRDefault="007222A5" w:rsidP="007222A5">
      <w:pPr>
        <w:widowControl w:val="0"/>
        <w:rPr>
          <w:rFonts w:ascii="PT Astra Serif" w:hAnsi="PT Astra Serif"/>
        </w:rPr>
      </w:pPr>
      <w:r w:rsidRPr="00ED6292">
        <w:rPr>
          <w:rFonts w:ascii="PT Astra Serif" w:hAnsi="PT Astra Serif"/>
        </w:rPr>
        <w:t>3. Приведение 7 спортивных организаций в нормативное состояние.</w:t>
      </w:r>
    </w:p>
    <w:p w14:paraId="0CBEBBF5" w14:textId="77777777" w:rsidR="007222A5" w:rsidRPr="00ED6292" w:rsidRDefault="007222A5" w:rsidP="007222A5">
      <w:pPr>
        <w:widowControl w:val="0"/>
        <w:rPr>
          <w:rFonts w:ascii="PT Astra Serif" w:hAnsi="PT Astra Serif"/>
        </w:rPr>
      </w:pPr>
      <w:r w:rsidRPr="00ED6292">
        <w:rPr>
          <w:rFonts w:ascii="PT Astra Serif" w:hAnsi="PT Astra Serif"/>
        </w:rPr>
        <w:t>4. Оказание государственной поддержки 13 спортивным организациям, осуществляющим подготовку спортивного резерва для спортивных сборных команд Российской Федерации.</w:t>
      </w:r>
    </w:p>
    <w:p w14:paraId="0C3D66F8" w14:textId="77777777" w:rsidR="007222A5" w:rsidRPr="00ED6292" w:rsidRDefault="007222A5" w:rsidP="007222A5">
      <w:pPr>
        <w:widowControl w:val="0"/>
        <w:rPr>
          <w:rFonts w:ascii="PT Astra Serif" w:hAnsi="PT Astra Serif"/>
        </w:rPr>
      </w:pPr>
      <w:r w:rsidRPr="00ED6292">
        <w:rPr>
          <w:rFonts w:ascii="PT Astra Serif" w:hAnsi="PT Astra Serif"/>
        </w:rPr>
        <w:t>5. Предоставление единовременных компенсационных выплат трём работникам сферы физической культуры и спорта в рамках реализации программы «Земский тренер».</w:t>
      </w:r>
    </w:p>
    <w:p w14:paraId="2AA3FE14" w14:textId="77777777" w:rsidR="007222A5" w:rsidRPr="00ED6292" w:rsidRDefault="007222A5" w:rsidP="007222A5">
      <w:pPr>
        <w:widowControl w:val="0"/>
        <w:rPr>
          <w:rFonts w:ascii="PT Astra Serif" w:hAnsi="PT Astra Serif"/>
        </w:rPr>
      </w:pPr>
      <w:r w:rsidRPr="00ED6292">
        <w:rPr>
          <w:rFonts w:ascii="PT Astra Serif" w:hAnsi="PT Astra Serif"/>
        </w:rPr>
        <w:t xml:space="preserve">6. Создание в 6 муниципальных образованиях малых спортивных площадок, монтируемых на открытых или закрытых площадках, на которых возможно проводить тестирование населения в соответствии с требованиями Всероссийского физкультурно-спортивного комплекса «Готов к труду </w:t>
      </w:r>
      <w:r>
        <w:rPr>
          <w:rFonts w:ascii="PT Astra Serif" w:hAnsi="PT Astra Serif"/>
        </w:rPr>
        <w:br/>
      </w:r>
      <w:r w:rsidRPr="00ED6292">
        <w:rPr>
          <w:rFonts w:ascii="PT Astra Serif" w:hAnsi="PT Astra Serif"/>
        </w:rPr>
        <w:t>и обороне».</w:t>
      </w:r>
    </w:p>
    <w:p w14:paraId="705711C4" w14:textId="77777777" w:rsidR="007222A5" w:rsidRPr="00ED6292" w:rsidRDefault="007222A5" w:rsidP="007222A5">
      <w:pPr>
        <w:widowControl w:val="0"/>
        <w:rPr>
          <w:rFonts w:ascii="PT Astra Serif" w:hAnsi="PT Astra Serif"/>
        </w:rPr>
      </w:pPr>
      <w:r w:rsidRPr="00ED6292">
        <w:rPr>
          <w:rFonts w:ascii="PT Astra Serif" w:hAnsi="PT Astra Serif"/>
        </w:rPr>
        <w:t>7. Организация и проведение на территории Ульяновской области физкультурных и спортивных мероприятия по реализации Всероссийского физкультурно–спортивного комплекса «Готов к труду и обороне».</w:t>
      </w:r>
    </w:p>
    <w:p w14:paraId="57517780" w14:textId="620F95A4" w:rsidR="007222A5" w:rsidRPr="00ED6292" w:rsidRDefault="007222A5" w:rsidP="007222A5">
      <w:pPr>
        <w:widowControl w:val="0"/>
        <w:rPr>
          <w:rFonts w:ascii="PT Astra Serif" w:hAnsi="PT Astra Serif"/>
        </w:rPr>
      </w:pPr>
      <w:r w:rsidRPr="00ED6292">
        <w:rPr>
          <w:rFonts w:ascii="PT Astra Serif" w:hAnsi="PT Astra Serif"/>
        </w:rPr>
        <w:t xml:space="preserve">8. Реализация календарного плана межрегиональных, всероссийских </w:t>
      </w:r>
      <w:r>
        <w:rPr>
          <w:rFonts w:ascii="PT Astra Serif" w:hAnsi="PT Astra Serif"/>
        </w:rPr>
        <w:br/>
      </w:r>
      <w:r w:rsidRPr="00ED6292">
        <w:rPr>
          <w:rFonts w:ascii="PT Astra Serif" w:hAnsi="PT Astra Serif"/>
        </w:rPr>
        <w:t xml:space="preserve">и международных и спортивных мероприятий на территории </w:t>
      </w:r>
      <w:r w:rsidR="003C1BB2">
        <w:rPr>
          <w:rFonts w:ascii="PT Astra Serif" w:hAnsi="PT Astra Serif"/>
        </w:rPr>
        <w:t>региона</w:t>
      </w:r>
      <w:r w:rsidRPr="00ED6292">
        <w:rPr>
          <w:rFonts w:ascii="PT Astra Serif" w:hAnsi="PT Astra Serif"/>
        </w:rPr>
        <w:t>.</w:t>
      </w:r>
    </w:p>
    <w:p w14:paraId="6B624788" w14:textId="77777777" w:rsidR="007222A5" w:rsidRPr="00ED6292" w:rsidRDefault="007222A5" w:rsidP="007222A5">
      <w:pPr>
        <w:widowControl w:val="0"/>
        <w:rPr>
          <w:rFonts w:ascii="PT Astra Serif" w:hAnsi="PT Astra Serif"/>
        </w:rPr>
      </w:pPr>
      <w:r w:rsidRPr="00ED6292">
        <w:rPr>
          <w:rFonts w:ascii="PT Astra Serif" w:hAnsi="PT Astra Serif"/>
        </w:rPr>
        <w:t>9. Продолжение строительства:</w:t>
      </w:r>
    </w:p>
    <w:p w14:paraId="345F2B09" w14:textId="77777777" w:rsidR="007222A5" w:rsidRPr="00ED6292" w:rsidRDefault="007222A5" w:rsidP="007222A5">
      <w:pPr>
        <w:widowControl w:val="0"/>
        <w:rPr>
          <w:rFonts w:ascii="PT Astra Serif" w:hAnsi="PT Astra Serif"/>
        </w:rPr>
      </w:pPr>
      <w:r w:rsidRPr="00ED6292">
        <w:rPr>
          <w:rFonts w:ascii="PT Astra Serif" w:hAnsi="PT Astra Serif"/>
        </w:rPr>
        <w:t>крытого футбольного манежа в г. Ульяновске на пересечение</w:t>
      </w:r>
      <w:r w:rsidRPr="00ED6292">
        <w:rPr>
          <w:rFonts w:ascii="PT Astra Serif" w:hAnsi="PT Astra Serif"/>
        </w:rPr>
        <w:br/>
        <w:t xml:space="preserve"> ул. </w:t>
      </w:r>
      <w:proofErr w:type="spellStart"/>
      <w:r w:rsidRPr="00ED6292">
        <w:rPr>
          <w:rFonts w:ascii="PT Astra Serif" w:hAnsi="PT Astra Serif"/>
        </w:rPr>
        <w:t>Шолмова</w:t>
      </w:r>
      <w:proofErr w:type="spellEnd"/>
      <w:r w:rsidRPr="00ED6292">
        <w:rPr>
          <w:rFonts w:ascii="PT Astra Serif" w:hAnsi="PT Astra Serif"/>
        </w:rPr>
        <w:t xml:space="preserve"> и ул. Промышленной;</w:t>
      </w:r>
    </w:p>
    <w:p w14:paraId="73209266" w14:textId="044C0F37" w:rsidR="004B48B3" w:rsidRDefault="007222A5" w:rsidP="003C1BB2">
      <w:pPr>
        <w:widowControl w:val="0"/>
        <w:rPr>
          <w:rFonts w:ascii="PT Astra Serif" w:eastAsia="Times New Roman" w:hAnsi="PT Astra Serif"/>
          <w:szCs w:val="28"/>
        </w:rPr>
      </w:pPr>
      <w:r w:rsidRPr="00ED6292">
        <w:rPr>
          <w:rFonts w:ascii="PT Astra Serif" w:hAnsi="PT Astra Serif"/>
        </w:rPr>
        <w:t xml:space="preserve">физкультурно-оздоровительного комплекса </w:t>
      </w:r>
      <w:proofErr w:type="spellStart"/>
      <w:r w:rsidRPr="00ED6292">
        <w:rPr>
          <w:rFonts w:ascii="PT Astra Serif" w:hAnsi="PT Astra Serif"/>
        </w:rPr>
        <w:t>р.п</w:t>
      </w:r>
      <w:proofErr w:type="spellEnd"/>
      <w:r w:rsidRPr="00ED6292">
        <w:rPr>
          <w:rFonts w:ascii="PT Astra Serif" w:hAnsi="PT Astra Serif"/>
        </w:rPr>
        <w:t>. Кузоватово, Кузоватовский район, Ульяновской области.</w:t>
      </w:r>
      <w:r w:rsidR="004B48B3">
        <w:rPr>
          <w:rFonts w:ascii="PT Astra Serif" w:eastAsia="Times New Roman" w:hAnsi="PT Astra Serif"/>
          <w:szCs w:val="28"/>
        </w:rPr>
        <w:br w:type="page"/>
      </w:r>
    </w:p>
    <w:p w14:paraId="56278B5E" w14:textId="77777777" w:rsidR="004B4863" w:rsidRPr="004B4863" w:rsidRDefault="004B4863" w:rsidP="004B4863">
      <w:pPr>
        <w:keepNext/>
        <w:keepLines/>
        <w:widowControl w:val="0"/>
        <w:shd w:val="clear" w:color="auto" w:fill="FFFFFF"/>
        <w:ind w:firstLine="0"/>
        <w:jc w:val="center"/>
        <w:outlineLvl w:val="0"/>
        <w:rPr>
          <w:rFonts w:ascii="PT Astra Serif" w:eastAsia="Calibri" w:hAnsi="PT Astra Serif" w:cs="Times New Roman"/>
          <w:b/>
          <w:color w:val="000000" w:themeColor="text1"/>
          <w:szCs w:val="28"/>
          <w:lang w:val="x-none" w:eastAsia="x-none"/>
        </w:rPr>
      </w:pPr>
      <w:bookmarkStart w:id="12" w:name="_Toc193721665"/>
      <w:bookmarkStart w:id="13" w:name="_Toc226016702"/>
      <w:r w:rsidRPr="004B4863">
        <w:rPr>
          <w:rFonts w:ascii="PT Astra Serif" w:eastAsia="Calibri" w:hAnsi="PT Astra Serif" w:cs="Times New Roman"/>
          <w:b/>
          <w:color w:val="000000" w:themeColor="text1"/>
          <w:szCs w:val="28"/>
          <w:lang w:val="x-none" w:eastAsia="x-none"/>
        </w:rPr>
        <w:lastRenderedPageBreak/>
        <w:t>МОЛОДЁЖНАЯ ПОЛИТИКА</w:t>
      </w:r>
      <w:bookmarkEnd w:id="12"/>
      <w:bookmarkEnd w:id="13"/>
    </w:p>
    <w:p w14:paraId="461A74D5" w14:textId="77777777" w:rsidR="004B4863" w:rsidRPr="004B4863" w:rsidRDefault="004B4863" w:rsidP="004B4863">
      <w:pPr>
        <w:widowControl w:val="0"/>
        <w:rPr>
          <w:rFonts w:ascii="PT Astra Serif" w:eastAsia="Times New Roman" w:hAnsi="PT Astra Serif" w:cs="Times New Roman"/>
          <w:szCs w:val="28"/>
          <w:lang w:eastAsia="ru-RU"/>
        </w:rPr>
      </w:pPr>
    </w:p>
    <w:p w14:paraId="510520C5" w14:textId="77777777" w:rsidR="006F2910" w:rsidRPr="006F2910" w:rsidRDefault="006F2910" w:rsidP="006F2910">
      <w:pPr>
        <w:widowControl w:val="0"/>
        <w:shd w:val="clear" w:color="auto" w:fill="FFFFFF"/>
        <w:ind w:firstLine="0"/>
        <w:jc w:val="center"/>
        <w:rPr>
          <w:rFonts w:ascii="PT Astra Serif" w:eastAsia="Times New Roman" w:hAnsi="PT Astra Serif" w:cs="Segoe UI"/>
          <w:b/>
          <w:bCs/>
          <w:color w:val="0F1115"/>
          <w:szCs w:val="28"/>
          <w:lang w:eastAsia="ru-RU"/>
        </w:rPr>
      </w:pPr>
      <w:r w:rsidRPr="006F2910">
        <w:rPr>
          <w:rFonts w:ascii="PT Astra Serif" w:eastAsia="Times New Roman" w:hAnsi="PT Astra Serif" w:cs="Segoe UI"/>
          <w:b/>
          <w:bCs/>
          <w:color w:val="0F1115"/>
          <w:szCs w:val="28"/>
          <w:lang w:eastAsia="ru-RU"/>
        </w:rPr>
        <w:t>Объёмы финансирования в 2025 году</w:t>
      </w:r>
    </w:p>
    <w:p w14:paraId="4CC708EC" w14:textId="77777777" w:rsidR="006F2910" w:rsidRPr="00E66396" w:rsidRDefault="006F2910" w:rsidP="00E66396">
      <w:pPr>
        <w:widowControl w:val="0"/>
        <w:shd w:val="clear" w:color="auto" w:fill="FFFFFF"/>
        <w:rPr>
          <w:rFonts w:ascii="PT Astra Serif" w:eastAsia="Times New Roman" w:hAnsi="PT Astra Serif" w:cs="Segoe UI"/>
          <w:b/>
          <w:bCs/>
          <w:color w:val="0F1115"/>
          <w:szCs w:val="28"/>
          <w:lang w:eastAsia="ru-RU"/>
        </w:rPr>
      </w:pPr>
    </w:p>
    <w:p w14:paraId="6945D136"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Первоначально запланированный бюджет:</w:t>
      </w:r>
    </w:p>
    <w:p w14:paraId="3677E640" w14:textId="12750385"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Областной бюджет: </w:t>
      </w:r>
      <w:r>
        <w:rPr>
          <w:rFonts w:ascii="PT Astra Serif" w:eastAsia="Times New Roman" w:hAnsi="PT Astra Serif" w:cs="Segoe UI"/>
          <w:b/>
          <w:bCs/>
          <w:color w:val="0F1115"/>
          <w:szCs w:val="28"/>
          <w:lang w:eastAsia="ru-RU"/>
        </w:rPr>
        <w:t>85 777 </w:t>
      </w:r>
      <w:r w:rsidRPr="00E66396">
        <w:rPr>
          <w:rFonts w:ascii="PT Astra Serif" w:eastAsia="Times New Roman" w:hAnsi="PT Astra Serif" w:cs="Segoe UI"/>
          <w:b/>
          <w:bCs/>
          <w:color w:val="0F1115"/>
          <w:szCs w:val="28"/>
          <w:lang w:eastAsia="ru-RU"/>
        </w:rPr>
        <w:t xml:space="preserve">131,81 </w:t>
      </w:r>
      <w:r w:rsidRPr="00E66396">
        <w:rPr>
          <w:rFonts w:ascii="PT Astra Serif" w:eastAsia="Times New Roman" w:hAnsi="PT Astra Serif" w:cs="Segoe UI"/>
          <w:color w:val="0F1115"/>
          <w:szCs w:val="28"/>
          <w:lang w:eastAsia="ru-RU"/>
        </w:rPr>
        <w:t>рублей.</w:t>
      </w:r>
    </w:p>
    <w:p w14:paraId="30C8F2BA"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Федеральный бюджет: </w:t>
      </w:r>
      <w:r w:rsidRPr="00E66396">
        <w:rPr>
          <w:rFonts w:ascii="PT Astra Serif" w:eastAsia="Times New Roman" w:hAnsi="PT Astra Serif" w:cs="Segoe UI"/>
          <w:b/>
          <w:bCs/>
          <w:color w:val="0F1115"/>
          <w:szCs w:val="28"/>
          <w:lang w:eastAsia="ru-RU"/>
        </w:rPr>
        <w:t xml:space="preserve">127 736 900,00 </w:t>
      </w:r>
      <w:r w:rsidRPr="00E66396">
        <w:rPr>
          <w:rFonts w:ascii="PT Astra Serif" w:eastAsia="Times New Roman" w:hAnsi="PT Astra Serif" w:cs="Segoe UI"/>
          <w:color w:val="0F1115"/>
          <w:szCs w:val="28"/>
          <w:lang w:eastAsia="ru-RU"/>
        </w:rPr>
        <w:t xml:space="preserve">рублей. </w:t>
      </w:r>
    </w:p>
    <w:p w14:paraId="28149C5E"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ИТОГО план:</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b/>
          <w:bCs/>
          <w:color w:val="0F1115"/>
          <w:szCs w:val="28"/>
          <w:lang w:eastAsia="ru-RU"/>
        </w:rPr>
        <w:t>283 192 100,00</w:t>
      </w:r>
      <w:r w:rsidRPr="00E66396">
        <w:rPr>
          <w:rFonts w:ascii="PT Astra Serif" w:eastAsia="Times New Roman" w:hAnsi="PT Astra Serif" w:cs="Segoe UI"/>
          <w:color w:val="0F1115"/>
          <w:szCs w:val="28"/>
          <w:lang w:eastAsia="ru-RU"/>
        </w:rPr>
        <w:t xml:space="preserve"> рублей.</w:t>
      </w:r>
    </w:p>
    <w:p w14:paraId="39BF90F9" w14:textId="58C08703"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Финансирование из дополнительных доходов областного бюджета: </w:t>
      </w:r>
      <w:r w:rsidRPr="00E66396">
        <w:rPr>
          <w:rFonts w:ascii="PT Astra Serif" w:eastAsia="Times New Roman" w:hAnsi="PT Astra Serif" w:cs="Segoe UI"/>
          <w:bCs/>
          <w:color w:val="0F1115"/>
          <w:szCs w:val="28"/>
          <w:lang w:eastAsia="ru-RU"/>
        </w:rPr>
        <w:t>дополнительно Министерству молодёжного развития Ульяновской области</w:t>
      </w:r>
      <w:r w:rsidR="00A52819">
        <w:rPr>
          <w:rFonts w:ascii="PT Astra Serif" w:eastAsia="Times New Roman" w:hAnsi="PT Astra Serif" w:cs="Segoe UI"/>
          <w:bCs/>
          <w:color w:val="0F1115"/>
          <w:szCs w:val="28"/>
          <w:lang w:eastAsia="ru-RU"/>
        </w:rPr>
        <w:t xml:space="preserve"> </w:t>
      </w:r>
      <w:r w:rsidRPr="00E66396">
        <w:rPr>
          <w:rFonts w:ascii="PT Astra Serif" w:eastAsia="Times New Roman" w:hAnsi="PT Astra Serif" w:cs="Segoe UI"/>
          <w:bCs/>
          <w:color w:val="0F1115"/>
          <w:szCs w:val="28"/>
          <w:lang w:eastAsia="ru-RU"/>
        </w:rPr>
        <w:t xml:space="preserve">доведены средства областного бюджета в размере </w:t>
      </w:r>
      <w:r>
        <w:rPr>
          <w:rFonts w:ascii="PT Astra Serif" w:eastAsia="Times New Roman" w:hAnsi="PT Astra Serif" w:cs="Segoe UI"/>
          <w:bCs/>
          <w:color w:val="0F1115"/>
          <w:szCs w:val="28"/>
          <w:lang w:eastAsia="ru-RU"/>
        </w:rPr>
        <w:t>67 976 </w:t>
      </w:r>
      <w:r w:rsidRPr="00E66396">
        <w:rPr>
          <w:rFonts w:ascii="PT Astra Serif" w:eastAsia="Times New Roman" w:hAnsi="PT Astra Serif" w:cs="Segoe UI"/>
          <w:bCs/>
          <w:color w:val="0F1115"/>
          <w:szCs w:val="28"/>
          <w:lang w:eastAsia="ru-RU"/>
        </w:rPr>
        <w:t>868,19 рублей.</w:t>
      </w:r>
    </w:p>
    <w:p w14:paraId="05297D99"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Дополнительное финансирование из федерального бюджета:</w:t>
      </w:r>
    </w:p>
    <w:p w14:paraId="23C40198"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119 957 100,00 рублей </w:t>
      </w:r>
      <w:r w:rsidRPr="00E66396">
        <w:rPr>
          <w:rFonts w:ascii="PT Astra Serif" w:eastAsia="Times New Roman" w:hAnsi="PT Astra Serif" w:cs="Segoe UI"/>
          <w:color w:val="0F1115"/>
          <w:szCs w:val="28"/>
          <w:lang w:eastAsia="ru-RU"/>
        </w:rPr>
        <w:t>- субсидия на реализацию программы комплексного развития молодёжной политики «Регион для молодых» федерального проекта «Россия - страна возможностей» национального проекта «Молодёжь и дети».</w:t>
      </w:r>
    </w:p>
    <w:p w14:paraId="317DE1BC" w14:textId="4C83418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7 780 000,00 рублей </w:t>
      </w:r>
      <w:r w:rsidRPr="00E66396">
        <w:rPr>
          <w:rFonts w:ascii="PT Astra Serif" w:eastAsia="Times New Roman" w:hAnsi="PT Astra Serif" w:cs="Segoe UI"/>
          <w:color w:val="0F1115"/>
          <w:szCs w:val="28"/>
          <w:lang w:eastAsia="ru-RU"/>
        </w:rPr>
        <w:t xml:space="preserve">– субсидия на реализацию практики поддержки </w:t>
      </w:r>
      <w:r>
        <w:rPr>
          <w:rFonts w:ascii="PT Astra Serif" w:eastAsia="Times New Roman" w:hAnsi="PT Astra Serif" w:cs="Segoe UI"/>
          <w:color w:val="0F1115"/>
          <w:szCs w:val="28"/>
          <w:lang w:eastAsia="ru-RU"/>
        </w:rPr>
        <w:br/>
      </w:r>
      <w:r w:rsidRPr="00E66396">
        <w:rPr>
          <w:rFonts w:ascii="PT Astra Serif" w:eastAsia="Times New Roman" w:hAnsi="PT Astra Serif" w:cs="Segoe UI"/>
          <w:color w:val="0F1115"/>
          <w:szCs w:val="28"/>
          <w:lang w:eastAsia="ru-RU"/>
        </w:rPr>
        <w:t>и развития добровольчества (волонтерства) «Регион добрых дел» федерального проекта «Мы вместе (Воспитание гармонично развитой личности)» национального проекта «Молодёжь и дети».</w:t>
      </w:r>
    </w:p>
    <w:p w14:paraId="3016F834" w14:textId="77777777" w:rsidR="00E66396" w:rsidRDefault="00E66396" w:rsidP="00E66396">
      <w:pPr>
        <w:widowControl w:val="0"/>
        <w:shd w:val="clear" w:color="auto" w:fill="FFFFFF"/>
        <w:rPr>
          <w:rFonts w:ascii="PT Astra Serif" w:eastAsia="Times New Roman" w:hAnsi="PT Astra Serif" w:cs="Segoe UI"/>
          <w:i/>
          <w:iCs/>
          <w:color w:val="0F1115"/>
          <w:szCs w:val="28"/>
          <w:lang w:eastAsia="ru-RU"/>
        </w:rPr>
      </w:pPr>
    </w:p>
    <w:p w14:paraId="0F39D06D" w14:textId="77777777" w:rsidR="00E66396" w:rsidRPr="00E66396" w:rsidRDefault="00E66396" w:rsidP="00E66396">
      <w:pPr>
        <w:widowControl w:val="0"/>
        <w:shd w:val="clear" w:color="auto" w:fill="FFFFFF"/>
        <w:rPr>
          <w:rFonts w:ascii="PT Astra Serif" w:eastAsia="Times New Roman" w:hAnsi="PT Astra Serif" w:cs="Segoe UI"/>
          <w:b/>
          <w:i/>
          <w:color w:val="0F1115"/>
          <w:sz w:val="24"/>
          <w:szCs w:val="24"/>
          <w:u w:val="single"/>
          <w:lang w:eastAsia="ru-RU"/>
        </w:rPr>
      </w:pPr>
      <w:r w:rsidRPr="00E66396">
        <w:rPr>
          <w:rFonts w:ascii="PT Astra Serif" w:eastAsia="Times New Roman" w:hAnsi="PT Astra Serif" w:cs="Segoe UI"/>
          <w:b/>
          <w:i/>
          <w:iCs/>
          <w:color w:val="0F1115"/>
          <w:sz w:val="24"/>
          <w:szCs w:val="24"/>
          <w:u w:val="single"/>
          <w:lang w:eastAsia="ru-RU"/>
        </w:rPr>
        <w:t>Справочно:</w:t>
      </w:r>
      <w:r w:rsidRPr="00E66396">
        <w:rPr>
          <w:rFonts w:ascii="PT Astra Serif" w:eastAsia="Times New Roman" w:hAnsi="PT Astra Serif" w:cs="Segoe UI"/>
          <w:b/>
          <w:i/>
          <w:color w:val="0F1115"/>
          <w:sz w:val="24"/>
          <w:szCs w:val="24"/>
          <w:u w:val="single"/>
          <w:lang w:eastAsia="ru-RU"/>
        </w:rPr>
        <w:t xml:space="preserve"> </w:t>
      </w:r>
    </w:p>
    <w:p w14:paraId="4549C802" w14:textId="5ED0E6F9" w:rsidR="00E66396" w:rsidRPr="00E66396" w:rsidRDefault="00E66396" w:rsidP="00E66396">
      <w:pPr>
        <w:widowControl w:val="0"/>
        <w:shd w:val="clear" w:color="auto" w:fill="FFFFFF"/>
        <w:rPr>
          <w:rFonts w:ascii="PT Astra Serif" w:eastAsia="Times New Roman" w:hAnsi="PT Astra Serif" w:cs="Segoe UI"/>
          <w:i/>
          <w:color w:val="0F1115"/>
          <w:sz w:val="24"/>
          <w:szCs w:val="24"/>
          <w:lang w:eastAsia="ru-RU"/>
        </w:rPr>
      </w:pPr>
      <w:proofErr w:type="spellStart"/>
      <w:r w:rsidRPr="00E66396">
        <w:rPr>
          <w:rFonts w:ascii="PT Astra Serif" w:eastAsia="Times New Roman" w:hAnsi="PT Astra Serif" w:cs="Segoe UI"/>
          <w:i/>
          <w:color w:val="0F1115"/>
          <w:sz w:val="24"/>
          <w:szCs w:val="24"/>
          <w:lang w:eastAsia="ru-RU"/>
        </w:rPr>
        <w:t>Грантовые</w:t>
      </w:r>
      <w:proofErr w:type="spellEnd"/>
      <w:r w:rsidRPr="00E66396">
        <w:rPr>
          <w:rFonts w:ascii="PT Astra Serif" w:eastAsia="Times New Roman" w:hAnsi="PT Astra Serif" w:cs="Segoe UI"/>
          <w:i/>
          <w:color w:val="0F1115"/>
          <w:sz w:val="24"/>
          <w:szCs w:val="24"/>
          <w:lang w:eastAsia="ru-RU"/>
        </w:rPr>
        <w:t xml:space="preserve"> средства, привлечённые НКО и учреждениями напрямую из Фонда президентских грантов, ПФКИ, </w:t>
      </w:r>
      <w:proofErr w:type="spellStart"/>
      <w:r w:rsidRPr="00E66396">
        <w:rPr>
          <w:rFonts w:ascii="PT Astra Serif" w:eastAsia="Times New Roman" w:hAnsi="PT Astra Serif" w:cs="Segoe UI"/>
          <w:i/>
          <w:color w:val="0F1115"/>
          <w:sz w:val="24"/>
          <w:szCs w:val="24"/>
          <w:lang w:eastAsia="ru-RU"/>
        </w:rPr>
        <w:t>Росмолодёжь.Гранты</w:t>
      </w:r>
      <w:proofErr w:type="spellEnd"/>
      <w:r w:rsidRPr="00E66396">
        <w:rPr>
          <w:rFonts w:ascii="PT Astra Serif" w:eastAsia="Times New Roman" w:hAnsi="PT Astra Serif" w:cs="Segoe UI"/>
          <w:i/>
          <w:color w:val="0F1115"/>
          <w:sz w:val="24"/>
          <w:szCs w:val="24"/>
          <w:lang w:eastAsia="ru-RU"/>
        </w:rPr>
        <w:t xml:space="preserve"> (всего </w:t>
      </w:r>
      <w:r w:rsidRPr="00E66396">
        <w:rPr>
          <w:rFonts w:ascii="PT Astra Serif" w:eastAsia="Times New Roman" w:hAnsi="PT Astra Serif" w:cs="Segoe UI"/>
          <w:b/>
          <w:bCs/>
          <w:i/>
          <w:color w:val="0F1115"/>
          <w:sz w:val="24"/>
          <w:szCs w:val="24"/>
          <w:lang w:eastAsia="ru-RU"/>
        </w:rPr>
        <w:t>262,6 млн руб.</w:t>
      </w:r>
      <w:r w:rsidRPr="00E66396">
        <w:rPr>
          <w:rFonts w:ascii="PT Astra Serif" w:eastAsia="Times New Roman" w:hAnsi="PT Astra Serif" w:cs="Segoe UI"/>
          <w:i/>
          <w:color w:val="0F1115"/>
          <w:sz w:val="24"/>
          <w:szCs w:val="24"/>
          <w:lang w:eastAsia="ru-RU"/>
        </w:rPr>
        <w:t>), учитываются как внебюджетные инвестиции в отрасль и отражены в достижениях, но не входят в бюджетную роспись Министерства молодёжного развития Ульяновской области как главного распорядителя.</w:t>
      </w:r>
    </w:p>
    <w:p w14:paraId="0DEA69A5" w14:textId="77777777" w:rsidR="00E66396" w:rsidRPr="00E66396" w:rsidRDefault="00E66396" w:rsidP="00E66396">
      <w:pPr>
        <w:widowControl w:val="0"/>
        <w:shd w:val="clear" w:color="auto" w:fill="FFFFFF"/>
        <w:rPr>
          <w:rFonts w:ascii="PT Astra Serif" w:eastAsia="Times New Roman" w:hAnsi="PT Astra Serif" w:cs="Segoe UI"/>
          <w:b/>
          <w:bCs/>
          <w:i/>
          <w:color w:val="0F1115"/>
          <w:sz w:val="24"/>
          <w:szCs w:val="24"/>
          <w:lang w:eastAsia="ru-RU"/>
        </w:rPr>
      </w:pPr>
    </w:p>
    <w:p w14:paraId="3A8ABEFB" w14:textId="5FF9D19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Итоговое фактическое финансирование (кассовое исполнение):</w:t>
      </w:r>
    </w:p>
    <w:p w14:paraId="77CD7D3F"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Областной бюджет: </w:t>
      </w:r>
      <w:r w:rsidRPr="00E66396">
        <w:rPr>
          <w:rFonts w:ascii="PT Astra Serif" w:eastAsia="Times New Roman" w:hAnsi="PT Astra Serif" w:cs="Segoe UI"/>
          <w:b/>
          <w:bCs/>
          <w:color w:val="0F1115"/>
          <w:szCs w:val="28"/>
          <w:lang w:eastAsia="ru-RU"/>
        </w:rPr>
        <w:t xml:space="preserve">150 880 911,75 </w:t>
      </w:r>
      <w:r w:rsidRPr="00E66396">
        <w:rPr>
          <w:rFonts w:ascii="PT Astra Serif" w:eastAsia="Times New Roman" w:hAnsi="PT Astra Serif" w:cs="Segoe UI"/>
          <w:color w:val="0F1115"/>
          <w:szCs w:val="28"/>
          <w:lang w:eastAsia="ru-RU"/>
        </w:rPr>
        <w:t>рублей (исполнение - 98% от годового планового значения – 153 754 000 рублей)</w:t>
      </w:r>
    </w:p>
    <w:p w14:paraId="214AC077"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Федеральные средства (субсидии): </w:t>
      </w:r>
      <w:r w:rsidRPr="00E66396">
        <w:rPr>
          <w:rFonts w:ascii="PT Astra Serif" w:eastAsia="Times New Roman" w:hAnsi="PT Astra Serif" w:cs="Segoe UI"/>
          <w:b/>
          <w:bCs/>
          <w:color w:val="0F1115"/>
          <w:szCs w:val="28"/>
          <w:lang w:eastAsia="ru-RU"/>
        </w:rPr>
        <w:t xml:space="preserve">127 736 900,00 </w:t>
      </w:r>
      <w:r w:rsidRPr="00E66396">
        <w:rPr>
          <w:rFonts w:ascii="PT Astra Serif" w:eastAsia="Times New Roman" w:hAnsi="PT Astra Serif" w:cs="Segoe UI"/>
          <w:color w:val="0F1115"/>
          <w:szCs w:val="28"/>
          <w:lang w:eastAsia="ru-RU"/>
        </w:rPr>
        <w:t>рублей (исполнение -  100%).</w:t>
      </w:r>
    </w:p>
    <w:p w14:paraId="4BC6625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ВСЕГО исполнение по бюджету </w:t>
      </w:r>
      <w:r w:rsidRPr="00E66396">
        <w:rPr>
          <w:rFonts w:ascii="PT Astra Serif" w:eastAsia="Times New Roman" w:hAnsi="PT Astra Serif" w:cs="Segoe UI"/>
          <w:bCs/>
          <w:color w:val="0F1115"/>
          <w:szCs w:val="28"/>
          <w:lang w:eastAsia="ru-RU"/>
        </w:rPr>
        <w:t>Министерства</w:t>
      </w:r>
      <w:r w:rsidRPr="00E66396">
        <w:rPr>
          <w:rFonts w:ascii="PT Astra Serif" w:eastAsia="Times New Roman" w:hAnsi="PT Astra Serif" w:cs="Segoe UI"/>
          <w:b/>
          <w:bCs/>
          <w:color w:val="0F1115"/>
          <w:szCs w:val="28"/>
          <w:lang w:eastAsia="ru-RU"/>
        </w:rPr>
        <w:t xml:space="preserve"> </w:t>
      </w:r>
      <w:r w:rsidRPr="00E66396">
        <w:rPr>
          <w:rFonts w:ascii="PT Astra Serif" w:eastAsia="Times New Roman" w:hAnsi="PT Astra Serif" w:cs="Segoe UI"/>
          <w:color w:val="0F1115"/>
          <w:szCs w:val="28"/>
          <w:lang w:eastAsia="ru-RU"/>
        </w:rPr>
        <w:t>молодёжного развития Ульяновской области</w:t>
      </w:r>
      <w:r w:rsidRPr="00E66396">
        <w:rPr>
          <w:rFonts w:ascii="PT Astra Serif" w:eastAsia="Times New Roman" w:hAnsi="PT Astra Serif" w:cs="Segoe UI"/>
          <w:b/>
          <w:bCs/>
          <w:color w:val="0F1115"/>
          <w:szCs w:val="28"/>
          <w:lang w:eastAsia="ru-RU"/>
        </w:rPr>
        <w:t xml:space="preserve">: 278 617 811,75 рублей, </w:t>
      </w:r>
      <w:r w:rsidRPr="00E66396">
        <w:rPr>
          <w:rFonts w:ascii="PT Astra Serif" w:eastAsia="Times New Roman" w:hAnsi="PT Astra Serif" w:cs="Segoe UI"/>
          <w:color w:val="0F1115"/>
          <w:szCs w:val="28"/>
          <w:lang w:eastAsia="ru-RU"/>
        </w:rPr>
        <w:t xml:space="preserve">что составляет 99% от плана (281 490 900 </w:t>
      </w:r>
      <w:proofErr w:type="spellStart"/>
      <w:r w:rsidRPr="00E66396">
        <w:rPr>
          <w:rFonts w:ascii="PT Astra Serif" w:eastAsia="Times New Roman" w:hAnsi="PT Astra Serif" w:cs="Segoe UI"/>
          <w:color w:val="0F1115"/>
          <w:szCs w:val="28"/>
          <w:lang w:eastAsia="ru-RU"/>
        </w:rPr>
        <w:t>тыс</w:t>
      </w:r>
      <w:proofErr w:type="spellEnd"/>
      <w:r w:rsidRPr="00E66396">
        <w:rPr>
          <w:rFonts w:ascii="PT Astra Serif" w:eastAsia="Times New Roman" w:hAnsi="PT Astra Serif" w:cs="Segoe UI"/>
          <w:color w:val="0F1115"/>
          <w:szCs w:val="28"/>
          <w:lang w:eastAsia="ru-RU"/>
        </w:rPr>
        <w:t xml:space="preserve"> рублей)</w:t>
      </w:r>
    </w:p>
    <w:p w14:paraId="14B72D33"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Динамика финансовых показателей (2025 к 2024):</w:t>
      </w:r>
    </w:p>
    <w:p w14:paraId="0AFC347C" w14:textId="4BDAEEB3"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Общий объём средств вырос на </w:t>
      </w:r>
      <w:r w:rsidRPr="00E66396">
        <w:rPr>
          <w:rFonts w:ascii="PT Astra Serif" w:eastAsia="Times New Roman" w:hAnsi="PT Astra Serif" w:cs="Segoe UI"/>
          <w:b/>
          <w:bCs/>
          <w:color w:val="0F1115"/>
          <w:szCs w:val="28"/>
          <w:lang w:eastAsia="ru-RU"/>
        </w:rPr>
        <w:t xml:space="preserve">88,4% </w:t>
      </w:r>
      <w:r w:rsidRPr="00E66396">
        <w:rPr>
          <w:rFonts w:ascii="PT Astra Serif" w:eastAsia="Times New Roman" w:hAnsi="PT Astra Serif" w:cs="Segoe UI"/>
          <w:color w:val="0F1115"/>
          <w:szCs w:val="28"/>
          <w:lang w:eastAsia="ru-RU"/>
        </w:rPr>
        <w:t>(с 150,2 млн рублей в 2024 году до 283,2 млн рублей в 2025 году).</w:t>
      </w:r>
      <w:r>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color w:val="0F1115"/>
          <w:szCs w:val="28"/>
          <w:lang w:eastAsia="ru-RU"/>
        </w:rPr>
        <w:t xml:space="preserve">Основной прирост обеспечен за счёт федеральных субсидий, которые в 2024 году отсутствовали, а в 2025 году составили </w:t>
      </w:r>
      <w:r w:rsidRPr="00E66396">
        <w:rPr>
          <w:rFonts w:ascii="PT Astra Serif" w:eastAsia="Times New Roman" w:hAnsi="PT Astra Serif" w:cs="Segoe UI"/>
          <w:b/>
          <w:bCs/>
          <w:color w:val="0F1115"/>
          <w:szCs w:val="28"/>
          <w:lang w:eastAsia="ru-RU"/>
        </w:rPr>
        <w:t>127,7 млн рублей.</w:t>
      </w:r>
      <w:r w:rsidRPr="00E66396">
        <w:rPr>
          <w:rFonts w:ascii="PT Astra Serif" w:eastAsia="Times New Roman" w:hAnsi="PT Astra Serif" w:cs="Segoe UI"/>
          <w:color w:val="0F1115"/>
          <w:szCs w:val="28"/>
          <w:lang w:eastAsia="ru-RU"/>
        </w:rPr>
        <w:t xml:space="preserve"> Это свидетельствует о выходе региона на качественно новый уровень федерального </w:t>
      </w:r>
      <w:proofErr w:type="spellStart"/>
      <w:r w:rsidRPr="00E66396">
        <w:rPr>
          <w:rFonts w:ascii="PT Astra Serif" w:eastAsia="Times New Roman" w:hAnsi="PT Astra Serif" w:cs="Segoe UI"/>
          <w:color w:val="0F1115"/>
          <w:szCs w:val="28"/>
          <w:lang w:eastAsia="ru-RU"/>
        </w:rPr>
        <w:t>софинансирования</w:t>
      </w:r>
      <w:proofErr w:type="spellEnd"/>
      <w:r w:rsidRPr="00E66396">
        <w:rPr>
          <w:rFonts w:ascii="PT Astra Serif" w:eastAsia="Times New Roman" w:hAnsi="PT Astra Serif" w:cs="Segoe UI"/>
          <w:color w:val="0F1115"/>
          <w:szCs w:val="28"/>
          <w:lang w:eastAsia="ru-RU"/>
        </w:rPr>
        <w:t xml:space="preserve"> инфраструктурных проектов.</w:t>
      </w:r>
    </w:p>
    <w:p w14:paraId="087635AB" w14:textId="194A75C2" w:rsid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58945E67" w14:textId="6173249F" w:rsid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1950C44D" w14:textId="77777777" w:rsidR="00A52819" w:rsidRDefault="00A52819" w:rsidP="00E66396">
      <w:pPr>
        <w:widowControl w:val="0"/>
        <w:shd w:val="clear" w:color="auto" w:fill="FFFFFF"/>
        <w:rPr>
          <w:rFonts w:ascii="PT Astra Serif" w:eastAsia="Times New Roman" w:hAnsi="PT Astra Serif" w:cs="Segoe UI"/>
          <w:b/>
          <w:bCs/>
          <w:color w:val="0F1115"/>
          <w:szCs w:val="28"/>
          <w:lang w:eastAsia="ru-RU"/>
        </w:rPr>
      </w:pPr>
    </w:p>
    <w:p w14:paraId="39F59293" w14:textId="7C05DF96" w:rsidR="00E66396" w:rsidRPr="00E66396" w:rsidRDefault="00E66396" w:rsidP="00E66396">
      <w:pPr>
        <w:widowControl w:val="0"/>
        <w:shd w:val="clear" w:color="auto" w:fill="FFFFFF"/>
        <w:ind w:firstLine="0"/>
        <w:jc w:val="center"/>
        <w:rPr>
          <w:rFonts w:ascii="PT Astra Serif" w:eastAsia="Times New Roman" w:hAnsi="PT Astra Serif" w:cs="Segoe UI"/>
          <w:b/>
          <w:bCs/>
          <w:color w:val="0F1115"/>
          <w:szCs w:val="28"/>
          <w:lang w:eastAsia="ru-RU"/>
        </w:rPr>
      </w:pPr>
      <w:r w:rsidRPr="00E66396">
        <w:rPr>
          <w:rFonts w:ascii="PT Astra Serif" w:eastAsia="Times New Roman" w:hAnsi="PT Astra Serif" w:cs="Segoe UI"/>
          <w:b/>
          <w:bCs/>
          <w:color w:val="0F1115"/>
          <w:szCs w:val="28"/>
          <w:lang w:eastAsia="ru-RU"/>
        </w:rPr>
        <w:lastRenderedPageBreak/>
        <w:t xml:space="preserve">Основные агрегированные показатели деятельности и позиции </w:t>
      </w:r>
      <w:r>
        <w:rPr>
          <w:rFonts w:ascii="PT Astra Serif" w:eastAsia="Times New Roman" w:hAnsi="PT Astra Serif" w:cs="Segoe UI"/>
          <w:b/>
          <w:bCs/>
          <w:color w:val="0F1115"/>
          <w:szCs w:val="28"/>
          <w:lang w:eastAsia="ru-RU"/>
        </w:rPr>
        <w:br/>
      </w:r>
      <w:r w:rsidRPr="00E66396">
        <w:rPr>
          <w:rFonts w:ascii="PT Astra Serif" w:eastAsia="Times New Roman" w:hAnsi="PT Astra Serif" w:cs="Segoe UI"/>
          <w:b/>
          <w:bCs/>
          <w:color w:val="0F1115"/>
          <w:szCs w:val="28"/>
          <w:lang w:eastAsia="ru-RU"/>
        </w:rPr>
        <w:t>в рейтингах</w:t>
      </w:r>
    </w:p>
    <w:p w14:paraId="1D04E6C0"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601502F4" w14:textId="0CC4F9D0"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Международная премия #МЫВМЕСТЕ:</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b/>
          <w:bCs/>
          <w:color w:val="0F1115"/>
          <w:szCs w:val="28"/>
          <w:lang w:eastAsia="ru-RU"/>
        </w:rPr>
        <w:t xml:space="preserve">1 место </w:t>
      </w:r>
      <w:r w:rsidRPr="00E66396">
        <w:rPr>
          <w:rFonts w:ascii="PT Astra Serif" w:eastAsia="Times New Roman" w:hAnsi="PT Astra Serif" w:cs="Segoe UI"/>
          <w:color w:val="0F1115"/>
          <w:szCs w:val="28"/>
          <w:lang w:eastAsia="ru-RU"/>
        </w:rPr>
        <w:t>в номинации «Субъект Российской Федерации» (награда вручена Губернатору Ульяновской области А.Ю. Русских в декабре 2025 года).</w:t>
      </w:r>
    </w:p>
    <w:p w14:paraId="211F351E"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Всероссийский рейтинг добровольчества:</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b/>
          <w:bCs/>
          <w:color w:val="0F1115"/>
          <w:szCs w:val="28"/>
          <w:lang w:eastAsia="ru-RU"/>
        </w:rPr>
        <w:t xml:space="preserve">1 место </w:t>
      </w:r>
      <w:r w:rsidRPr="00E66396">
        <w:rPr>
          <w:rFonts w:ascii="PT Astra Serif" w:eastAsia="Times New Roman" w:hAnsi="PT Astra Serif" w:cs="Segoe UI"/>
          <w:color w:val="0F1115"/>
          <w:szCs w:val="28"/>
          <w:lang w:eastAsia="ru-RU"/>
        </w:rPr>
        <w:t>в общероссийском рейтинге эффективности развития добровольческой деятельности.</w:t>
      </w:r>
    </w:p>
    <w:p w14:paraId="454577A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Регион добрых дел:</w:t>
      </w:r>
      <w:r w:rsidRPr="00E66396">
        <w:rPr>
          <w:rFonts w:ascii="PT Astra Serif" w:eastAsia="Times New Roman" w:hAnsi="PT Astra Serif" w:cs="Segoe UI"/>
          <w:color w:val="0F1115"/>
          <w:szCs w:val="28"/>
          <w:lang w:eastAsia="ru-RU"/>
        </w:rPr>
        <w:t xml:space="preserve"> Победа во Всероссийском конкурсе (объём гранта </w:t>
      </w:r>
      <w:r w:rsidRPr="00E66396">
        <w:rPr>
          <w:rFonts w:ascii="PT Astra Serif" w:eastAsia="Times New Roman" w:hAnsi="PT Astra Serif" w:cs="Segoe UI"/>
          <w:b/>
          <w:bCs/>
          <w:color w:val="0F1115"/>
          <w:szCs w:val="28"/>
          <w:lang w:eastAsia="ru-RU"/>
        </w:rPr>
        <w:t xml:space="preserve">7,78 млн рублей </w:t>
      </w:r>
      <w:r w:rsidRPr="00E66396">
        <w:rPr>
          <w:rFonts w:ascii="PT Astra Serif" w:eastAsia="Times New Roman" w:hAnsi="PT Astra Serif" w:cs="Segoe UI"/>
          <w:color w:val="0F1115"/>
          <w:szCs w:val="28"/>
          <w:lang w:eastAsia="ru-RU"/>
        </w:rPr>
        <w:t>на развитие инфраструктуры).</w:t>
      </w:r>
    </w:p>
    <w:p w14:paraId="150BD42E"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Рейтинг РСМ:</w:t>
      </w:r>
      <w:r w:rsidRPr="00E66396">
        <w:rPr>
          <w:rFonts w:ascii="PT Astra Serif" w:eastAsia="Times New Roman" w:hAnsi="PT Astra Serif" w:cs="Segoe UI"/>
          <w:color w:val="0F1115"/>
          <w:szCs w:val="28"/>
          <w:lang w:eastAsia="ru-RU"/>
        </w:rPr>
        <w:t xml:space="preserve"> Вхождение Ульяновской областной организации Российского Союза Молодёжи в </w:t>
      </w:r>
      <w:r w:rsidRPr="00E66396">
        <w:rPr>
          <w:rFonts w:ascii="PT Astra Serif" w:eastAsia="Times New Roman" w:hAnsi="PT Astra Serif" w:cs="Segoe UI"/>
          <w:b/>
          <w:bCs/>
          <w:color w:val="0F1115"/>
          <w:szCs w:val="28"/>
          <w:lang w:eastAsia="ru-RU"/>
        </w:rPr>
        <w:t xml:space="preserve">ТОП-3 лучших региональных отделений </w:t>
      </w:r>
      <w:r w:rsidRPr="00E66396">
        <w:rPr>
          <w:rFonts w:ascii="PT Astra Serif" w:eastAsia="Times New Roman" w:hAnsi="PT Astra Serif" w:cs="Segoe UI"/>
          <w:b/>
          <w:bCs/>
          <w:color w:val="0F1115"/>
          <w:szCs w:val="28"/>
          <w:lang w:eastAsia="ru-RU"/>
        </w:rPr>
        <w:br/>
      </w:r>
      <w:r w:rsidRPr="00E66396">
        <w:rPr>
          <w:rFonts w:ascii="PT Astra Serif" w:eastAsia="Times New Roman" w:hAnsi="PT Astra Serif" w:cs="Segoe UI"/>
          <w:color w:val="0F1115"/>
          <w:szCs w:val="28"/>
          <w:lang w:eastAsia="ru-RU"/>
        </w:rPr>
        <w:t>в стране.</w:t>
      </w:r>
    </w:p>
    <w:p w14:paraId="01D7970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Движение Первых:</w:t>
      </w:r>
      <w:r w:rsidRPr="00E66396">
        <w:rPr>
          <w:rFonts w:ascii="PT Astra Serif" w:eastAsia="Times New Roman" w:hAnsi="PT Astra Serif" w:cs="Segoe UI"/>
          <w:color w:val="0F1115"/>
          <w:szCs w:val="28"/>
          <w:lang w:eastAsia="ru-RU"/>
        </w:rPr>
        <w:t xml:space="preserve"> Вхождение региона в </w:t>
      </w:r>
      <w:r w:rsidRPr="00E66396">
        <w:rPr>
          <w:rFonts w:ascii="PT Astra Serif" w:eastAsia="Times New Roman" w:hAnsi="PT Astra Serif" w:cs="Segoe UI"/>
          <w:b/>
          <w:bCs/>
          <w:color w:val="0F1115"/>
          <w:szCs w:val="28"/>
          <w:lang w:eastAsia="ru-RU"/>
        </w:rPr>
        <w:t>ТОП-10</w:t>
      </w:r>
      <w:r w:rsidRPr="00E66396">
        <w:rPr>
          <w:rFonts w:ascii="PT Astra Serif" w:eastAsia="Times New Roman" w:hAnsi="PT Astra Serif" w:cs="Segoe UI"/>
          <w:color w:val="0F1115"/>
          <w:szCs w:val="28"/>
          <w:lang w:eastAsia="ru-RU"/>
        </w:rPr>
        <w:t xml:space="preserve"> по доле победителей от общего числа первичных отделений в Конкурсе первичных отделений.</w:t>
      </w:r>
    </w:p>
    <w:p w14:paraId="46C95808"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Количество волонтёров:</w:t>
      </w:r>
      <w:r w:rsidRPr="00E66396">
        <w:rPr>
          <w:rFonts w:ascii="PT Astra Serif" w:eastAsia="Times New Roman" w:hAnsi="PT Astra Serif" w:cs="Segoe UI"/>
          <w:color w:val="0F1115"/>
          <w:szCs w:val="28"/>
          <w:lang w:eastAsia="ru-RU"/>
        </w:rPr>
        <w:t xml:space="preserve"> Вовлечено в волонтёрскую деятельность </w:t>
      </w:r>
      <w:r w:rsidRPr="00E66396">
        <w:rPr>
          <w:rFonts w:ascii="PT Astra Serif" w:eastAsia="Times New Roman" w:hAnsi="PT Astra Serif" w:cs="Segoe UI"/>
          <w:b/>
          <w:bCs/>
          <w:color w:val="0F1115"/>
          <w:szCs w:val="28"/>
          <w:lang w:eastAsia="ru-RU"/>
        </w:rPr>
        <w:t>свыше 95 000</w:t>
      </w:r>
      <w:r w:rsidRPr="00E66396">
        <w:rPr>
          <w:rFonts w:ascii="PT Astra Serif" w:eastAsia="Times New Roman" w:hAnsi="PT Astra Serif" w:cs="Segoe UI"/>
          <w:color w:val="0F1115"/>
          <w:szCs w:val="28"/>
          <w:lang w:eastAsia="ru-RU"/>
        </w:rPr>
        <w:t xml:space="preserve"> жителей Ульяновской области (8,7% от общей численности населения), из них более 67 000 тысяч – молодые люди (24,4% от общей численности молодёжи), что создало задел для достижения национальной цели (45% к 2030 году). На платформе «</w:t>
      </w:r>
      <w:proofErr w:type="spellStart"/>
      <w:r w:rsidRPr="00E66396">
        <w:rPr>
          <w:rFonts w:ascii="PT Astra Serif" w:eastAsia="Times New Roman" w:hAnsi="PT Astra Serif" w:cs="Segoe UI"/>
          <w:color w:val="0F1115"/>
          <w:szCs w:val="28"/>
          <w:lang w:eastAsia="ru-RU"/>
        </w:rPr>
        <w:t>Добро.рф</w:t>
      </w:r>
      <w:proofErr w:type="spellEnd"/>
      <w:r w:rsidRPr="00E66396">
        <w:rPr>
          <w:rFonts w:ascii="PT Astra Serif" w:eastAsia="Times New Roman" w:hAnsi="PT Astra Serif" w:cs="Segoe UI"/>
          <w:color w:val="0F1115"/>
          <w:szCs w:val="28"/>
          <w:lang w:eastAsia="ru-RU"/>
        </w:rPr>
        <w:t xml:space="preserve">» зарегистрировано свыше </w:t>
      </w:r>
      <w:r w:rsidRPr="00E66396">
        <w:rPr>
          <w:rFonts w:ascii="PT Astra Serif" w:eastAsia="Times New Roman" w:hAnsi="PT Astra Serif" w:cs="Segoe UI"/>
          <w:b/>
          <w:bCs/>
          <w:color w:val="0F1115"/>
          <w:szCs w:val="28"/>
          <w:lang w:eastAsia="ru-RU"/>
        </w:rPr>
        <w:t>67 000</w:t>
      </w:r>
      <w:r w:rsidRPr="00E66396">
        <w:rPr>
          <w:rFonts w:ascii="PT Astra Serif" w:eastAsia="Times New Roman" w:hAnsi="PT Astra Serif" w:cs="Segoe UI"/>
          <w:color w:val="0F1115"/>
          <w:szCs w:val="28"/>
          <w:lang w:eastAsia="ru-RU"/>
        </w:rPr>
        <w:t xml:space="preserve"> граждан.</w:t>
      </w:r>
    </w:p>
    <w:p w14:paraId="3543141C"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Охват молодёжи:</w:t>
      </w:r>
      <w:r w:rsidRPr="00E66396">
        <w:rPr>
          <w:rFonts w:ascii="PT Astra Serif" w:eastAsia="Times New Roman" w:hAnsi="PT Astra Serif" w:cs="Segoe UI"/>
          <w:color w:val="0F1115"/>
          <w:szCs w:val="28"/>
          <w:lang w:eastAsia="ru-RU"/>
        </w:rPr>
        <w:t xml:space="preserve"> Доля молодёжи, вовлечённой в </w:t>
      </w:r>
      <w:proofErr w:type="spellStart"/>
      <w:r w:rsidRPr="00E66396">
        <w:rPr>
          <w:rFonts w:ascii="PT Astra Serif" w:eastAsia="Times New Roman" w:hAnsi="PT Astra Serif" w:cs="Segoe UI"/>
          <w:color w:val="0F1115"/>
          <w:szCs w:val="28"/>
          <w:lang w:eastAsia="ru-RU"/>
        </w:rPr>
        <w:t>профориентационные</w:t>
      </w:r>
      <w:proofErr w:type="spellEnd"/>
      <w:r w:rsidRPr="00E66396">
        <w:rPr>
          <w:rFonts w:ascii="PT Astra Serif" w:eastAsia="Times New Roman" w:hAnsi="PT Astra Serif" w:cs="Segoe UI"/>
          <w:color w:val="0F1115"/>
          <w:szCs w:val="28"/>
          <w:lang w:eastAsia="ru-RU"/>
        </w:rPr>
        <w:t xml:space="preserve"> проекты, составила </w:t>
      </w:r>
      <w:r w:rsidRPr="00E66396">
        <w:rPr>
          <w:rFonts w:ascii="PT Astra Serif" w:eastAsia="Times New Roman" w:hAnsi="PT Astra Serif" w:cs="Segoe UI"/>
          <w:b/>
          <w:bCs/>
          <w:color w:val="0F1115"/>
          <w:szCs w:val="28"/>
          <w:lang w:eastAsia="ru-RU"/>
        </w:rPr>
        <w:t>46,5%</w:t>
      </w:r>
      <w:r w:rsidRPr="00E66396">
        <w:rPr>
          <w:rFonts w:ascii="PT Astra Serif" w:eastAsia="Times New Roman" w:hAnsi="PT Astra Serif" w:cs="Segoe UI"/>
          <w:color w:val="0F1115"/>
          <w:szCs w:val="28"/>
          <w:lang w:eastAsia="ru-RU"/>
        </w:rPr>
        <w:t xml:space="preserve"> (выше плана); в патриотические проекты - </w:t>
      </w:r>
      <w:r w:rsidRPr="00E66396">
        <w:rPr>
          <w:rFonts w:ascii="PT Astra Serif" w:eastAsia="Times New Roman" w:hAnsi="PT Astra Serif" w:cs="Segoe UI"/>
          <w:b/>
          <w:bCs/>
          <w:color w:val="0F1115"/>
          <w:szCs w:val="28"/>
          <w:lang w:eastAsia="ru-RU"/>
        </w:rPr>
        <w:t>42,5%</w:t>
      </w:r>
      <w:r w:rsidRPr="00E66396">
        <w:rPr>
          <w:rFonts w:ascii="PT Astra Serif" w:eastAsia="Times New Roman" w:hAnsi="PT Astra Serif" w:cs="Segoe UI"/>
          <w:color w:val="0F1115"/>
          <w:szCs w:val="28"/>
          <w:lang w:eastAsia="ru-RU"/>
        </w:rPr>
        <w:t>.</w:t>
      </w:r>
    </w:p>
    <w:p w14:paraId="6967418C"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394A8DB9" w14:textId="77777777" w:rsidR="00E66396" w:rsidRPr="00E66396" w:rsidRDefault="00E66396" w:rsidP="00E66396">
      <w:pPr>
        <w:widowControl w:val="0"/>
        <w:shd w:val="clear" w:color="auto" w:fill="FFFFFF"/>
        <w:ind w:firstLine="0"/>
        <w:jc w:val="center"/>
        <w:rPr>
          <w:rFonts w:ascii="PT Astra Serif" w:eastAsia="Times New Roman" w:hAnsi="PT Astra Serif" w:cs="Segoe UI"/>
          <w:b/>
          <w:bCs/>
          <w:color w:val="0F1115"/>
          <w:szCs w:val="28"/>
          <w:lang w:eastAsia="ru-RU"/>
        </w:rPr>
      </w:pPr>
      <w:r w:rsidRPr="00E66396">
        <w:rPr>
          <w:rFonts w:ascii="PT Astra Serif" w:eastAsia="Times New Roman" w:hAnsi="PT Astra Serif" w:cs="Segoe UI"/>
          <w:b/>
          <w:bCs/>
          <w:color w:val="0F1115"/>
          <w:szCs w:val="28"/>
          <w:lang w:eastAsia="ru-RU"/>
        </w:rPr>
        <w:t>Число занятых в отрасли и характеристика подведомственной сети</w:t>
      </w:r>
    </w:p>
    <w:p w14:paraId="7C2BC154" w14:textId="77777777" w:rsidR="00E66396" w:rsidRPr="00E66396" w:rsidRDefault="00E66396" w:rsidP="00E66396">
      <w:pPr>
        <w:widowControl w:val="0"/>
        <w:shd w:val="clear" w:color="auto" w:fill="FFFFFF"/>
        <w:rPr>
          <w:rFonts w:ascii="PT Astra Serif" w:eastAsia="Times New Roman" w:hAnsi="PT Astra Serif" w:cs="Segoe UI"/>
          <w:b/>
          <w:bCs/>
          <w:i/>
          <w:color w:val="0F1115"/>
          <w:szCs w:val="28"/>
          <w:lang w:eastAsia="ru-RU"/>
        </w:rPr>
      </w:pPr>
    </w:p>
    <w:p w14:paraId="35A4AC87"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Cs/>
          <w:color w:val="0F1115"/>
          <w:szCs w:val="28"/>
          <w:lang w:eastAsia="ru-RU"/>
        </w:rPr>
        <w:t xml:space="preserve">Министерство </w:t>
      </w:r>
      <w:r w:rsidRPr="00E66396">
        <w:rPr>
          <w:rFonts w:ascii="PT Astra Serif" w:eastAsia="Times New Roman" w:hAnsi="PT Astra Serif" w:cs="Segoe UI"/>
          <w:color w:val="0F1115"/>
          <w:szCs w:val="28"/>
          <w:lang w:eastAsia="ru-RU"/>
        </w:rPr>
        <w:t>молодёжного развития Ульяновской области</w:t>
      </w:r>
      <w:r w:rsidRPr="00E66396">
        <w:rPr>
          <w:rFonts w:ascii="PT Astra Serif" w:eastAsia="Times New Roman" w:hAnsi="PT Astra Serif" w:cs="Segoe UI"/>
          <w:bCs/>
          <w:color w:val="0F1115"/>
          <w:szCs w:val="28"/>
          <w:lang w:eastAsia="ru-RU"/>
        </w:rPr>
        <w:t>:</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b/>
          <w:color w:val="0F1115"/>
          <w:szCs w:val="28"/>
          <w:lang w:eastAsia="ru-RU"/>
        </w:rPr>
        <w:t>Штатная численность -</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b/>
          <w:bCs/>
          <w:color w:val="0F1115"/>
          <w:szCs w:val="28"/>
          <w:lang w:eastAsia="ru-RU"/>
        </w:rPr>
        <w:t>15 единиц</w:t>
      </w:r>
      <w:r w:rsidRPr="00E66396">
        <w:rPr>
          <w:rFonts w:ascii="PT Astra Serif" w:eastAsia="Times New Roman" w:hAnsi="PT Astra Serif" w:cs="Segoe UI"/>
          <w:color w:val="0F1115"/>
          <w:szCs w:val="28"/>
          <w:lang w:eastAsia="ru-RU"/>
        </w:rPr>
        <w:t xml:space="preserve"> (фактически замещено 15).</w:t>
      </w:r>
    </w:p>
    <w:p w14:paraId="097B7802"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Подведомственная сеть:</w:t>
      </w:r>
    </w:p>
    <w:p w14:paraId="60B7AAB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ОГАУ «Молодёжный многофункциональный центр «Дом молодых» - </w:t>
      </w:r>
      <w:r w:rsidRPr="00E66396">
        <w:rPr>
          <w:rFonts w:ascii="PT Astra Serif" w:eastAsia="Times New Roman" w:hAnsi="PT Astra Serif" w:cs="Segoe UI"/>
          <w:b/>
          <w:bCs/>
          <w:color w:val="0F1115"/>
          <w:szCs w:val="28"/>
          <w:lang w:eastAsia="ru-RU"/>
        </w:rPr>
        <w:t>штат: 32 человека</w:t>
      </w:r>
      <w:r w:rsidRPr="00E66396">
        <w:rPr>
          <w:rFonts w:ascii="PT Astra Serif" w:eastAsia="Times New Roman" w:hAnsi="PT Astra Serif" w:cs="Segoe UI"/>
          <w:color w:val="0F1115"/>
          <w:szCs w:val="28"/>
          <w:lang w:eastAsia="ru-RU"/>
        </w:rPr>
        <w:t>.</w:t>
      </w:r>
    </w:p>
    <w:p w14:paraId="011CD4A0"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Муниципальный уровень:</w:t>
      </w:r>
      <w:r w:rsidRPr="00E66396">
        <w:rPr>
          <w:rFonts w:ascii="PT Astra Serif" w:eastAsia="Times New Roman" w:hAnsi="PT Astra Serif" w:cs="Segoe UI"/>
          <w:color w:val="0F1115"/>
          <w:szCs w:val="28"/>
          <w:lang w:eastAsia="ru-RU"/>
        </w:rPr>
        <w:t xml:space="preserve"> Во всех 24 муниципальных образованиях работают специалисты по молодёжной политике (средняя зарплата выросла до </w:t>
      </w:r>
      <w:r w:rsidRPr="00E66396">
        <w:rPr>
          <w:rFonts w:ascii="PT Astra Serif" w:eastAsia="Times New Roman" w:hAnsi="PT Astra Serif" w:cs="Segoe UI"/>
          <w:b/>
          <w:bCs/>
          <w:color w:val="0F1115"/>
          <w:szCs w:val="28"/>
          <w:lang w:eastAsia="ru-RU"/>
        </w:rPr>
        <w:t>39,1 тыс. рублей</w:t>
      </w:r>
      <w:r w:rsidRPr="00E66396">
        <w:rPr>
          <w:rFonts w:ascii="PT Astra Serif" w:eastAsia="Times New Roman" w:hAnsi="PT Astra Serif" w:cs="Segoe UI"/>
          <w:color w:val="0F1115"/>
          <w:szCs w:val="28"/>
          <w:lang w:eastAsia="ru-RU"/>
        </w:rPr>
        <w:t xml:space="preserve">). В 2025 году создано </w:t>
      </w:r>
      <w:r w:rsidRPr="00E66396">
        <w:rPr>
          <w:rFonts w:ascii="PT Astra Serif" w:eastAsia="Times New Roman" w:hAnsi="PT Astra Serif" w:cs="Segoe UI"/>
          <w:b/>
          <w:bCs/>
          <w:color w:val="0F1115"/>
          <w:szCs w:val="28"/>
          <w:lang w:eastAsia="ru-RU"/>
        </w:rPr>
        <w:t>2 новых муниципальных молодёжных центра</w:t>
      </w:r>
      <w:r w:rsidRPr="00E66396">
        <w:rPr>
          <w:rFonts w:ascii="PT Astra Serif" w:eastAsia="Times New Roman" w:hAnsi="PT Astra Serif" w:cs="Segoe UI"/>
          <w:color w:val="0F1115"/>
          <w:szCs w:val="28"/>
          <w:lang w:eastAsia="ru-RU"/>
        </w:rPr>
        <w:t xml:space="preserve"> (г. Димитровград, </w:t>
      </w:r>
      <w:proofErr w:type="spellStart"/>
      <w:r w:rsidRPr="00E66396">
        <w:rPr>
          <w:rFonts w:ascii="PT Astra Serif" w:eastAsia="Times New Roman" w:hAnsi="PT Astra Serif" w:cs="Segoe UI"/>
          <w:color w:val="0F1115"/>
          <w:szCs w:val="28"/>
          <w:lang w:eastAsia="ru-RU"/>
        </w:rPr>
        <w:t>р.п</w:t>
      </w:r>
      <w:proofErr w:type="spellEnd"/>
      <w:r w:rsidRPr="00E66396">
        <w:rPr>
          <w:rFonts w:ascii="PT Astra Serif" w:eastAsia="Times New Roman" w:hAnsi="PT Astra Serif" w:cs="Segoe UI"/>
          <w:color w:val="0F1115"/>
          <w:szCs w:val="28"/>
          <w:lang w:eastAsia="ru-RU"/>
        </w:rPr>
        <w:t>. Новоспасское), штатная численность их сотрудников вошла в муниципальные структуры.</w:t>
      </w:r>
    </w:p>
    <w:p w14:paraId="4A159CB2"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3A2936B3" w14:textId="77777777" w:rsidR="00E66396" w:rsidRPr="00E66396" w:rsidRDefault="00E66396" w:rsidP="00E66396">
      <w:pPr>
        <w:widowControl w:val="0"/>
        <w:shd w:val="clear" w:color="auto" w:fill="FFFFFF"/>
        <w:ind w:firstLine="0"/>
        <w:jc w:val="center"/>
        <w:rPr>
          <w:rFonts w:ascii="PT Astra Serif" w:eastAsia="Times New Roman" w:hAnsi="PT Astra Serif" w:cs="Segoe UI"/>
          <w:b/>
          <w:bCs/>
          <w:color w:val="0F1115"/>
          <w:szCs w:val="28"/>
          <w:lang w:eastAsia="ru-RU"/>
        </w:rPr>
      </w:pPr>
      <w:r w:rsidRPr="00E66396">
        <w:rPr>
          <w:rFonts w:ascii="PT Astra Serif" w:eastAsia="Times New Roman" w:hAnsi="PT Astra Serif" w:cs="Segoe UI"/>
          <w:b/>
          <w:bCs/>
          <w:color w:val="0F1115"/>
          <w:szCs w:val="28"/>
          <w:lang w:eastAsia="ru-RU"/>
        </w:rPr>
        <w:t>Итоги реализации национальных (федеральных) проектов (программ)</w:t>
      </w:r>
    </w:p>
    <w:p w14:paraId="5A2454C1"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3ED46740" w14:textId="77777777" w:rsidR="00E66396" w:rsidRPr="00E66396" w:rsidRDefault="00E66396" w:rsidP="00E66396">
      <w:pPr>
        <w:widowControl w:val="0"/>
        <w:shd w:val="clear" w:color="auto" w:fill="FFFFFF"/>
        <w:rPr>
          <w:rFonts w:ascii="PT Astra Serif" w:eastAsia="Times New Roman" w:hAnsi="PT Astra Serif" w:cs="Segoe UI"/>
          <w:b/>
          <w:bCs/>
          <w:i/>
          <w:color w:val="0F1115"/>
          <w:szCs w:val="28"/>
          <w:lang w:eastAsia="ru-RU"/>
        </w:rPr>
      </w:pPr>
      <w:r w:rsidRPr="00E66396">
        <w:rPr>
          <w:rFonts w:ascii="PT Astra Serif" w:eastAsia="Times New Roman" w:hAnsi="PT Astra Serif" w:cs="Segoe UI"/>
          <w:b/>
          <w:bCs/>
          <w:i/>
          <w:color w:val="0F1115"/>
          <w:szCs w:val="28"/>
          <w:lang w:eastAsia="ru-RU"/>
        </w:rPr>
        <w:t xml:space="preserve">Показатели национальных проектов (цикл 2025–2030), закреплённые за Министерством </w:t>
      </w:r>
      <w:r w:rsidRPr="00E66396">
        <w:rPr>
          <w:rFonts w:ascii="PT Astra Serif" w:eastAsia="Times New Roman" w:hAnsi="PT Astra Serif" w:cs="Segoe UI"/>
          <w:b/>
          <w:i/>
          <w:color w:val="0F1115"/>
          <w:szCs w:val="28"/>
          <w:lang w:eastAsia="ru-RU"/>
        </w:rPr>
        <w:t>молодёжного развития Ульяновской области.</w:t>
      </w:r>
    </w:p>
    <w:p w14:paraId="7589D4BE"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В рамках национального проекта </w:t>
      </w:r>
      <w:r w:rsidRPr="00E66396">
        <w:rPr>
          <w:rFonts w:ascii="PT Astra Serif" w:eastAsia="Times New Roman" w:hAnsi="PT Astra Serif" w:cs="Segoe UI"/>
          <w:b/>
          <w:bCs/>
          <w:color w:val="0F1115"/>
          <w:szCs w:val="28"/>
          <w:lang w:eastAsia="ru-RU"/>
        </w:rPr>
        <w:t>«Молодёжь и дети»</w:t>
      </w:r>
      <w:r w:rsidRPr="00E66396">
        <w:rPr>
          <w:rFonts w:ascii="PT Astra Serif" w:eastAsia="Times New Roman" w:hAnsi="PT Astra Serif" w:cs="Segoe UI"/>
          <w:color w:val="0F1115"/>
          <w:szCs w:val="28"/>
          <w:lang w:eastAsia="ru-RU"/>
        </w:rPr>
        <w:t xml:space="preserve"> Министерство молодёжного развития Ульяновской области отвечало за показатели региональных проектов «Россия - страна возможностей» и «Мы вместе».</w:t>
      </w:r>
    </w:p>
    <w:p w14:paraId="43B37CB4"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Охват молодёжи мероприятиями на базе инфраструктуры </w:t>
      </w:r>
      <w:r w:rsidRPr="00E66396">
        <w:rPr>
          <w:rFonts w:ascii="PT Astra Serif" w:eastAsia="Times New Roman" w:hAnsi="PT Astra Serif" w:cs="Segoe UI"/>
          <w:b/>
          <w:bCs/>
          <w:color w:val="0F1115"/>
          <w:szCs w:val="28"/>
          <w:lang w:eastAsia="ru-RU"/>
        </w:rPr>
        <w:lastRenderedPageBreak/>
        <w:t>молодёжной политики:</w:t>
      </w:r>
      <w:r w:rsidRPr="00E66396">
        <w:rPr>
          <w:rFonts w:ascii="PT Astra Serif" w:eastAsia="Times New Roman" w:hAnsi="PT Astra Serif" w:cs="Segoe UI"/>
          <w:color w:val="0F1115"/>
          <w:szCs w:val="28"/>
          <w:lang w:eastAsia="ru-RU"/>
        </w:rPr>
        <w:t xml:space="preserve"> план на 2025 - 7,2% (факт - </w:t>
      </w:r>
      <w:r w:rsidRPr="00E66396">
        <w:rPr>
          <w:rFonts w:ascii="PT Astra Serif" w:eastAsia="Times New Roman" w:hAnsi="PT Astra Serif" w:cs="Segoe UI"/>
          <w:b/>
          <w:bCs/>
          <w:color w:val="0F1115"/>
          <w:szCs w:val="28"/>
          <w:lang w:eastAsia="ru-RU"/>
        </w:rPr>
        <w:t>11,5%</w:t>
      </w:r>
      <w:r w:rsidRPr="00E66396">
        <w:rPr>
          <w:rFonts w:ascii="PT Astra Serif" w:eastAsia="Times New Roman" w:hAnsi="PT Astra Serif" w:cs="Segoe UI"/>
          <w:color w:val="0F1115"/>
          <w:szCs w:val="28"/>
          <w:lang w:eastAsia="ru-RU"/>
        </w:rPr>
        <w:t>).</w:t>
      </w:r>
    </w:p>
    <w:p w14:paraId="57C3CCA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Доля молодых людей, вовлечённых в мероприятия по профессиональному развитию:</w:t>
      </w:r>
      <w:r w:rsidRPr="00E66396">
        <w:rPr>
          <w:rFonts w:ascii="PT Astra Serif" w:eastAsia="Times New Roman" w:hAnsi="PT Astra Serif" w:cs="Segoe UI"/>
          <w:color w:val="0F1115"/>
          <w:szCs w:val="28"/>
          <w:lang w:eastAsia="ru-RU"/>
        </w:rPr>
        <w:t xml:space="preserve"> план - 46,2% (факт - </w:t>
      </w:r>
      <w:r w:rsidRPr="00E66396">
        <w:rPr>
          <w:rFonts w:ascii="PT Astra Serif" w:eastAsia="Times New Roman" w:hAnsi="PT Astra Serif" w:cs="Segoe UI"/>
          <w:b/>
          <w:bCs/>
          <w:color w:val="0F1115"/>
          <w:szCs w:val="28"/>
          <w:lang w:eastAsia="ru-RU"/>
        </w:rPr>
        <w:t>46,5%</w:t>
      </w:r>
      <w:r w:rsidRPr="00E66396">
        <w:rPr>
          <w:rFonts w:ascii="PT Astra Serif" w:eastAsia="Times New Roman" w:hAnsi="PT Astra Serif" w:cs="Segoe UI"/>
          <w:color w:val="0F1115"/>
          <w:szCs w:val="28"/>
          <w:lang w:eastAsia="ru-RU"/>
        </w:rPr>
        <w:t>).</w:t>
      </w:r>
    </w:p>
    <w:p w14:paraId="0D8ECC2F"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Доля молодых людей, участвующих в патриотических проектах:</w:t>
      </w:r>
      <w:r w:rsidRPr="00E66396">
        <w:rPr>
          <w:rFonts w:ascii="PT Astra Serif" w:eastAsia="Times New Roman" w:hAnsi="PT Astra Serif" w:cs="Segoe UI"/>
          <w:color w:val="0F1115"/>
          <w:szCs w:val="28"/>
          <w:lang w:eastAsia="ru-RU"/>
        </w:rPr>
        <w:t xml:space="preserve"> план - 42,38% (факт - </w:t>
      </w:r>
      <w:r w:rsidRPr="00E66396">
        <w:rPr>
          <w:rFonts w:ascii="PT Astra Serif" w:eastAsia="Times New Roman" w:hAnsi="PT Astra Serif" w:cs="Segoe UI"/>
          <w:b/>
          <w:bCs/>
          <w:color w:val="0F1115"/>
          <w:szCs w:val="28"/>
          <w:lang w:eastAsia="ru-RU"/>
        </w:rPr>
        <w:t>42,5%</w:t>
      </w:r>
      <w:r w:rsidRPr="00E66396">
        <w:rPr>
          <w:rFonts w:ascii="PT Astra Serif" w:eastAsia="Times New Roman" w:hAnsi="PT Astra Serif" w:cs="Segoe UI"/>
          <w:color w:val="0F1115"/>
          <w:szCs w:val="28"/>
          <w:lang w:eastAsia="ru-RU"/>
        </w:rPr>
        <w:t>).</w:t>
      </w:r>
    </w:p>
    <w:p w14:paraId="3A3BCC50"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Доля молодых семей, вовлечённых в тематические мероприятия:</w:t>
      </w:r>
      <w:r w:rsidRPr="00E66396">
        <w:rPr>
          <w:rFonts w:ascii="PT Astra Serif" w:eastAsia="Times New Roman" w:hAnsi="PT Astra Serif" w:cs="Segoe UI"/>
          <w:color w:val="0F1115"/>
          <w:szCs w:val="28"/>
          <w:lang w:eastAsia="ru-RU"/>
        </w:rPr>
        <w:t xml:space="preserve"> план - 6,4% (факт - </w:t>
      </w:r>
      <w:r w:rsidRPr="00E66396">
        <w:rPr>
          <w:rFonts w:ascii="PT Astra Serif" w:eastAsia="Times New Roman" w:hAnsi="PT Astra Serif" w:cs="Segoe UI"/>
          <w:b/>
          <w:bCs/>
          <w:color w:val="0F1115"/>
          <w:szCs w:val="28"/>
          <w:lang w:eastAsia="ru-RU"/>
        </w:rPr>
        <w:t>6,6%</w:t>
      </w:r>
      <w:r w:rsidRPr="00E66396">
        <w:rPr>
          <w:rFonts w:ascii="PT Astra Serif" w:eastAsia="Times New Roman" w:hAnsi="PT Astra Serif" w:cs="Segoe UI"/>
          <w:color w:val="0F1115"/>
          <w:szCs w:val="28"/>
          <w:lang w:eastAsia="ru-RU"/>
        </w:rPr>
        <w:t>).</w:t>
      </w:r>
    </w:p>
    <w:p w14:paraId="2319FD78"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371DA75B" w14:textId="77777777" w:rsidR="00E66396" w:rsidRPr="00E66396" w:rsidRDefault="00E66396" w:rsidP="00E66396">
      <w:pPr>
        <w:widowControl w:val="0"/>
        <w:shd w:val="clear" w:color="auto" w:fill="FFFFFF"/>
        <w:rPr>
          <w:rFonts w:ascii="PT Astra Serif" w:eastAsia="Times New Roman" w:hAnsi="PT Astra Serif" w:cs="Segoe UI"/>
          <w:b/>
          <w:bCs/>
          <w:i/>
          <w:color w:val="0F1115"/>
          <w:szCs w:val="28"/>
          <w:lang w:eastAsia="ru-RU"/>
        </w:rPr>
      </w:pPr>
      <w:r w:rsidRPr="00E66396">
        <w:rPr>
          <w:rFonts w:ascii="PT Astra Serif" w:eastAsia="Times New Roman" w:hAnsi="PT Astra Serif" w:cs="Segoe UI"/>
          <w:b/>
          <w:bCs/>
          <w:i/>
          <w:color w:val="0F1115"/>
          <w:szCs w:val="28"/>
          <w:lang w:eastAsia="ru-RU"/>
        </w:rPr>
        <w:t>Результаты реализации национальных проектов за 2025 год.</w:t>
      </w:r>
    </w:p>
    <w:p w14:paraId="07AA21D5"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Создание инфраструктуры:</w:t>
      </w:r>
      <w:r w:rsidRPr="00E66396">
        <w:rPr>
          <w:rFonts w:ascii="PT Astra Serif" w:eastAsia="Times New Roman" w:hAnsi="PT Astra Serif" w:cs="Segoe UI"/>
          <w:color w:val="0F1115"/>
          <w:szCs w:val="28"/>
          <w:lang w:eastAsia="ru-RU"/>
        </w:rPr>
        <w:t xml:space="preserve"> В рамках федерального проекта «Россия - страна возможностей» созданы и оснащены </w:t>
      </w:r>
      <w:r w:rsidRPr="00E66396">
        <w:rPr>
          <w:rFonts w:ascii="PT Astra Serif" w:eastAsia="Times New Roman" w:hAnsi="PT Astra Serif" w:cs="Segoe UI"/>
          <w:b/>
          <w:bCs/>
          <w:color w:val="0F1115"/>
          <w:szCs w:val="28"/>
          <w:lang w:eastAsia="ru-RU"/>
        </w:rPr>
        <w:t>2 новых молодёжных центра</w:t>
      </w:r>
      <w:r w:rsidRPr="00E66396">
        <w:rPr>
          <w:rFonts w:ascii="PT Astra Serif" w:eastAsia="Times New Roman" w:hAnsi="PT Astra Serif" w:cs="Segoe UI"/>
          <w:color w:val="0F1115"/>
          <w:szCs w:val="28"/>
          <w:lang w:eastAsia="ru-RU"/>
        </w:rPr>
        <w:t xml:space="preserve"> </w:t>
      </w:r>
      <w:r w:rsidRPr="00E66396">
        <w:rPr>
          <w:rFonts w:ascii="PT Astra Serif" w:eastAsia="Times New Roman" w:hAnsi="PT Astra Serif" w:cs="Segoe UI"/>
          <w:color w:val="0F1115"/>
          <w:szCs w:val="28"/>
          <w:lang w:eastAsia="ru-RU"/>
        </w:rPr>
        <w:br/>
        <w:t xml:space="preserve">(г. Димитровград и </w:t>
      </w:r>
      <w:proofErr w:type="spellStart"/>
      <w:r w:rsidRPr="00E66396">
        <w:rPr>
          <w:rFonts w:ascii="PT Astra Serif" w:eastAsia="Times New Roman" w:hAnsi="PT Astra Serif" w:cs="Segoe UI"/>
          <w:color w:val="0F1115"/>
          <w:szCs w:val="28"/>
          <w:lang w:eastAsia="ru-RU"/>
        </w:rPr>
        <w:t>р.п</w:t>
      </w:r>
      <w:proofErr w:type="spellEnd"/>
      <w:r w:rsidRPr="00E66396">
        <w:rPr>
          <w:rFonts w:ascii="PT Astra Serif" w:eastAsia="Times New Roman" w:hAnsi="PT Astra Serif" w:cs="Segoe UI"/>
          <w:color w:val="0F1115"/>
          <w:szCs w:val="28"/>
          <w:lang w:eastAsia="ru-RU"/>
        </w:rPr>
        <w:t xml:space="preserve">. Новоспасское). Общий объём инвестиций - </w:t>
      </w:r>
      <w:r w:rsidRPr="00E66396">
        <w:rPr>
          <w:rFonts w:ascii="PT Astra Serif" w:eastAsia="Times New Roman" w:hAnsi="PT Astra Serif" w:cs="Segoe UI"/>
          <w:b/>
          <w:bCs/>
          <w:color w:val="0F1115"/>
          <w:szCs w:val="28"/>
          <w:lang w:eastAsia="ru-RU"/>
        </w:rPr>
        <w:t xml:space="preserve">119,9 млн рублей </w:t>
      </w:r>
      <w:r w:rsidRPr="00E66396">
        <w:rPr>
          <w:rFonts w:ascii="PT Astra Serif" w:eastAsia="Times New Roman" w:hAnsi="PT Astra Serif" w:cs="Segoe UI"/>
          <w:color w:val="0F1115"/>
          <w:szCs w:val="28"/>
          <w:lang w:eastAsia="ru-RU"/>
        </w:rPr>
        <w:t>(федеральные средства) + </w:t>
      </w:r>
      <w:r w:rsidRPr="00E66396">
        <w:rPr>
          <w:rFonts w:ascii="PT Astra Serif" w:eastAsia="Times New Roman" w:hAnsi="PT Astra Serif" w:cs="Segoe UI"/>
          <w:b/>
          <w:bCs/>
          <w:color w:val="0F1115"/>
          <w:szCs w:val="28"/>
          <w:lang w:eastAsia="ru-RU"/>
        </w:rPr>
        <w:t xml:space="preserve">46,1 млн рублей </w:t>
      </w:r>
      <w:r w:rsidRPr="00E66396">
        <w:rPr>
          <w:rFonts w:ascii="PT Astra Serif" w:eastAsia="Times New Roman" w:hAnsi="PT Astra Serif" w:cs="Segoe UI"/>
          <w:color w:val="0F1115"/>
          <w:szCs w:val="28"/>
          <w:lang w:eastAsia="ru-RU"/>
        </w:rPr>
        <w:t xml:space="preserve">(областное </w:t>
      </w:r>
      <w:proofErr w:type="spellStart"/>
      <w:r w:rsidRPr="00E66396">
        <w:rPr>
          <w:rFonts w:ascii="PT Astra Serif" w:eastAsia="Times New Roman" w:hAnsi="PT Astra Serif" w:cs="Segoe UI"/>
          <w:color w:val="0F1115"/>
          <w:szCs w:val="28"/>
          <w:lang w:eastAsia="ru-RU"/>
        </w:rPr>
        <w:t>софинансирование</w:t>
      </w:r>
      <w:proofErr w:type="spellEnd"/>
      <w:r w:rsidRPr="00E66396">
        <w:rPr>
          <w:rFonts w:ascii="PT Astra Serif" w:eastAsia="Times New Roman" w:hAnsi="PT Astra Serif" w:cs="Segoe UI"/>
          <w:color w:val="0F1115"/>
          <w:szCs w:val="28"/>
          <w:lang w:eastAsia="ru-RU"/>
        </w:rPr>
        <w:t>).</w:t>
      </w:r>
    </w:p>
    <w:p w14:paraId="24E09EB4"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Охват:</w:t>
      </w:r>
      <w:r w:rsidRPr="00E66396">
        <w:rPr>
          <w:rFonts w:ascii="PT Astra Serif" w:eastAsia="Times New Roman" w:hAnsi="PT Astra Serif" w:cs="Segoe UI"/>
          <w:color w:val="0F1115"/>
          <w:szCs w:val="28"/>
          <w:lang w:eastAsia="ru-RU"/>
        </w:rPr>
        <w:t xml:space="preserve"> Охват молодёжи мероприятиями на новой и действующей инфраструктуре в рамках программы «Регион для молодых» составил </w:t>
      </w:r>
      <w:r w:rsidRPr="00E66396">
        <w:rPr>
          <w:rFonts w:ascii="PT Astra Serif" w:eastAsia="Times New Roman" w:hAnsi="PT Astra Serif" w:cs="Times New Roman"/>
          <w:b/>
          <w:bCs/>
          <w:color w:val="000000"/>
          <w:szCs w:val="28"/>
          <w:lang w:eastAsia="ru-RU"/>
        </w:rPr>
        <w:t xml:space="preserve">42 443 </w:t>
      </w:r>
      <w:r w:rsidRPr="00E66396">
        <w:rPr>
          <w:rFonts w:ascii="PT Astra Serif" w:eastAsia="Times New Roman" w:hAnsi="PT Astra Serif" w:cs="Segoe UI"/>
          <w:b/>
          <w:bCs/>
          <w:color w:val="0F1115"/>
          <w:szCs w:val="28"/>
          <w:lang w:eastAsia="ru-RU"/>
        </w:rPr>
        <w:t>человек</w:t>
      </w:r>
      <w:r w:rsidRPr="00E66396">
        <w:rPr>
          <w:rFonts w:ascii="PT Astra Serif" w:eastAsia="Times New Roman" w:hAnsi="PT Astra Serif" w:cs="Segoe UI"/>
          <w:color w:val="0F1115"/>
          <w:szCs w:val="28"/>
          <w:lang w:eastAsia="ru-RU"/>
        </w:rPr>
        <w:t>.</w:t>
      </w:r>
    </w:p>
    <w:p w14:paraId="58352D51" w14:textId="094236B3"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Добровольчество:</w:t>
      </w:r>
      <w:r w:rsidRPr="00E66396">
        <w:rPr>
          <w:rFonts w:ascii="PT Astra Serif" w:eastAsia="Times New Roman" w:hAnsi="PT Astra Serif" w:cs="Segoe UI"/>
          <w:color w:val="0F1115"/>
          <w:szCs w:val="28"/>
          <w:lang w:eastAsia="ru-RU"/>
        </w:rPr>
        <w:t xml:space="preserve"> Обеспечено вовлечение в волонтёрскую деятельность более </w:t>
      </w:r>
      <w:r w:rsidRPr="00E66396">
        <w:rPr>
          <w:rFonts w:ascii="PT Astra Serif" w:eastAsia="Times New Roman" w:hAnsi="PT Astra Serif" w:cs="Segoe UI"/>
          <w:b/>
          <w:bCs/>
          <w:color w:val="0F1115"/>
          <w:szCs w:val="28"/>
          <w:lang w:eastAsia="ru-RU"/>
        </w:rPr>
        <w:t xml:space="preserve">67 000 молодых людей </w:t>
      </w:r>
      <w:r w:rsidRPr="00E66396">
        <w:rPr>
          <w:rFonts w:ascii="PT Astra Serif" w:eastAsia="Times New Roman" w:hAnsi="PT Astra Serif" w:cs="Segoe UI"/>
          <w:color w:val="0F1115"/>
          <w:szCs w:val="28"/>
          <w:lang w:eastAsia="ru-RU"/>
        </w:rPr>
        <w:t>(24</w:t>
      </w:r>
      <w:r>
        <w:rPr>
          <w:rFonts w:ascii="PT Astra Serif" w:eastAsia="Times New Roman" w:hAnsi="PT Astra Serif" w:cs="Segoe UI"/>
          <w:color w:val="0F1115"/>
          <w:szCs w:val="28"/>
          <w:lang w:eastAsia="ru-RU"/>
        </w:rPr>
        <w:t>,4</w:t>
      </w:r>
      <w:r w:rsidRPr="00E66396">
        <w:rPr>
          <w:rFonts w:ascii="PT Astra Serif" w:eastAsia="Times New Roman" w:hAnsi="PT Astra Serif" w:cs="Segoe UI"/>
          <w:color w:val="0F1115"/>
          <w:szCs w:val="28"/>
          <w:lang w:eastAsia="ru-RU"/>
        </w:rPr>
        <w:t>% от общей численности молодёжи), что создало задел для достижения национальной цели (45% к 2030 году).</w:t>
      </w:r>
    </w:p>
    <w:p w14:paraId="0B1852AC"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b/>
          <w:bCs/>
          <w:color w:val="0F1115"/>
          <w:szCs w:val="28"/>
          <w:lang w:eastAsia="ru-RU"/>
        </w:rPr>
        <w:t xml:space="preserve">Патриотизм: </w:t>
      </w:r>
      <w:r w:rsidRPr="00E66396">
        <w:rPr>
          <w:rFonts w:ascii="PT Astra Serif" w:eastAsia="Times New Roman" w:hAnsi="PT Astra Serif" w:cs="Segoe UI"/>
          <w:color w:val="0F1115"/>
          <w:szCs w:val="28"/>
          <w:lang w:eastAsia="ru-RU"/>
        </w:rPr>
        <w:t xml:space="preserve">Обеспечено участие </w:t>
      </w:r>
      <w:r w:rsidRPr="00E66396">
        <w:rPr>
          <w:rFonts w:ascii="PT Astra Serif" w:eastAsia="Times New Roman" w:hAnsi="PT Astra Serif" w:cs="Segoe UI"/>
          <w:b/>
          <w:bCs/>
          <w:color w:val="0F1115"/>
          <w:szCs w:val="28"/>
          <w:lang w:eastAsia="ru-RU"/>
        </w:rPr>
        <w:t>117 650 человек</w:t>
      </w:r>
      <w:r w:rsidRPr="00E66396">
        <w:rPr>
          <w:rFonts w:ascii="PT Astra Serif" w:eastAsia="Times New Roman" w:hAnsi="PT Astra Serif" w:cs="Segoe UI"/>
          <w:color w:val="0F1115"/>
          <w:szCs w:val="28"/>
          <w:lang w:eastAsia="ru-RU"/>
        </w:rPr>
        <w:t xml:space="preserve"> в мероприятиях патриотической направленности. Ключевые события: «Зарница 2.0» (26 654 участника), поисковые экспедиции (подняты останки 135 бойцов).</w:t>
      </w:r>
    </w:p>
    <w:p w14:paraId="3F284695"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0728A184" w14:textId="77777777" w:rsidR="00E66396" w:rsidRPr="00E66396" w:rsidRDefault="00E66396" w:rsidP="00E66396">
      <w:pPr>
        <w:widowControl w:val="0"/>
        <w:shd w:val="clear" w:color="auto" w:fill="FFFFFF"/>
        <w:ind w:firstLine="0"/>
        <w:jc w:val="center"/>
        <w:rPr>
          <w:rFonts w:ascii="PT Astra Serif" w:eastAsia="Times New Roman" w:hAnsi="PT Astra Serif" w:cs="Segoe UI"/>
          <w:b/>
          <w:bCs/>
          <w:color w:val="0F1115"/>
          <w:szCs w:val="28"/>
          <w:lang w:eastAsia="ru-RU"/>
        </w:rPr>
      </w:pPr>
      <w:r w:rsidRPr="00E66396">
        <w:rPr>
          <w:rFonts w:ascii="PT Astra Serif" w:eastAsia="Times New Roman" w:hAnsi="PT Astra Serif" w:cs="Segoe UI"/>
          <w:b/>
          <w:bCs/>
          <w:color w:val="0F1115"/>
          <w:szCs w:val="28"/>
          <w:lang w:eastAsia="ru-RU"/>
        </w:rPr>
        <w:t>Итоги 2025 года</w:t>
      </w:r>
    </w:p>
    <w:p w14:paraId="3CC90132"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p>
    <w:p w14:paraId="063FB681" w14:textId="77777777" w:rsidR="00E66396" w:rsidRPr="00E66396" w:rsidRDefault="00E66396" w:rsidP="00E66396">
      <w:pPr>
        <w:widowControl w:val="0"/>
        <w:shd w:val="clear" w:color="auto" w:fill="FFFFFF"/>
        <w:rPr>
          <w:rFonts w:ascii="PT Astra Serif" w:eastAsia="Times New Roman" w:hAnsi="PT Astra Serif" w:cs="Segoe UI"/>
          <w:b/>
          <w:bCs/>
          <w:color w:val="0F1115"/>
          <w:szCs w:val="28"/>
          <w:lang w:eastAsia="ru-RU"/>
        </w:rPr>
      </w:pPr>
      <w:r w:rsidRPr="00E66396">
        <w:rPr>
          <w:rFonts w:ascii="PT Astra Serif" w:eastAsia="Times New Roman" w:hAnsi="PT Astra Serif" w:cs="Segoe UI"/>
          <w:b/>
          <w:bCs/>
          <w:color w:val="0F1115"/>
          <w:szCs w:val="28"/>
          <w:lang w:eastAsia="ru-RU"/>
        </w:rPr>
        <w:t>Задачи, поставленные на 2025 год:</w:t>
      </w:r>
    </w:p>
    <w:p w14:paraId="55493673"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1. Создание новых молодёжных центров в муниципалитетах.</w:t>
      </w:r>
    </w:p>
    <w:p w14:paraId="74BAAD78"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 xml:space="preserve">2. Увеличение числа молодых людей, вовлечённых в образовательные </w:t>
      </w:r>
      <w:r w:rsidRPr="00E66396">
        <w:rPr>
          <w:rFonts w:ascii="PT Astra Serif" w:eastAsia="Times New Roman" w:hAnsi="PT Astra Serif" w:cs="Segoe UI"/>
          <w:color w:val="0F1115"/>
          <w:szCs w:val="28"/>
          <w:lang w:eastAsia="ru-RU"/>
        </w:rPr>
        <w:br/>
        <w:t>и профессиональные программы.</w:t>
      </w:r>
    </w:p>
    <w:p w14:paraId="389DD0AD"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3. Развитие инфраструктуры добровольчества и удержание лидерских позиций.</w:t>
      </w:r>
    </w:p>
    <w:p w14:paraId="195B4EE6" w14:textId="77777777" w:rsidR="00E66396" w:rsidRPr="00E66396" w:rsidRDefault="00E66396" w:rsidP="00E66396">
      <w:pPr>
        <w:widowControl w:val="0"/>
        <w:shd w:val="clear" w:color="auto" w:fill="FFFFFF"/>
        <w:rPr>
          <w:rFonts w:ascii="PT Astra Serif" w:eastAsia="Times New Roman" w:hAnsi="PT Astra Serif" w:cs="Segoe UI"/>
          <w:color w:val="0F1115"/>
          <w:szCs w:val="28"/>
          <w:lang w:eastAsia="ru-RU"/>
        </w:rPr>
      </w:pPr>
      <w:r w:rsidRPr="00E66396">
        <w:rPr>
          <w:rFonts w:ascii="PT Astra Serif" w:eastAsia="Times New Roman" w:hAnsi="PT Astra Serif" w:cs="Segoe UI"/>
          <w:color w:val="0F1115"/>
          <w:szCs w:val="28"/>
          <w:lang w:eastAsia="ru-RU"/>
        </w:rPr>
        <w:t>4. Повышение доступности социальных лифтов и поддержка талантливой молодёжи.</w:t>
      </w:r>
    </w:p>
    <w:p w14:paraId="729A05D6" w14:textId="2C9E9361" w:rsidR="00E66396" w:rsidRDefault="00E66396" w:rsidP="006F2910">
      <w:pPr>
        <w:widowControl w:val="0"/>
        <w:shd w:val="clear" w:color="auto" w:fill="FFFFFF"/>
        <w:rPr>
          <w:rFonts w:ascii="PT Astra Serif" w:eastAsia="Times New Roman" w:hAnsi="PT Astra Serif" w:cs="Segoe UI"/>
          <w:color w:val="0F1115"/>
          <w:sz w:val="20"/>
          <w:szCs w:val="20"/>
          <w:lang w:eastAsia="ru-RU"/>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268"/>
        <w:gridCol w:w="2979"/>
        <w:gridCol w:w="2550"/>
      </w:tblGrid>
      <w:tr w:rsidR="004A0CE8" w:rsidRPr="004A0CE8" w14:paraId="6B842CFC" w14:textId="77777777" w:rsidTr="004A0CE8">
        <w:trPr>
          <w:tblHeader/>
          <w:jc w:val="center"/>
        </w:trPr>
        <w:tc>
          <w:tcPr>
            <w:tcW w:w="1696" w:type="dxa"/>
            <w:vAlign w:val="center"/>
            <w:hideMark/>
          </w:tcPr>
          <w:p w14:paraId="64F7CE11" w14:textId="2384B912"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Задача/ Ресурсы</w:t>
            </w:r>
          </w:p>
        </w:tc>
        <w:tc>
          <w:tcPr>
            <w:tcW w:w="2268" w:type="dxa"/>
            <w:vAlign w:val="center"/>
            <w:hideMark/>
          </w:tcPr>
          <w:p w14:paraId="11A949CE"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Управленческие решения</w:t>
            </w:r>
          </w:p>
        </w:tc>
        <w:tc>
          <w:tcPr>
            <w:tcW w:w="2979" w:type="dxa"/>
            <w:vAlign w:val="center"/>
            <w:hideMark/>
          </w:tcPr>
          <w:p w14:paraId="26811F55"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Ключевые мероприятия</w:t>
            </w:r>
          </w:p>
        </w:tc>
        <w:tc>
          <w:tcPr>
            <w:tcW w:w="2550" w:type="dxa"/>
            <w:vAlign w:val="center"/>
            <w:hideMark/>
          </w:tcPr>
          <w:p w14:paraId="429BBBE6"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Достигнутые результаты</w:t>
            </w:r>
          </w:p>
        </w:tc>
      </w:tr>
      <w:tr w:rsidR="004A0CE8" w:rsidRPr="004A0CE8" w14:paraId="112AD17A" w14:textId="77777777" w:rsidTr="004A0CE8">
        <w:trPr>
          <w:jc w:val="center"/>
        </w:trPr>
        <w:tc>
          <w:tcPr>
            <w:tcW w:w="1696" w:type="dxa"/>
            <w:vAlign w:val="center"/>
            <w:hideMark/>
          </w:tcPr>
          <w:p w14:paraId="48BEB5DC"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1. Создание молодёжных центров</w:t>
            </w:r>
          </w:p>
        </w:tc>
        <w:tc>
          <w:tcPr>
            <w:tcW w:w="2268" w:type="dxa"/>
            <w:hideMark/>
          </w:tcPr>
          <w:p w14:paraId="57538B91"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Заключение соглашения с </w:t>
            </w:r>
            <w:proofErr w:type="spellStart"/>
            <w:r w:rsidRPr="004A0CE8">
              <w:rPr>
                <w:rFonts w:ascii="PT Astra Serif" w:eastAsia="Times New Roman" w:hAnsi="PT Astra Serif" w:cs="Segoe UI"/>
                <w:color w:val="0F1115"/>
                <w:sz w:val="20"/>
              </w:rPr>
              <w:t>Росмолодёжью</w:t>
            </w:r>
            <w:proofErr w:type="spellEnd"/>
            <w:r w:rsidRPr="004A0CE8">
              <w:rPr>
                <w:rFonts w:ascii="PT Astra Serif" w:eastAsia="Times New Roman" w:hAnsi="PT Astra Serif" w:cs="Segoe UI"/>
                <w:color w:val="0F1115"/>
                <w:sz w:val="20"/>
              </w:rPr>
              <w:t xml:space="preserve">, </w:t>
            </w:r>
            <w:proofErr w:type="spellStart"/>
            <w:r w:rsidRPr="004A0CE8">
              <w:rPr>
                <w:rFonts w:ascii="PT Astra Serif" w:eastAsia="Times New Roman" w:hAnsi="PT Astra Serif" w:cs="Segoe UI"/>
                <w:color w:val="0F1115"/>
                <w:sz w:val="20"/>
              </w:rPr>
              <w:t>софинансирование</w:t>
            </w:r>
            <w:proofErr w:type="spellEnd"/>
            <w:r w:rsidRPr="004A0CE8">
              <w:rPr>
                <w:rFonts w:ascii="PT Astra Serif" w:eastAsia="Times New Roman" w:hAnsi="PT Astra Serif" w:cs="Segoe UI"/>
                <w:color w:val="0F1115"/>
                <w:sz w:val="20"/>
              </w:rPr>
              <w:t xml:space="preserve"> из </w:t>
            </w:r>
            <w:proofErr w:type="spellStart"/>
            <w:r w:rsidRPr="004A0CE8">
              <w:rPr>
                <w:rFonts w:ascii="PT Astra Serif" w:eastAsia="Times New Roman" w:hAnsi="PT Astra Serif" w:cs="Segoe UI"/>
                <w:color w:val="0F1115"/>
                <w:sz w:val="20"/>
              </w:rPr>
              <w:t>облбюджета</w:t>
            </w:r>
            <w:proofErr w:type="spellEnd"/>
            <w:r w:rsidRPr="004A0CE8">
              <w:rPr>
                <w:rFonts w:ascii="PT Astra Serif" w:eastAsia="Times New Roman" w:hAnsi="PT Astra Serif" w:cs="Segoe UI"/>
                <w:color w:val="0F1115"/>
                <w:sz w:val="20"/>
              </w:rPr>
              <w:t>, контроль капремонтов, создание рабочих групп на местах.</w:t>
            </w:r>
          </w:p>
        </w:tc>
        <w:tc>
          <w:tcPr>
            <w:tcW w:w="2979" w:type="dxa"/>
            <w:hideMark/>
          </w:tcPr>
          <w:p w14:paraId="3B1E20ED"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Открытие центров в г. Димитровграде и </w:t>
            </w:r>
            <w:proofErr w:type="spellStart"/>
            <w:r w:rsidRPr="004A0CE8">
              <w:rPr>
                <w:rFonts w:ascii="PT Astra Serif" w:eastAsia="Times New Roman" w:hAnsi="PT Astra Serif" w:cs="Segoe UI"/>
                <w:color w:val="0F1115"/>
                <w:sz w:val="20"/>
              </w:rPr>
              <w:t>р.п</w:t>
            </w:r>
            <w:proofErr w:type="spellEnd"/>
            <w:r w:rsidRPr="004A0CE8">
              <w:rPr>
                <w:rFonts w:ascii="PT Astra Serif" w:eastAsia="Times New Roman" w:hAnsi="PT Astra Serif" w:cs="Segoe UI"/>
                <w:color w:val="0F1115"/>
                <w:sz w:val="20"/>
              </w:rPr>
              <w:t>. Новоспасское. Проведено 32 мероприятия на их базах с общим охватом 15 500 человек.</w:t>
            </w:r>
          </w:p>
        </w:tc>
        <w:tc>
          <w:tcPr>
            <w:tcW w:w="2550" w:type="dxa"/>
            <w:hideMark/>
          </w:tcPr>
          <w:p w14:paraId="0DE2097B"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Создано </w:t>
            </w:r>
            <w:r w:rsidRPr="004A0CE8">
              <w:rPr>
                <w:rFonts w:ascii="PT Astra Serif" w:eastAsia="Times New Roman" w:hAnsi="PT Astra Serif" w:cs="Segoe UI"/>
                <w:b/>
                <w:bCs/>
                <w:color w:val="0F1115"/>
                <w:sz w:val="20"/>
              </w:rPr>
              <w:t xml:space="preserve">2 новых центра </w:t>
            </w:r>
            <w:r w:rsidRPr="004A0CE8">
              <w:rPr>
                <w:rFonts w:ascii="PT Astra Serif" w:eastAsia="Times New Roman" w:hAnsi="PT Astra Serif" w:cs="Segoe UI"/>
                <w:color w:val="0F1115"/>
                <w:sz w:val="20"/>
              </w:rPr>
              <w:t>(план - 2)</w:t>
            </w:r>
          </w:p>
          <w:p w14:paraId="33925DF2"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Исполнение федеральных средств - </w:t>
            </w:r>
            <w:r w:rsidRPr="004A0CE8">
              <w:rPr>
                <w:rFonts w:ascii="PT Astra Serif" w:eastAsia="Times New Roman" w:hAnsi="PT Astra Serif" w:cs="Segoe UI"/>
                <w:b/>
                <w:bCs/>
                <w:color w:val="0F1115"/>
                <w:sz w:val="20"/>
              </w:rPr>
              <w:t>119,9 млн руб.</w:t>
            </w:r>
            <w:r w:rsidRPr="004A0CE8">
              <w:rPr>
                <w:rFonts w:ascii="PT Astra Serif" w:eastAsia="Times New Roman" w:hAnsi="PT Astra Serif" w:cs="Segoe UI"/>
                <w:color w:val="0F1115"/>
                <w:sz w:val="20"/>
              </w:rPr>
              <w:t xml:space="preserve"> (100%).</w:t>
            </w:r>
          </w:p>
        </w:tc>
      </w:tr>
      <w:tr w:rsidR="004A0CE8" w:rsidRPr="004A0CE8" w14:paraId="57C0353A" w14:textId="77777777" w:rsidTr="004A0CE8">
        <w:trPr>
          <w:jc w:val="center"/>
        </w:trPr>
        <w:tc>
          <w:tcPr>
            <w:tcW w:w="1696" w:type="dxa"/>
            <w:vAlign w:val="center"/>
            <w:hideMark/>
          </w:tcPr>
          <w:p w14:paraId="32B2F084"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 xml:space="preserve">2. Вовлечение в </w:t>
            </w:r>
            <w:proofErr w:type="spellStart"/>
            <w:r w:rsidRPr="004A0CE8">
              <w:rPr>
                <w:rFonts w:ascii="PT Astra Serif" w:eastAsia="Times New Roman" w:hAnsi="PT Astra Serif" w:cs="Segoe UI"/>
                <w:b/>
                <w:bCs/>
                <w:color w:val="0F1115"/>
                <w:sz w:val="20"/>
              </w:rPr>
              <w:t>профразвитие</w:t>
            </w:r>
            <w:proofErr w:type="spellEnd"/>
          </w:p>
        </w:tc>
        <w:tc>
          <w:tcPr>
            <w:tcW w:w="2268" w:type="dxa"/>
            <w:hideMark/>
          </w:tcPr>
          <w:p w14:paraId="44B48BC9" w14:textId="3DAE2223"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Соглашения с вузами/</w:t>
            </w:r>
            <w:proofErr w:type="spellStart"/>
            <w:r w:rsidRPr="004A0CE8">
              <w:rPr>
                <w:rFonts w:ascii="PT Astra Serif" w:eastAsia="Times New Roman" w:hAnsi="PT Astra Serif" w:cs="Segoe UI"/>
                <w:color w:val="0F1115"/>
                <w:sz w:val="20"/>
              </w:rPr>
              <w:t>ссузами</w:t>
            </w:r>
            <w:proofErr w:type="spellEnd"/>
            <w:r w:rsidRPr="004A0CE8">
              <w:rPr>
                <w:rFonts w:ascii="PT Astra Serif" w:eastAsia="Times New Roman" w:hAnsi="PT Astra Serif" w:cs="Segoe UI"/>
                <w:color w:val="0F1115"/>
                <w:sz w:val="20"/>
              </w:rPr>
              <w:t xml:space="preserve">, координация </w:t>
            </w:r>
            <w:r w:rsidRPr="004A0CE8">
              <w:rPr>
                <w:rFonts w:ascii="PT Astra Serif" w:eastAsia="Times New Roman" w:hAnsi="PT Astra Serif" w:cs="Segoe UI"/>
                <w:color w:val="0F1115"/>
                <w:sz w:val="20"/>
              </w:rPr>
              <w:lastRenderedPageBreak/>
              <w:t>деятельности РСО и РСМ, расширение пула работодателей.</w:t>
            </w:r>
          </w:p>
        </w:tc>
        <w:tc>
          <w:tcPr>
            <w:tcW w:w="2979" w:type="dxa"/>
            <w:hideMark/>
          </w:tcPr>
          <w:p w14:paraId="5D636C78"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lastRenderedPageBreak/>
              <w:t>Проекты «Твой Ход» (1 500 уч.), «</w:t>
            </w:r>
            <w:proofErr w:type="spellStart"/>
            <w:r w:rsidRPr="004A0CE8">
              <w:rPr>
                <w:rFonts w:ascii="PT Astra Serif" w:eastAsia="Times New Roman" w:hAnsi="PT Astra Serif" w:cs="Segoe UI"/>
                <w:color w:val="0F1115"/>
                <w:sz w:val="20"/>
              </w:rPr>
              <w:t>ПРОФдвиж</w:t>
            </w:r>
            <w:proofErr w:type="spellEnd"/>
            <w:r w:rsidRPr="004A0CE8">
              <w:rPr>
                <w:rFonts w:ascii="PT Astra Serif" w:eastAsia="Times New Roman" w:hAnsi="PT Astra Serif" w:cs="Segoe UI"/>
                <w:color w:val="0F1115"/>
                <w:sz w:val="20"/>
              </w:rPr>
              <w:t xml:space="preserve">» (60 мероприятий), РСО </w:t>
            </w:r>
            <w:r w:rsidRPr="004A0CE8">
              <w:rPr>
                <w:rFonts w:ascii="PT Astra Serif" w:eastAsia="Times New Roman" w:hAnsi="PT Astra Serif" w:cs="Segoe UI"/>
                <w:color w:val="0F1115"/>
                <w:sz w:val="20"/>
              </w:rPr>
              <w:lastRenderedPageBreak/>
              <w:t xml:space="preserve">(трудоустройство 1 249 бойцов, в </w:t>
            </w:r>
            <w:proofErr w:type="spellStart"/>
            <w:r w:rsidRPr="004A0CE8">
              <w:rPr>
                <w:rFonts w:ascii="PT Astra Serif" w:eastAsia="Times New Roman" w:hAnsi="PT Astra Serif" w:cs="Segoe UI"/>
                <w:color w:val="0F1115"/>
                <w:sz w:val="20"/>
              </w:rPr>
              <w:t>т.ч</w:t>
            </w:r>
            <w:proofErr w:type="spellEnd"/>
            <w:r w:rsidRPr="004A0CE8">
              <w:rPr>
                <w:rFonts w:ascii="PT Astra Serif" w:eastAsia="Times New Roman" w:hAnsi="PT Astra Serif" w:cs="Segoe UI"/>
                <w:color w:val="0F1115"/>
                <w:sz w:val="20"/>
              </w:rPr>
              <w:t>. международные проекты в Турции).</w:t>
            </w:r>
          </w:p>
        </w:tc>
        <w:tc>
          <w:tcPr>
            <w:tcW w:w="2550" w:type="dxa"/>
            <w:hideMark/>
          </w:tcPr>
          <w:p w14:paraId="4A451840"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lastRenderedPageBreak/>
              <w:t xml:space="preserve">Доля вовлечённых - </w:t>
            </w:r>
            <w:r w:rsidRPr="004A0CE8">
              <w:rPr>
                <w:rFonts w:ascii="PT Astra Serif" w:eastAsia="Times New Roman" w:hAnsi="PT Astra Serif" w:cs="Segoe UI"/>
                <w:b/>
                <w:bCs/>
                <w:color w:val="0F1115"/>
                <w:sz w:val="20"/>
              </w:rPr>
              <w:t>46,5%</w:t>
            </w:r>
            <w:r w:rsidRPr="004A0CE8">
              <w:rPr>
                <w:rFonts w:ascii="PT Astra Serif" w:eastAsia="Times New Roman" w:hAnsi="PT Astra Serif" w:cs="Segoe UI"/>
                <w:color w:val="0F1115"/>
                <w:sz w:val="20"/>
              </w:rPr>
              <w:t xml:space="preserve"> (план 46,2%). Прирост числа участников </w:t>
            </w:r>
            <w:r w:rsidRPr="004A0CE8">
              <w:rPr>
                <w:rFonts w:ascii="PT Astra Serif" w:eastAsia="Times New Roman" w:hAnsi="PT Astra Serif" w:cs="Segoe UI"/>
                <w:color w:val="0F1115"/>
                <w:sz w:val="20"/>
              </w:rPr>
              <w:lastRenderedPageBreak/>
              <w:t xml:space="preserve">РСО - </w:t>
            </w:r>
            <w:r w:rsidRPr="004A0CE8">
              <w:rPr>
                <w:rFonts w:ascii="PT Astra Serif" w:eastAsia="Times New Roman" w:hAnsi="PT Astra Serif" w:cs="Segoe UI"/>
                <w:b/>
                <w:bCs/>
                <w:color w:val="0F1115"/>
                <w:sz w:val="20"/>
              </w:rPr>
              <w:t>14%</w:t>
            </w:r>
            <w:r w:rsidRPr="004A0CE8">
              <w:rPr>
                <w:rFonts w:ascii="PT Astra Serif" w:eastAsia="Times New Roman" w:hAnsi="PT Astra Serif" w:cs="Segoe UI"/>
                <w:color w:val="0F1115"/>
                <w:sz w:val="20"/>
              </w:rPr>
              <w:t>.</w:t>
            </w:r>
          </w:p>
        </w:tc>
      </w:tr>
      <w:tr w:rsidR="004A0CE8" w:rsidRPr="004A0CE8" w14:paraId="4DCCF9E2" w14:textId="77777777" w:rsidTr="004A0CE8">
        <w:trPr>
          <w:jc w:val="center"/>
        </w:trPr>
        <w:tc>
          <w:tcPr>
            <w:tcW w:w="1696" w:type="dxa"/>
            <w:vAlign w:val="center"/>
            <w:hideMark/>
          </w:tcPr>
          <w:p w14:paraId="03C6D415"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lastRenderedPageBreak/>
              <w:t>3. Развитие добровольчества</w:t>
            </w:r>
          </w:p>
        </w:tc>
        <w:tc>
          <w:tcPr>
            <w:tcW w:w="2268" w:type="dxa"/>
            <w:hideMark/>
          </w:tcPr>
          <w:p w14:paraId="7DC2CD37"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Участие в конкурсе «Регион добрых дел», методическая поддержка </w:t>
            </w:r>
            <w:proofErr w:type="spellStart"/>
            <w:r w:rsidRPr="004A0CE8">
              <w:rPr>
                <w:rFonts w:ascii="PT Astra Serif" w:eastAsia="Times New Roman" w:hAnsi="PT Astra Serif" w:cs="Segoe UI"/>
                <w:color w:val="0F1115"/>
                <w:sz w:val="20"/>
              </w:rPr>
              <w:t>Добро.Центров</w:t>
            </w:r>
            <w:proofErr w:type="spellEnd"/>
            <w:r w:rsidRPr="004A0CE8">
              <w:rPr>
                <w:rFonts w:ascii="PT Astra Serif" w:eastAsia="Times New Roman" w:hAnsi="PT Astra Serif" w:cs="Segoe UI"/>
                <w:color w:val="0F1115"/>
                <w:sz w:val="20"/>
              </w:rPr>
              <w:t>, субсидия АНО «Счастливый регион».</w:t>
            </w:r>
          </w:p>
        </w:tc>
        <w:tc>
          <w:tcPr>
            <w:tcW w:w="2979" w:type="dxa"/>
            <w:hideMark/>
          </w:tcPr>
          <w:p w14:paraId="3547C1E6"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Форум #МЫВМЕСТЕ, капремонт Ресурсного центра, открытие </w:t>
            </w:r>
            <w:r w:rsidRPr="004A0CE8">
              <w:rPr>
                <w:rFonts w:ascii="PT Astra Serif" w:eastAsia="Times New Roman" w:hAnsi="PT Astra Serif" w:cs="Segoe UI"/>
                <w:b/>
                <w:bCs/>
                <w:color w:val="0F1115"/>
                <w:sz w:val="20"/>
              </w:rPr>
              <w:t xml:space="preserve">2 новых </w:t>
            </w:r>
            <w:proofErr w:type="spellStart"/>
            <w:r w:rsidRPr="004A0CE8">
              <w:rPr>
                <w:rFonts w:ascii="PT Astra Serif" w:eastAsia="Times New Roman" w:hAnsi="PT Astra Serif" w:cs="Segoe UI"/>
                <w:b/>
                <w:bCs/>
                <w:color w:val="0F1115"/>
                <w:sz w:val="20"/>
              </w:rPr>
              <w:t>Добро.Центров</w:t>
            </w:r>
            <w:proofErr w:type="spellEnd"/>
            <w:r w:rsidRPr="004A0CE8">
              <w:rPr>
                <w:rFonts w:ascii="PT Astra Serif" w:eastAsia="Times New Roman" w:hAnsi="PT Astra Serif" w:cs="Segoe UI"/>
                <w:color w:val="0F1115"/>
                <w:sz w:val="20"/>
              </w:rPr>
              <w:t>. Работа 42 штабов #МЫВМЕСТЕ.</w:t>
            </w:r>
          </w:p>
        </w:tc>
        <w:tc>
          <w:tcPr>
            <w:tcW w:w="2550" w:type="dxa"/>
            <w:hideMark/>
          </w:tcPr>
          <w:p w14:paraId="1CE66568"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 xml:space="preserve">1 место </w:t>
            </w:r>
            <w:r w:rsidRPr="004A0CE8">
              <w:rPr>
                <w:rFonts w:ascii="PT Astra Serif" w:eastAsia="Times New Roman" w:hAnsi="PT Astra Serif" w:cs="Segoe UI"/>
                <w:color w:val="0F1115"/>
                <w:sz w:val="20"/>
              </w:rPr>
              <w:t xml:space="preserve">в рейтинге РФ. </w:t>
            </w:r>
            <w:r w:rsidRPr="004A0CE8">
              <w:rPr>
                <w:rFonts w:ascii="PT Astra Serif" w:eastAsia="Times New Roman" w:hAnsi="PT Astra Serif" w:cs="Segoe UI"/>
                <w:b/>
                <w:bCs/>
                <w:color w:val="0F1115"/>
                <w:sz w:val="20"/>
              </w:rPr>
              <w:t xml:space="preserve">Победа </w:t>
            </w:r>
            <w:r w:rsidRPr="004A0CE8">
              <w:rPr>
                <w:rFonts w:ascii="PT Astra Serif" w:eastAsia="Times New Roman" w:hAnsi="PT Astra Serif" w:cs="Segoe UI"/>
                <w:color w:val="0F1115"/>
                <w:sz w:val="20"/>
              </w:rPr>
              <w:t xml:space="preserve">в премии #МЫВМЕСТЕ. Прирост волонтёров </w:t>
            </w:r>
            <w:r w:rsidRPr="004A0CE8">
              <w:rPr>
                <w:rFonts w:ascii="PT Astra Serif" w:eastAsia="Times New Roman" w:hAnsi="PT Astra Serif" w:cs="Segoe UI"/>
                <w:b/>
                <w:bCs/>
                <w:color w:val="0F1115"/>
                <w:sz w:val="20"/>
              </w:rPr>
              <w:t xml:space="preserve">15 тыс. чел </w:t>
            </w:r>
            <w:r w:rsidRPr="004A0CE8">
              <w:rPr>
                <w:rFonts w:ascii="PT Astra Serif" w:eastAsia="Times New Roman" w:hAnsi="PT Astra Serif" w:cs="Segoe UI"/>
                <w:color w:val="0F1115"/>
                <w:sz w:val="20"/>
              </w:rPr>
              <w:t>за год.</w:t>
            </w:r>
          </w:p>
        </w:tc>
      </w:tr>
      <w:tr w:rsidR="004A0CE8" w:rsidRPr="004A0CE8" w14:paraId="543D5AF1" w14:textId="77777777" w:rsidTr="004A0CE8">
        <w:trPr>
          <w:jc w:val="center"/>
        </w:trPr>
        <w:tc>
          <w:tcPr>
            <w:tcW w:w="1696" w:type="dxa"/>
            <w:vAlign w:val="center"/>
            <w:hideMark/>
          </w:tcPr>
          <w:p w14:paraId="4B9B284B" w14:textId="77777777" w:rsidR="004A0CE8" w:rsidRPr="004A0CE8" w:rsidRDefault="004A0CE8" w:rsidP="004A0CE8">
            <w:pPr>
              <w:widowControl w:val="0"/>
              <w:shd w:val="clear" w:color="auto" w:fill="FFFFFF"/>
              <w:ind w:firstLine="0"/>
              <w:jc w:val="center"/>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 xml:space="preserve">4. Поддержка талантов и </w:t>
            </w:r>
            <w:proofErr w:type="spellStart"/>
            <w:r w:rsidRPr="004A0CE8">
              <w:rPr>
                <w:rFonts w:ascii="PT Astra Serif" w:eastAsia="Times New Roman" w:hAnsi="PT Astra Serif" w:cs="Segoe UI"/>
                <w:b/>
                <w:bCs/>
                <w:color w:val="0F1115"/>
                <w:sz w:val="20"/>
              </w:rPr>
              <w:t>грантовая</w:t>
            </w:r>
            <w:proofErr w:type="spellEnd"/>
            <w:r w:rsidRPr="004A0CE8">
              <w:rPr>
                <w:rFonts w:ascii="PT Astra Serif" w:eastAsia="Times New Roman" w:hAnsi="PT Astra Serif" w:cs="Segoe UI"/>
                <w:b/>
                <w:bCs/>
                <w:color w:val="0F1115"/>
                <w:sz w:val="20"/>
              </w:rPr>
              <w:t xml:space="preserve"> деятельность</w:t>
            </w:r>
          </w:p>
        </w:tc>
        <w:tc>
          <w:tcPr>
            <w:tcW w:w="2268" w:type="dxa"/>
            <w:hideMark/>
          </w:tcPr>
          <w:p w14:paraId="1A65B33E"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Создание региональной экосистемы сопровождения </w:t>
            </w:r>
            <w:proofErr w:type="spellStart"/>
            <w:r w:rsidRPr="004A0CE8">
              <w:rPr>
                <w:rFonts w:ascii="PT Astra Serif" w:eastAsia="Times New Roman" w:hAnsi="PT Astra Serif" w:cs="Segoe UI"/>
                <w:color w:val="0F1115"/>
                <w:sz w:val="20"/>
              </w:rPr>
              <w:t>грантовых</w:t>
            </w:r>
            <w:proofErr w:type="spellEnd"/>
            <w:r w:rsidRPr="004A0CE8">
              <w:rPr>
                <w:rFonts w:ascii="PT Astra Serif" w:eastAsia="Times New Roman" w:hAnsi="PT Astra Serif" w:cs="Segoe UI"/>
                <w:color w:val="0F1115"/>
                <w:sz w:val="20"/>
              </w:rPr>
              <w:t xml:space="preserve"> заявок: консультации, образовательные интенсивы, институт наставничества.</w:t>
            </w:r>
          </w:p>
        </w:tc>
        <w:tc>
          <w:tcPr>
            <w:tcW w:w="2979" w:type="dxa"/>
            <w:hideMark/>
          </w:tcPr>
          <w:p w14:paraId="4A9A1DE0"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proofErr w:type="spellStart"/>
            <w:r w:rsidRPr="004A0CE8">
              <w:rPr>
                <w:rFonts w:ascii="PT Astra Serif" w:eastAsia="Times New Roman" w:hAnsi="PT Astra Serif" w:cs="Segoe UI"/>
                <w:b/>
                <w:bCs/>
                <w:color w:val="0F1115"/>
                <w:sz w:val="20"/>
              </w:rPr>
              <w:t>Форумная</w:t>
            </w:r>
            <w:proofErr w:type="spellEnd"/>
            <w:r w:rsidRPr="004A0CE8">
              <w:rPr>
                <w:rFonts w:ascii="PT Astra Serif" w:eastAsia="Times New Roman" w:hAnsi="PT Astra Serif" w:cs="Segoe UI"/>
                <w:b/>
                <w:bCs/>
                <w:color w:val="0F1115"/>
                <w:sz w:val="20"/>
              </w:rPr>
              <w:t xml:space="preserve"> кампания:</w:t>
            </w:r>
            <w:r w:rsidRPr="004A0CE8">
              <w:rPr>
                <w:rFonts w:ascii="PT Astra Serif" w:eastAsia="Times New Roman" w:hAnsi="PT Astra Serif" w:cs="Segoe UI"/>
                <w:color w:val="0F1115"/>
                <w:sz w:val="20"/>
              </w:rPr>
              <w:t> Участие 300+ чел. в форумах («Территория смыслов», «</w:t>
            </w:r>
            <w:proofErr w:type="spellStart"/>
            <w:r w:rsidRPr="004A0CE8">
              <w:rPr>
                <w:rFonts w:ascii="PT Astra Serif" w:eastAsia="Times New Roman" w:hAnsi="PT Astra Serif" w:cs="Segoe UI"/>
                <w:color w:val="0F1115"/>
                <w:sz w:val="20"/>
              </w:rPr>
              <w:t>iВолга</w:t>
            </w:r>
            <w:proofErr w:type="spellEnd"/>
            <w:r w:rsidRPr="004A0CE8">
              <w:rPr>
                <w:rFonts w:ascii="PT Astra Serif" w:eastAsia="Times New Roman" w:hAnsi="PT Astra Serif" w:cs="Segoe UI"/>
                <w:color w:val="0F1115"/>
                <w:sz w:val="20"/>
              </w:rPr>
              <w:t xml:space="preserve">»). </w:t>
            </w:r>
          </w:p>
          <w:p w14:paraId="1578F7BD"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b/>
                <w:bCs/>
                <w:color w:val="0F1115"/>
                <w:sz w:val="20"/>
              </w:rPr>
              <w:t>«Твой Ход»:</w:t>
            </w:r>
            <w:r w:rsidRPr="004A0CE8">
              <w:rPr>
                <w:rFonts w:ascii="PT Astra Serif" w:eastAsia="Times New Roman" w:hAnsi="PT Astra Serif" w:cs="Segoe UI"/>
                <w:color w:val="0F1115"/>
                <w:sz w:val="20"/>
              </w:rPr>
              <w:t> Рекорд: 1 500 уч., 6 побед (включая грант 1 млн руб.).</w:t>
            </w:r>
          </w:p>
          <w:p w14:paraId="5CC4CD93"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proofErr w:type="spellStart"/>
            <w:r w:rsidRPr="004A0CE8">
              <w:rPr>
                <w:rFonts w:ascii="PT Astra Serif" w:eastAsia="Times New Roman" w:hAnsi="PT Astra Serif" w:cs="Segoe UI"/>
                <w:b/>
                <w:bCs/>
                <w:color w:val="0F1115"/>
                <w:sz w:val="20"/>
              </w:rPr>
              <w:t>Грантовые</w:t>
            </w:r>
            <w:proofErr w:type="spellEnd"/>
            <w:r w:rsidRPr="004A0CE8">
              <w:rPr>
                <w:rFonts w:ascii="PT Astra Serif" w:eastAsia="Times New Roman" w:hAnsi="PT Astra Serif" w:cs="Segoe UI"/>
                <w:b/>
                <w:bCs/>
                <w:color w:val="0F1115"/>
                <w:sz w:val="20"/>
              </w:rPr>
              <w:t xml:space="preserve"> конкурсы:</w:t>
            </w:r>
            <w:r w:rsidRPr="004A0CE8">
              <w:rPr>
                <w:rFonts w:ascii="PT Astra Serif" w:eastAsia="Times New Roman" w:hAnsi="PT Astra Serif" w:cs="Segoe UI"/>
                <w:color w:val="0F1115"/>
                <w:sz w:val="20"/>
              </w:rPr>
              <w:t xml:space="preserve"> Подано 326 заявок на #МЫВМЕСТЕ; победа АНО «СТАТУСПРО» (2 место, 692 тыс. руб.); победа УООООО РСМ (грант ПФКИ - </w:t>
            </w:r>
            <w:r w:rsidRPr="004A0CE8">
              <w:rPr>
                <w:rFonts w:ascii="PT Astra Serif" w:eastAsia="Times New Roman" w:hAnsi="PT Astra Serif" w:cs="Segoe UI"/>
                <w:b/>
                <w:bCs/>
                <w:color w:val="0F1115"/>
                <w:sz w:val="20"/>
              </w:rPr>
              <w:t>14,2 млн руб.</w:t>
            </w:r>
            <w:r w:rsidRPr="004A0CE8">
              <w:rPr>
                <w:rFonts w:ascii="PT Astra Serif" w:eastAsia="Times New Roman" w:hAnsi="PT Astra Serif" w:cs="Segoe UI"/>
                <w:color w:val="0F1115"/>
                <w:sz w:val="20"/>
              </w:rPr>
              <w:t>).</w:t>
            </w:r>
          </w:p>
        </w:tc>
        <w:tc>
          <w:tcPr>
            <w:tcW w:w="2550" w:type="dxa"/>
            <w:hideMark/>
          </w:tcPr>
          <w:p w14:paraId="050F57EC" w14:textId="77777777" w:rsidR="004A0CE8" w:rsidRPr="004A0CE8" w:rsidRDefault="004A0CE8" w:rsidP="004A0CE8">
            <w:pPr>
              <w:widowControl w:val="0"/>
              <w:shd w:val="clear" w:color="auto" w:fill="FFFFFF"/>
              <w:ind w:firstLine="0"/>
              <w:rPr>
                <w:rFonts w:ascii="PT Astra Serif" w:eastAsia="Times New Roman" w:hAnsi="PT Astra Serif" w:cs="Segoe UI"/>
                <w:b/>
                <w:bCs/>
                <w:color w:val="0F1115"/>
                <w:sz w:val="20"/>
              </w:rPr>
            </w:pPr>
            <w:r w:rsidRPr="004A0CE8">
              <w:rPr>
                <w:rFonts w:ascii="PT Astra Serif" w:eastAsia="Times New Roman" w:hAnsi="PT Astra Serif" w:cs="Segoe UI"/>
                <w:color w:val="0F1115"/>
                <w:sz w:val="20"/>
              </w:rPr>
              <w:t xml:space="preserve">Общий объём привлечённых </w:t>
            </w:r>
            <w:proofErr w:type="spellStart"/>
            <w:r w:rsidRPr="004A0CE8">
              <w:rPr>
                <w:rFonts w:ascii="PT Astra Serif" w:eastAsia="Times New Roman" w:hAnsi="PT Astra Serif" w:cs="Segoe UI"/>
                <w:color w:val="0F1115"/>
                <w:sz w:val="20"/>
              </w:rPr>
              <w:t>грантовых</w:t>
            </w:r>
            <w:proofErr w:type="spellEnd"/>
            <w:r w:rsidRPr="004A0CE8">
              <w:rPr>
                <w:rFonts w:ascii="PT Astra Serif" w:eastAsia="Times New Roman" w:hAnsi="PT Astra Serif" w:cs="Segoe UI"/>
                <w:color w:val="0F1115"/>
                <w:sz w:val="20"/>
              </w:rPr>
              <w:t xml:space="preserve"> средств в отрасль - </w:t>
            </w:r>
            <w:r w:rsidRPr="004A0CE8">
              <w:rPr>
                <w:rFonts w:ascii="PT Astra Serif" w:eastAsia="Times New Roman" w:hAnsi="PT Astra Serif" w:cs="Segoe UI"/>
                <w:b/>
                <w:bCs/>
                <w:color w:val="0F1115"/>
                <w:sz w:val="20"/>
              </w:rPr>
              <w:t xml:space="preserve">262,6 млн </w:t>
            </w:r>
            <w:proofErr w:type="spellStart"/>
            <w:r w:rsidRPr="004A0CE8">
              <w:rPr>
                <w:rFonts w:ascii="PT Astra Serif" w:eastAsia="Times New Roman" w:hAnsi="PT Astra Serif" w:cs="Segoe UI"/>
                <w:b/>
                <w:bCs/>
                <w:color w:val="0F1115"/>
                <w:sz w:val="20"/>
              </w:rPr>
              <w:t>руб</w:t>
            </w:r>
            <w:proofErr w:type="spellEnd"/>
            <w:r w:rsidRPr="004A0CE8">
              <w:rPr>
                <w:rFonts w:ascii="PT Astra Serif" w:eastAsia="Times New Roman" w:hAnsi="PT Astra Serif" w:cs="Segoe UI"/>
                <w:b/>
                <w:bCs/>
                <w:color w:val="0F1115"/>
                <w:sz w:val="20"/>
              </w:rPr>
              <w:t xml:space="preserve"> </w:t>
            </w:r>
            <w:r w:rsidRPr="004A0CE8">
              <w:rPr>
                <w:rFonts w:ascii="PT Astra Serif" w:eastAsia="Times New Roman" w:hAnsi="PT Astra Serif" w:cs="Segoe UI"/>
                <w:color w:val="0F1115"/>
                <w:sz w:val="20"/>
              </w:rPr>
              <w:t>(</w:t>
            </w:r>
            <w:proofErr w:type="spellStart"/>
            <w:r w:rsidRPr="004A0CE8">
              <w:rPr>
                <w:rFonts w:ascii="PT Astra Serif" w:eastAsia="Times New Roman" w:hAnsi="PT Astra Serif" w:cs="Segoe UI"/>
                <w:color w:val="0F1115"/>
                <w:sz w:val="20"/>
              </w:rPr>
              <w:t>Росмолодёжь.Гранты</w:t>
            </w:r>
            <w:proofErr w:type="spellEnd"/>
            <w:r w:rsidRPr="004A0CE8">
              <w:rPr>
                <w:rFonts w:ascii="PT Astra Serif" w:eastAsia="Times New Roman" w:hAnsi="PT Astra Serif" w:cs="Segoe UI"/>
                <w:color w:val="0F1115"/>
                <w:sz w:val="20"/>
              </w:rPr>
              <w:t xml:space="preserve">, ФПГ, ПФКИ). Из них по линии </w:t>
            </w:r>
            <w:proofErr w:type="spellStart"/>
            <w:r w:rsidRPr="004A0CE8">
              <w:rPr>
                <w:rFonts w:ascii="PT Astra Serif" w:eastAsia="Times New Roman" w:hAnsi="PT Astra Serif" w:cs="Segoe UI"/>
                <w:b/>
                <w:bCs/>
                <w:color w:val="0F1115"/>
                <w:sz w:val="20"/>
              </w:rPr>
              <w:t>Росмолодёжь</w:t>
            </w:r>
            <w:proofErr w:type="spellEnd"/>
            <w:r w:rsidRPr="004A0CE8">
              <w:rPr>
                <w:rFonts w:ascii="PT Astra Serif" w:eastAsia="Times New Roman" w:hAnsi="PT Astra Serif" w:cs="Segoe UI"/>
                <w:b/>
                <w:bCs/>
                <w:color w:val="0F1115"/>
                <w:sz w:val="20"/>
              </w:rPr>
              <w:t>. Гранты</w:t>
            </w:r>
            <w:r w:rsidRPr="004A0CE8">
              <w:rPr>
                <w:rFonts w:ascii="PT Astra Serif" w:eastAsia="Times New Roman" w:hAnsi="PT Astra Serif" w:cs="Segoe UI"/>
                <w:color w:val="0F1115"/>
                <w:sz w:val="20"/>
              </w:rPr>
              <w:t xml:space="preserve"> привлечено </w:t>
            </w:r>
            <w:r w:rsidRPr="004A0CE8">
              <w:rPr>
                <w:rFonts w:ascii="PT Astra Serif" w:eastAsia="Times New Roman" w:hAnsi="PT Astra Serif" w:cs="Segoe UI"/>
                <w:b/>
                <w:bCs/>
                <w:color w:val="0F1115"/>
                <w:sz w:val="20"/>
              </w:rPr>
              <w:t>32,4 млн руб.</w:t>
            </w:r>
          </w:p>
          <w:p w14:paraId="38ACB235" w14:textId="77777777" w:rsidR="004A0CE8" w:rsidRPr="004A0CE8" w:rsidRDefault="004A0CE8" w:rsidP="004A0CE8">
            <w:pPr>
              <w:widowControl w:val="0"/>
              <w:shd w:val="clear" w:color="auto" w:fill="FFFFFF"/>
              <w:ind w:firstLine="0"/>
              <w:rPr>
                <w:rFonts w:ascii="PT Astra Serif" w:eastAsia="Times New Roman" w:hAnsi="PT Astra Serif" w:cs="Segoe UI"/>
                <w:color w:val="0F1115"/>
                <w:sz w:val="20"/>
              </w:rPr>
            </w:pPr>
            <w:r w:rsidRPr="004A0CE8">
              <w:rPr>
                <w:rFonts w:ascii="PT Astra Serif" w:eastAsia="Times New Roman" w:hAnsi="PT Astra Serif" w:cs="Segoe UI"/>
                <w:color w:val="0F1115"/>
                <w:sz w:val="20"/>
              </w:rPr>
              <w:t xml:space="preserve">Увеличение числа участников </w:t>
            </w:r>
            <w:proofErr w:type="spellStart"/>
            <w:r w:rsidRPr="004A0CE8">
              <w:rPr>
                <w:rFonts w:ascii="PT Astra Serif" w:eastAsia="Times New Roman" w:hAnsi="PT Astra Serif" w:cs="Segoe UI"/>
                <w:color w:val="0F1115"/>
                <w:sz w:val="20"/>
              </w:rPr>
              <w:t>грантовых</w:t>
            </w:r>
            <w:proofErr w:type="spellEnd"/>
            <w:r w:rsidRPr="004A0CE8">
              <w:rPr>
                <w:rFonts w:ascii="PT Astra Serif" w:eastAsia="Times New Roman" w:hAnsi="PT Astra Serif" w:cs="Segoe UI"/>
                <w:color w:val="0F1115"/>
                <w:sz w:val="20"/>
              </w:rPr>
              <w:t xml:space="preserve"> конкурсов на </w:t>
            </w:r>
            <w:r w:rsidRPr="004A0CE8">
              <w:rPr>
                <w:rFonts w:ascii="PT Astra Serif" w:eastAsia="Times New Roman" w:hAnsi="PT Astra Serif" w:cs="Segoe UI"/>
                <w:b/>
                <w:bCs/>
                <w:color w:val="0F1115"/>
                <w:sz w:val="20"/>
              </w:rPr>
              <w:t>40%</w:t>
            </w:r>
            <w:r w:rsidRPr="004A0CE8">
              <w:rPr>
                <w:rFonts w:ascii="PT Astra Serif" w:eastAsia="Times New Roman" w:hAnsi="PT Astra Serif" w:cs="Segoe UI"/>
                <w:color w:val="0F1115"/>
                <w:sz w:val="20"/>
              </w:rPr>
              <w:t xml:space="preserve"> к 2024 г.</w:t>
            </w:r>
          </w:p>
        </w:tc>
      </w:tr>
    </w:tbl>
    <w:p w14:paraId="5A88B82B" w14:textId="2F19CE9A" w:rsidR="004A0CE8" w:rsidRDefault="004A0CE8" w:rsidP="006F2910">
      <w:pPr>
        <w:widowControl w:val="0"/>
        <w:shd w:val="clear" w:color="auto" w:fill="FFFFFF"/>
        <w:rPr>
          <w:rFonts w:ascii="PT Astra Serif" w:eastAsia="Times New Roman" w:hAnsi="PT Astra Serif" w:cs="Segoe UI"/>
          <w:color w:val="0F1115"/>
          <w:sz w:val="20"/>
          <w:szCs w:val="20"/>
          <w:lang w:eastAsia="ru-RU"/>
        </w:rPr>
      </w:pPr>
    </w:p>
    <w:p w14:paraId="0C3B61EB" w14:textId="77777777" w:rsidR="006F2910" w:rsidRPr="006F2910" w:rsidRDefault="006F2910" w:rsidP="006F2910">
      <w:pPr>
        <w:widowControl w:val="0"/>
        <w:shd w:val="clear" w:color="auto" w:fill="FFFFFF"/>
        <w:ind w:firstLine="0"/>
        <w:jc w:val="center"/>
        <w:rPr>
          <w:rFonts w:ascii="PT Astra Serif" w:eastAsia="Times New Roman" w:hAnsi="PT Astra Serif" w:cs="Segoe UI"/>
          <w:b/>
          <w:bCs/>
          <w:color w:val="0F1115"/>
          <w:szCs w:val="28"/>
          <w:lang w:eastAsia="ru-RU"/>
        </w:rPr>
      </w:pPr>
      <w:r w:rsidRPr="006F2910">
        <w:rPr>
          <w:rFonts w:ascii="PT Astra Serif" w:eastAsia="Times New Roman" w:hAnsi="PT Astra Serif" w:cs="Segoe UI"/>
          <w:b/>
          <w:bCs/>
          <w:color w:val="0F1115"/>
          <w:szCs w:val="28"/>
          <w:lang w:eastAsia="ru-RU"/>
        </w:rPr>
        <w:t>Основные задачи и риски 2026 года</w:t>
      </w:r>
    </w:p>
    <w:p w14:paraId="5D283CC0" w14:textId="77777777" w:rsidR="006F2910" w:rsidRPr="006F2910" w:rsidRDefault="006F2910" w:rsidP="006F2910">
      <w:pPr>
        <w:widowControl w:val="0"/>
        <w:shd w:val="clear" w:color="auto" w:fill="FFFFFF"/>
        <w:rPr>
          <w:rFonts w:ascii="PT Astra Serif" w:eastAsia="Times New Roman" w:hAnsi="PT Astra Serif" w:cs="Segoe UI"/>
          <w:b/>
          <w:bCs/>
          <w:color w:val="0F1115"/>
          <w:szCs w:val="28"/>
          <w:lang w:eastAsia="ru-RU"/>
        </w:rPr>
      </w:pPr>
    </w:p>
    <w:p w14:paraId="5374D93A"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sidRPr="006F2910">
        <w:rPr>
          <w:rFonts w:ascii="PT Astra Serif" w:eastAsia="Times New Roman" w:hAnsi="PT Astra Serif" w:cs="Segoe UI"/>
          <w:color w:val="0F1115"/>
          <w:szCs w:val="28"/>
          <w:lang w:eastAsia="ru-RU"/>
        </w:rPr>
        <w:t xml:space="preserve">1. </w:t>
      </w:r>
      <w:r>
        <w:rPr>
          <w:rFonts w:ascii="PT Astra Serif" w:eastAsia="Times New Roman" w:hAnsi="PT Astra Serif" w:cs="Segoe UI"/>
          <w:color w:val="0F1115"/>
          <w:szCs w:val="28"/>
          <w:lang w:eastAsia="ru-RU"/>
        </w:rPr>
        <w:t>Методическое сопровождение</w:t>
      </w:r>
      <w:r w:rsidRPr="006F2910">
        <w:rPr>
          <w:rFonts w:ascii="PT Astra Serif" w:eastAsia="Times New Roman" w:hAnsi="PT Astra Serif" w:cs="Segoe UI"/>
          <w:color w:val="0F1115"/>
          <w:szCs w:val="28"/>
          <w:lang w:eastAsia="ru-RU"/>
        </w:rPr>
        <w:t xml:space="preserve"> 2 новых </w:t>
      </w:r>
      <w:r>
        <w:rPr>
          <w:rFonts w:ascii="PT Astra Serif" w:eastAsia="Times New Roman" w:hAnsi="PT Astra Serif" w:cs="Segoe UI"/>
          <w:color w:val="0F1115"/>
          <w:szCs w:val="28"/>
          <w:lang w:eastAsia="ru-RU"/>
        </w:rPr>
        <w:t xml:space="preserve">муниципальных </w:t>
      </w:r>
      <w:r w:rsidRPr="006F2910">
        <w:rPr>
          <w:rFonts w:ascii="PT Astra Serif" w:eastAsia="Times New Roman" w:hAnsi="PT Astra Serif" w:cs="Segoe UI"/>
          <w:color w:val="0F1115"/>
          <w:szCs w:val="28"/>
          <w:lang w:eastAsia="ru-RU"/>
        </w:rPr>
        <w:t>молодёжных центров</w:t>
      </w:r>
      <w:r>
        <w:rPr>
          <w:rFonts w:ascii="PT Astra Serif" w:eastAsia="Times New Roman" w:hAnsi="PT Astra Serif" w:cs="Segoe UI"/>
          <w:color w:val="0F1115"/>
          <w:szCs w:val="28"/>
          <w:lang w:eastAsia="ru-RU"/>
        </w:rPr>
        <w:t>.</w:t>
      </w:r>
    </w:p>
    <w:p w14:paraId="44BE5FE9"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sidRPr="006F2910">
        <w:rPr>
          <w:rFonts w:ascii="PT Astra Serif" w:eastAsia="Times New Roman" w:hAnsi="PT Astra Serif" w:cs="Segoe UI"/>
          <w:color w:val="0F1115"/>
          <w:szCs w:val="28"/>
          <w:lang w:eastAsia="ru-RU"/>
        </w:rPr>
        <w:t xml:space="preserve">2. Подготовка заявки на Всероссийский конкурс «Регион для молодых» для создания </w:t>
      </w:r>
      <w:r>
        <w:rPr>
          <w:rFonts w:ascii="PT Astra Serif" w:eastAsia="Times New Roman" w:hAnsi="PT Astra Serif" w:cs="Segoe UI"/>
          <w:color w:val="0F1115"/>
          <w:szCs w:val="28"/>
          <w:lang w:eastAsia="ru-RU"/>
        </w:rPr>
        <w:t xml:space="preserve">молодёжного </w:t>
      </w:r>
      <w:r w:rsidRPr="006F2910">
        <w:rPr>
          <w:rFonts w:ascii="PT Astra Serif" w:eastAsia="Times New Roman" w:hAnsi="PT Astra Serif" w:cs="Segoe UI"/>
          <w:color w:val="0F1115"/>
          <w:szCs w:val="28"/>
          <w:lang w:eastAsia="ru-RU"/>
        </w:rPr>
        <w:t>центра</w:t>
      </w:r>
      <w:r>
        <w:rPr>
          <w:rFonts w:ascii="PT Astra Serif" w:eastAsia="Times New Roman" w:hAnsi="PT Astra Serif" w:cs="Segoe UI"/>
          <w:color w:val="0F1115"/>
          <w:szCs w:val="28"/>
          <w:lang w:eastAsia="ru-RU"/>
        </w:rPr>
        <w:t xml:space="preserve"> в Заволжском районе г. Ульяновска</w:t>
      </w:r>
      <w:r w:rsidRPr="006F2910">
        <w:rPr>
          <w:rFonts w:ascii="PT Astra Serif" w:eastAsia="Times New Roman" w:hAnsi="PT Astra Serif" w:cs="Segoe UI"/>
          <w:color w:val="0F1115"/>
          <w:szCs w:val="28"/>
          <w:lang w:eastAsia="ru-RU"/>
        </w:rPr>
        <w:t xml:space="preserve"> в 2027 году.</w:t>
      </w:r>
    </w:p>
    <w:p w14:paraId="56723F51"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sidRPr="006F2910">
        <w:rPr>
          <w:rFonts w:ascii="PT Astra Serif" w:eastAsia="Times New Roman" w:hAnsi="PT Astra Serif" w:cs="Segoe UI"/>
          <w:color w:val="0F1115"/>
          <w:szCs w:val="28"/>
          <w:lang w:eastAsia="ru-RU"/>
        </w:rPr>
        <w:t xml:space="preserve">3. Достижение целевых показателей нацпроекта: вовлечение </w:t>
      </w:r>
      <w:r w:rsidRPr="006F2910">
        <w:rPr>
          <w:rFonts w:ascii="PT Astra Serif" w:eastAsia="Times New Roman" w:hAnsi="PT Astra Serif" w:cs="Segoe UI"/>
          <w:color w:val="0F1115"/>
          <w:szCs w:val="28"/>
          <w:lang w:eastAsia="ru-RU"/>
        </w:rPr>
        <w:br/>
        <w:t xml:space="preserve">в </w:t>
      </w:r>
      <w:proofErr w:type="spellStart"/>
      <w:r w:rsidRPr="006F2910">
        <w:rPr>
          <w:rFonts w:ascii="PT Astra Serif" w:eastAsia="Times New Roman" w:hAnsi="PT Astra Serif" w:cs="Segoe UI"/>
          <w:color w:val="0F1115"/>
          <w:szCs w:val="28"/>
          <w:lang w:eastAsia="ru-RU"/>
        </w:rPr>
        <w:t>профразвитие</w:t>
      </w:r>
      <w:proofErr w:type="spellEnd"/>
      <w:r w:rsidRPr="006F2910">
        <w:rPr>
          <w:rFonts w:ascii="PT Astra Serif" w:eastAsia="Times New Roman" w:hAnsi="PT Astra Serif" w:cs="Segoe UI"/>
          <w:color w:val="0F1115"/>
          <w:szCs w:val="28"/>
          <w:lang w:eastAsia="ru-RU"/>
        </w:rPr>
        <w:t xml:space="preserve"> (</w:t>
      </w:r>
      <w:r w:rsidRPr="006F2910">
        <w:rPr>
          <w:rFonts w:ascii="PT Astra Serif" w:eastAsia="Times New Roman" w:hAnsi="PT Astra Serif" w:cs="Segoe UI"/>
          <w:b/>
          <w:bCs/>
          <w:color w:val="0F1115"/>
          <w:szCs w:val="28"/>
          <w:lang w:eastAsia="ru-RU"/>
        </w:rPr>
        <w:t>51,96%</w:t>
      </w:r>
      <w:r>
        <w:rPr>
          <w:rFonts w:ascii="PT Astra Serif" w:eastAsia="Times New Roman" w:hAnsi="PT Astra Serif" w:cs="Segoe UI"/>
          <w:b/>
          <w:bCs/>
          <w:color w:val="0F1115"/>
          <w:szCs w:val="28"/>
          <w:lang w:eastAsia="ru-RU"/>
        </w:rPr>
        <w:t xml:space="preserve"> от общей численности молодёжи</w:t>
      </w:r>
      <w:r w:rsidRPr="006F2910">
        <w:rPr>
          <w:rFonts w:ascii="PT Astra Serif" w:eastAsia="Times New Roman" w:hAnsi="PT Astra Serif" w:cs="Segoe UI"/>
          <w:color w:val="0F1115"/>
          <w:szCs w:val="28"/>
          <w:lang w:eastAsia="ru-RU"/>
        </w:rPr>
        <w:t>), добровольчество (</w:t>
      </w:r>
      <w:r w:rsidRPr="006F2910">
        <w:rPr>
          <w:rFonts w:ascii="PT Astra Serif" w:eastAsia="Times New Roman" w:hAnsi="PT Astra Serif" w:cs="Segoe UI"/>
          <w:b/>
          <w:bCs/>
          <w:color w:val="0F1115"/>
          <w:szCs w:val="28"/>
          <w:lang w:eastAsia="ru-RU"/>
        </w:rPr>
        <w:t>28,5%</w:t>
      </w:r>
      <w:r>
        <w:rPr>
          <w:rFonts w:ascii="PT Astra Serif" w:eastAsia="Times New Roman" w:hAnsi="PT Astra Serif" w:cs="Segoe UI"/>
          <w:b/>
          <w:bCs/>
          <w:color w:val="0F1115"/>
          <w:szCs w:val="28"/>
          <w:lang w:eastAsia="ru-RU"/>
        </w:rPr>
        <w:t xml:space="preserve"> от общей численности молодёжи</w:t>
      </w:r>
      <w:r w:rsidRPr="006F2910">
        <w:rPr>
          <w:rFonts w:ascii="PT Astra Serif" w:eastAsia="Times New Roman" w:hAnsi="PT Astra Serif" w:cs="Segoe UI"/>
          <w:color w:val="0F1115"/>
          <w:szCs w:val="28"/>
          <w:lang w:eastAsia="ru-RU"/>
        </w:rPr>
        <w:t xml:space="preserve">), </w:t>
      </w:r>
      <w:proofErr w:type="spellStart"/>
      <w:r w:rsidRPr="006F2910">
        <w:rPr>
          <w:rFonts w:ascii="PT Astra Serif" w:eastAsia="Times New Roman" w:hAnsi="PT Astra Serif" w:cs="Segoe UI"/>
          <w:color w:val="0F1115"/>
          <w:szCs w:val="28"/>
          <w:lang w:eastAsia="ru-RU"/>
        </w:rPr>
        <w:t>патриотику</w:t>
      </w:r>
      <w:proofErr w:type="spellEnd"/>
      <w:r w:rsidRPr="006F2910">
        <w:rPr>
          <w:rFonts w:ascii="PT Astra Serif" w:eastAsia="Times New Roman" w:hAnsi="PT Astra Serif" w:cs="Segoe UI"/>
          <w:color w:val="0F1115"/>
          <w:szCs w:val="28"/>
          <w:lang w:eastAsia="ru-RU"/>
        </w:rPr>
        <w:t xml:space="preserve"> (</w:t>
      </w:r>
      <w:r w:rsidRPr="006F2910">
        <w:rPr>
          <w:rFonts w:ascii="PT Astra Serif" w:eastAsia="Times New Roman" w:hAnsi="PT Astra Serif" w:cs="Segoe UI"/>
          <w:b/>
          <w:bCs/>
          <w:color w:val="0F1115"/>
          <w:szCs w:val="28"/>
          <w:lang w:eastAsia="ru-RU"/>
        </w:rPr>
        <w:t>48,9%</w:t>
      </w:r>
      <w:r>
        <w:rPr>
          <w:rFonts w:ascii="PT Astra Serif" w:eastAsia="Times New Roman" w:hAnsi="PT Astra Serif" w:cs="Segoe UI"/>
          <w:b/>
          <w:bCs/>
          <w:color w:val="0F1115"/>
          <w:szCs w:val="28"/>
          <w:lang w:eastAsia="ru-RU"/>
        </w:rPr>
        <w:t xml:space="preserve"> от общей численности молодёжи</w:t>
      </w:r>
      <w:r w:rsidRPr="006F2910">
        <w:rPr>
          <w:rFonts w:ascii="PT Astra Serif" w:eastAsia="Times New Roman" w:hAnsi="PT Astra Serif" w:cs="Segoe UI"/>
          <w:color w:val="0F1115"/>
          <w:szCs w:val="28"/>
          <w:lang w:eastAsia="ru-RU"/>
        </w:rPr>
        <w:t>).</w:t>
      </w:r>
    </w:p>
    <w:p w14:paraId="77F3DFD0"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sidRPr="006F2910">
        <w:rPr>
          <w:rFonts w:ascii="PT Astra Serif" w:eastAsia="Times New Roman" w:hAnsi="PT Astra Serif" w:cs="Segoe UI"/>
          <w:color w:val="0F1115"/>
          <w:szCs w:val="28"/>
          <w:lang w:eastAsia="ru-RU"/>
        </w:rPr>
        <w:t>Проведение первого Регионального слёта студенческих отрядов (цель - консолидация 500+ участников).</w:t>
      </w:r>
    </w:p>
    <w:p w14:paraId="61DE2326"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sidRPr="006F2910">
        <w:rPr>
          <w:rFonts w:ascii="PT Astra Serif" w:eastAsia="Times New Roman" w:hAnsi="PT Astra Serif" w:cs="Segoe UI"/>
          <w:b/>
          <w:bCs/>
          <w:color w:val="0F1115"/>
          <w:szCs w:val="28"/>
          <w:lang w:eastAsia="ru-RU"/>
        </w:rPr>
        <w:t>Риски:</w:t>
      </w:r>
    </w:p>
    <w:p w14:paraId="21F75AEC"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Pr>
          <w:rFonts w:ascii="PT Astra Serif" w:eastAsia="Times New Roman" w:hAnsi="PT Astra Serif" w:cs="Segoe UI"/>
          <w:color w:val="0F1115"/>
          <w:szCs w:val="28"/>
          <w:lang w:eastAsia="ru-RU"/>
        </w:rPr>
        <w:t xml:space="preserve">1. </w:t>
      </w:r>
      <w:r w:rsidRPr="006F2910">
        <w:rPr>
          <w:rFonts w:ascii="PT Astra Serif" w:eastAsia="Times New Roman" w:hAnsi="PT Astra Serif" w:cs="Segoe UI"/>
          <w:color w:val="0F1115"/>
          <w:szCs w:val="28"/>
          <w:lang w:eastAsia="ru-RU"/>
        </w:rPr>
        <w:t>Недостаточная системность взаимодействия с муниципалитетами (риск неравномерного развития).</w:t>
      </w:r>
    </w:p>
    <w:p w14:paraId="2967DBB7"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Pr>
          <w:rFonts w:ascii="PT Astra Serif" w:eastAsia="Times New Roman" w:hAnsi="PT Astra Serif" w:cs="Segoe UI"/>
          <w:color w:val="0F1115"/>
          <w:szCs w:val="28"/>
          <w:lang w:eastAsia="ru-RU"/>
        </w:rPr>
        <w:t xml:space="preserve">2. </w:t>
      </w:r>
      <w:r w:rsidRPr="006F2910">
        <w:rPr>
          <w:rFonts w:ascii="PT Astra Serif" w:eastAsia="Times New Roman" w:hAnsi="PT Astra Serif" w:cs="Segoe UI"/>
          <w:color w:val="0F1115"/>
          <w:szCs w:val="28"/>
          <w:lang w:eastAsia="ru-RU"/>
        </w:rPr>
        <w:t xml:space="preserve">Высокая конкуренция за федеральные гранты (риск </w:t>
      </w:r>
      <w:proofErr w:type="spellStart"/>
      <w:r w:rsidRPr="006F2910">
        <w:rPr>
          <w:rFonts w:ascii="PT Astra Serif" w:eastAsia="Times New Roman" w:hAnsi="PT Astra Serif" w:cs="Segoe UI"/>
          <w:color w:val="0F1115"/>
          <w:szCs w:val="28"/>
          <w:lang w:eastAsia="ru-RU"/>
        </w:rPr>
        <w:t>недополучения</w:t>
      </w:r>
      <w:proofErr w:type="spellEnd"/>
      <w:r w:rsidRPr="006F2910">
        <w:rPr>
          <w:rFonts w:ascii="PT Astra Serif" w:eastAsia="Times New Roman" w:hAnsi="PT Astra Serif" w:cs="Segoe UI"/>
          <w:color w:val="0F1115"/>
          <w:szCs w:val="28"/>
          <w:lang w:eastAsia="ru-RU"/>
        </w:rPr>
        <w:t xml:space="preserve"> средств на новый центр).</w:t>
      </w:r>
    </w:p>
    <w:p w14:paraId="1064B601" w14:textId="77777777" w:rsidR="00E66396" w:rsidRPr="006F2910" w:rsidRDefault="00E66396" w:rsidP="00E66396">
      <w:pPr>
        <w:widowControl w:val="0"/>
        <w:shd w:val="clear" w:color="auto" w:fill="FFFFFF"/>
        <w:rPr>
          <w:rFonts w:ascii="PT Astra Serif" w:eastAsia="Times New Roman" w:hAnsi="PT Astra Serif" w:cs="Segoe UI"/>
          <w:color w:val="0F1115"/>
          <w:szCs w:val="28"/>
          <w:lang w:eastAsia="ru-RU"/>
        </w:rPr>
      </w:pPr>
      <w:r>
        <w:rPr>
          <w:rFonts w:ascii="PT Astra Serif" w:eastAsia="Times New Roman" w:hAnsi="PT Astra Serif" w:cs="Segoe UI"/>
          <w:color w:val="0F1115"/>
          <w:szCs w:val="28"/>
          <w:lang w:eastAsia="ru-RU"/>
        </w:rPr>
        <w:t xml:space="preserve">3. </w:t>
      </w:r>
      <w:r w:rsidRPr="006F2910">
        <w:rPr>
          <w:rFonts w:ascii="PT Astra Serif" w:eastAsia="Times New Roman" w:hAnsi="PT Astra Serif" w:cs="Segoe UI"/>
          <w:color w:val="0F1115"/>
          <w:szCs w:val="28"/>
          <w:lang w:eastAsia="ru-RU"/>
        </w:rPr>
        <w:t>Кадровый дефицит квалифицированных специалистов в новых центрах и муниципалитетах.</w:t>
      </w:r>
    </w:p>
    <w:p w14:paraId="1C963323" w14:textId="77777777" w:rsidR="006F2910" w:rsidRPr="004B4863" w:rsidRDefault="006F2910" w:rsidP="004B4863">
      <w:pPr>
        <w:widowControl w:val="0"/>
        <w:tabs>
          <w:tab w:val="left" w:pos="1134"/>
        </w:tabs>
        <w:rPr>
          <w:rFonts w:ascii="PT Astra Serif" w:hAnsi="PT Astra Serif" w:cs="Times New Roman"/>
          <w:color w:val="000000" w:themeColor="text1"/>
          <w:szCs w:val="28"/>
        </w:rPr>
      </w:pPr>
    </w:p>
    <w:p w14:paraId="19682332" w14:textId="77777777" w:rsidR="004B4863" w:rsidRPr="004B4863" w:rsidRDefault="004B4863" w:rsidP="004B4863">
      <w:pPr>
        <w:widowControl w:val="0"/>
        <w:pBdr>
          <w:top w:val="single" w:sz="4" w:space="2" w:color="FFFFFF"/>
          <w:left w:val="single" w:sz="4" w:space="0" w:color="FFFFFF"/>
          <w:bottom w:val="single" w:sz="4" w:space="31" w:color="FFFFFF"/>
          <w:right w:val="single" w:sz="4" w:space="0" w:color="FFFFFF"/>
        </w:pBdr>
        <w:rPr>
          <w:rFonts w:ascii="PT Astra Serif" w:eastAsia="Times New Roman" w:hAnsi="PT Astra Serif" w:cs="Times New Roman"/>
          <w:b/>
          <w:color w:val="000000" w:themeColor="text1"/>
          <w:szCs w:val="28"/>
        </w:rPr>
      </w:pPr>
      <w:r w:rsidRPr="004B4863">
        <w:rPr>
          <w:rFonts w:ascii="PT Astra Serif" w:eastAsia="Times New Roman" w:hAnsi="PT Astra Serif" w:cs="Times New Roman"/>
          <w:b/>
          <w:color w:val="000000" w:themeColor="text1"/>
          <w:szCs w:val="28"/>
        </w:rPr>
        <w:br w:type="page"/>
      </w:r>
    </w:p>
    <w:p w14:paraId="4AD67219" w14:textId="77777777" w:rsidR="00587C80" w:rsidRPr="00587C80" w:rsidRDefault="00587C80" w:rsidP="00587C80">
      <w:pPr>
        <w:widowControl w:val="0"/>
        <w:ind w:firstLine="0"/>
        <w:jc w:val="center"/>
        <w:outlineLvl w:val="0"/>
        <w:rPr>
          <w:rFonts w:ascii="PT Astra Serif" w:eastAsia="Times New Roman" w:hAnsi="PT Astra Serif"/>
          <w:b/>
          <w:szCs w:val="28"/>
          <w:lang w:val="x-none"/>
        </w:rPr>
      </w:pPr>
      <w:bookmarkStart w:id="14" w:name="_Toc193721666"/>
      <w:bookmarkStart w:id="15" w:name="_Toc226016703"/>
      <w:r w:rsidRPr="00587C80">
        <w:rPr>
          <w:rFonts w:ascii="PT Astra Serif" w:eastAsia="Times New Roman" w:hAnsi="PT Astra Serif"/>
          <w:b/>
          <w:szCs w:val="28"/>
          <w:lang w:val="x-none"/>
        </w:rPr>
        <w:lastRenderedPageBreak/>
        <w:t>КУЛЬТУРА</w:t>
      </w:r>
      <w:bookmarkEnd w:id="14"/>
      <w:bookmarkEnd w:id="15"/>
    </w:p>
    <w:p w14:paraId="1FE409D1" w14:textId="77777777" w:rsidR="00587C80" w:rsidRPr="00587C80" w:rsidRDefault="00587C80" w:rsidP="00587C80">
      <w:pPr>
        <w:widowControl w:val="0"/>
        <w:rPr>
          <w:rFonts w:ascii="PT Astra Serif" w:eastAsia="Times New Roman" w:hAnsi="PT Astra Serif"/>
          <w:bCs/>
          <w:szCs w:val="28"/>
        </w:rPr>
      </w:pPr>
    </w:p>
    <w:p w14:paraId="32E16174" w14:textId="77777777" w:rsidR="00C8410A" w:rsidRPr="00CE565E" w:rsidRDefault="00C8410A" w:rsidP="00373009">
      <w:pPr>
        <w:widowControl w:val="0"/>
        <w:rPr>
          <w:rFonts w:ascii="PT Astra Serif" w:hAnsi="PT Astra Serif"/>
          <w:szCs w:val="28"/>
        </w:rPr>
      </w:pPr>
      <w:bookmarkStart w:id="16" w:name="_Hlk96065296"/>
      <w:bookmarkStart w:id="17" w:name="_Hlk159486672"/>
      <w:bookmarkStart w:id="18" w:name="_Hlk162970860"/>
      <w:bookmarkEnd w:id="16"/>
      <w:r w:rsidRPr="00CE565E">
        <w:rPr>
          <w:rFonts w:ascii="PT Astra Serif" w:hAnsi="PT Astra Serif"/>
          <w:szCs w:val="28"/>
        </w:rPr>
        <w:t xml:space="preserve">Культурная инфраструктура Ульяновской области обладает высоким функциональным многообразием, удовлетворяет многим критериям доступности услуг организаций культуры для населения, учитывает культурно-исторические особенности территорий. </w:t>
      </w:r>
    </w:p>
    <w:p w14:paraId="21394C1B" w14:textId="34229F3B" w:rsidR="00C8410A" w:rsidRDefault="00C8410A" w:rsidP="00373009">
      <w:pPr>
        <w:widowControl w:val="0"/>
        <w:rPr>
          <w:rFonts w:ascii="PT Astra Serif" w:hAnsi="PT Astra Serif"/>
          <w:szCs w:val="28"/>
        </w:rPr>
      </w:pPr>
      <w:r w:rsidRPr="00CE565E">
        <w:rPr>
          <w:rFonts w:ascii="PT Astra Serif" w:hAnsi="PT Astra Serif"/>
          <w:szCs w:val="28"/>
        </w:rPr>
        <w:t xml:space="preserve">В настоящее время сеть объектов культуры, архивов и образования </w:t>
      </w:r>
      <w:r>
        <w:rPr>
          <w:rFonts w:ascii="PT Astra Serif" w:hAnsi="PT Astra Serif"/>
          <w:szCs w:val="28"/>
        </w:rPr>
        <w:br/>
      </w:r>
      <w:r w:rsidRPr="00CE565E">
        <w:rPr>
          <w:rFonts w:ascii="PT Astra Serif" w:hAnsi="PT Astra Serif"/>
          <w:szCs w:val="28"/>
        </w:rPr>
        <w:t xml:space="preserve">в сфере культуры в Ульяновской области </w:t>
      </w:r>
      <w:r w:rsidRPr="00820C54">
        <w:rPr>
          <w:rFonts w:ascii="PT Astra Serif" w:hAnsi="PT Astra Serif"/>
          <w:szCs w:val="28"/>
        </w:rPr>
        <w:t>114</w:t>
      </w:r>
      <w:r>
        <w:rPr>
          <w:rFonts w:ascii="PT Astra Serif" w:hAnsi="PT Astra Serif"/>
          <w:szCs w:val="28"/>
        </w:rPr>
        <w:t>6</w:t>
      </w:r>
      <w:r w:rsidRPr="00820C54">
        <w:rPr>
          <w:rFonts w:ascii="PT Astra Serif" w:hAnsi="PT Astra Serif"/>
          <w:szCs w:val="28"/>
        </w:rPr>
        <w:t xml:space="preserve"> ед., из которых 3 – федеральных (22 объекта), 20 – государственных (3</w:t>
      </w:r>
      <w:r>
        <w:rPr>
          <w:rFonts w:ascii="PT Astra Serif" w:hAnsi="PT Astra Serif"/>
          <w:szCs w:val="28"/>
        </w:rPr>
        <w:t>7</w:t>
      </w:r>
      <w:r w:rsidRPr="00820C54">
        <w:rPr>
          <w:rFonts w:ascii="PT Astra Serif" w:hAnsi="PT Astra Serif"/>
          <w:szCs w:val="28"/>
        </w:rPr>
        <w:t xml:space="preserve"> объектов), 1</w:t>
      </w:r>
      <w:r>
        <w:rPr>
          <w:rFonts w:ascii="PT Astra Serif" w:hAnsi="PT Astra Serif"/>
          <w:szCs w:val="28"/>
        </w:rPr>
        <w:t> </w:t>
      </w:r>
      <w:r w:rsidRPr="00820C54">
        <w:rPr>
          <w:rFonts w:ascii="PT Astra Serif" w:hAnsi="PT Astra Serif"/>
          <w:szCs w:val="28"/>
        </w:rPr>
        <w:t>056 объектов – муниципальных, а также – 31 ед. иной формы собственности и ведомственной принадлежности. Регион обладает достаточно развитой библиотечной (487 ед.) и культурно-досуговой (453 ед.) сетью.</w:t>
      </w:r>
    </w:p>
    <w:p w14:paraId="3FDA7CDD" w14:textId="77777777" w:rsidR="00587C80" w:rsidRPr="008D5740" w:rsidRDefault="00587C80" w:rsidP="00373009">
      <w:pPr>
        <w:widowControl w:val="0"/>
        <w:rPr>
          <w:rFonts w:ascii="PT Astra Serif" w:eastAsia="Times New Roman" w:hAnsi="PT Astra Serif"/>
          <w:sz w:val="20"/>
          <w:szCs w:val="20"/>
        </w:rPr>
      </w:pPr>
    </w:p>
    <w:bookmarkEnd w:id="17"/>
    <w:p w14:paraId="3BF50B51" w14:textId="5F9872F9" w:rsidR="00587C80" w:rsidRDefault="00587C80" w:rsidP="00373009">
      <w:pPr>
        <w:widowControl w:val="0"/>
        <w:ind w:firstLine="0"/>
        <w:jc w:val="center"/>
        <w:rPr>
          <w:rFonts w:ascii="PT Astra Serif" w:eastAsia="Times New Roman" w:hAnsi="PT Astra Serif"/>
          <w:b/>
          <w:sz w:val="20"/>
          <w:szCs w:val="20"/>
        </w:rPr>
      </w:pPr>
      <w:r w:rsidRPr="00587C80">
        <w:rPr>
          <w:rFonts w:ascii="PT Astra Serif" w:eastAsia="Times New Roman" w:hAnsi="PT Astra Serif"/>
          <w:b/>
          <w:sz w:val="20"/>
          <w:szCs w:val="20"/>
        </w:rPr>
        <w:t>Структура сети учреждений культуры, архивов, образования в 2024 году</w:t>
      </w:r>
    </w:p>
    <w:p w14:paraId="767FA3E1" w14:textId="77777777" w:rsidR="00A52819" w:rsidRPr="00587C80" w:rsidRDefault="00A52819" w:rsidP="00373009">
      <w:pPr>
        <w:widowControl w:val="0"/>
        <w:ind w:firstLine="0"/>
        <w:jc w:val="center"/>
        <w:rPr>
          <w:rFonts w:ascii="PT Astra Serif" w:eastAsia="Times New Roman" w:hAnsi="PT Astra Serif"/>
          <w:b/>
          <w:sz w:val="20"/>
          <w:szCs w:val="20"/>
        </w:rPr>
      </w:pPr>
    </w:p>
    <w:tbl>
      <w:tblPr>
        <w:tblStyle w:val="aff4"/>
        <w:tblW w:w="9357" w:type="dxa"/>
        <w:tblInd w:w="-5" w:type="dxa"/>
        <w:tblLayout w:type="fixed"/>
        <w:tblCellMar>
          <w:left w:w="0" w:type="dxa"/>
          <w:right w:w="0" w:type="dxa"/>
        </w:tblCellMar>
        <w:tblLook w:val="04A0" w:firstRow="1" w:lastRow="0" w:firstColumn="1" w:lastColumn="0" w:noHBand="0" w:noVBand="1"/>
      </w:tblPr>
      <w:tblGrid>
        <w:gridCol w:w="4962"/>
        <w:gridCol w:w="851"/>
        <w:gridCol w:w="850"/>
        <w:gridCol w:w="851"/>
        <w:gridCol w:w="1134"/>
        <w:gridCol w:w="709"/>
      </w:tblGrid>
      <w:tr w:rsidR="00587C80" w:rsidRPr="00587C80" w14:paraId="0D4DBC8E" w14:textId="77777777" w:rsidTr="00587C80">
        <w:trPr>
          <w:cantSplit/>
          <w:trHeight w:val="1872"/>
        </w:trPr>
        <w:tc>
          <w:tcPr>
            <w:tcW w:w="4962" w:type="dxa"/>
            <w:tcBorders>
              <w:top w:val="single" w:sz="4" w:space="0" w:color="auto"/>
              <w:left w:val="single" w:sz="4" w:space="0" w:color="auto"/>
              <w:bottom w:val="single" w:sz="4" w:space="0" w:color="auto"/>
              <w:right w:val="single" w:sz="4" w:space="0" w:color="auto"/>
            </w:tcBorders>
            <w:vAlign w:val="center"/>
          </w:tcPr>
          <w:p w14:paraId="5B881F80" w14:textId="19A49770"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 xml:space="preserve">Сеть учреждений культуры, архивов </w:t>
            </w:r>
            <w:r w:rsidRPr="00587C80">
              <w:rPr>
                <w:rFonts w:ascii="PT Astra Serif" w:eastAsia="Times New Roman" w:hAnsi="PT Astra Serif" w:cstheme="minorBidi"/>
                <w:b/>
                <w:sz w:val="20"/>
                <w:lang w:eastAsia="en-US"/>
              </w:rPr>
              <w:br/>
              <w:t>и образования</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102D63B2" w14:textId="77777777" w:rsidR="00587C80" w:rsidRPr="00587C80" w:rsidRDefault="00587C80" w:rsidP="00373009">
            <w:pPr>
              <w:widowControl w:val="0"/>
              <w:ind w:firstLine="0"/>
              <w:jc w:val="center"/>
              <w:rPr>
                <w:rFonts w:ascii="PT Astra Serif" w:eastAsia="Times New Roman" w:hAnsi="PT Astra Serif" w:cstheme="minorBidi"/>
                <w:b/>
                <w:bCs/>
                <w:sz w:val="20"/>
                <w:lang w:eastAsia="en-US"/>
              </w:rPr>
            </w:pPr>
            <w:r w:rsidRPr="00587C80">
              <w:rPr>
                <w:rFonts w:ascii="PT Astra Serif" w:eastAsia="Times New Roman" w:hAnsi="PT Astra Serif" w:cstheme="minorBidi"/>
                <w:b/>
                <w:bCs/>
                <w:sz w:val="20"/>
                <w:lang w:eastAsia="en-US"/>
              </w:rPr>
              <w:t>Государственные</w:t>
            </w:r>
          </w:p>
          <w:p w14:paraId="3856503F" w14:textId="77777777"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bCs/>
                <w:sz w:val="20"/>
                <w:lang w:eastAsia="en-US"/>
              </w:rPr>
              <w:t>(с филиалами)</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62515DA5" w14:textId="77777777"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bCs/>
                <w:sz w:val="20"/>
                <w:lang w:eastAsia="en-US"/>
              </w:rPr>
              <w:t>Муниципальные</w:t>
            </w:r>
          </w:p>
        </w:tc>
        <w:tc>
          <w:tcPr>
            <w:tcW w:w="851" w:type="dxa"/>
            <w:tcBorders>
              <w:top w:val="single" w:sz="4" w:space="0" w:color="auto"/>
              <w:left w:val="single" w:sz="4" w:space="0" w:color="auto"/>
              <w:bottom w:val="single" w:sz="4" w:space="0" w:color="auto"/>
              <w:right w:val="single" w:sz="4" w:space="0" w:color="auto"/>
            </w:tcBorders>
            <w:textDirection w:val="btLr"/>
            <w:vAlign w:val="center"/>
          </w:tcPr>
          <w:p w14:paraId="66827E32" w14:textId="77777777" w:rsidR="00587C80" w:rsidRPr="00587C80" w:rsidRDefault="00587C80" w:rsidP="00373009">
            <w:pPr>
              <w:widowControl w:val="0"/>
              <w:ind w:firstLine="0"/>
              <w:jc w:val="center"/>
              <w:rPr>
                <w:rFonts w:ascii="PT Astra Serif" w:eastAsia="Times New Roman" w:hAnsi="PT Astra Serif" w:cstheme="minorBidi"/>
                <w:b/>
                <w:bCs/>
                <w:sz w:val="20"/>
                <w:lang w:eastAsia="en-US"/>
              </w:rPr>
            </w:pPr>
            <w:r w:rsidRPr="00587C80">
              <w:rPr>
                <w:rFonts w:ascii="PT Astra Serif" w:eastAsia="Times New Roman" w:hAnsi="PT Astra Serif" w:cstheme="minorBidi"/>
                <w:b/>
                <w:bCs/>
                <w:sz w:val="20"/>
                <w:lang w:eastAsia="en-US"/>
              </w:rPr>
              <w:t>Федеральные</w:t>
            </w:r>
          </w:p>
          <w:p w14:paraId="37303CA6" w14:textId="77777777"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bCs/>
                <w:sz w:val="20"/>
                <w:lang w:eastAsia="en-US"/>
              </w:rPr>
              <w:t>(с филиалами)</w:t>
            </w:r>
          </w:p>
        </w:tc>
        <w:tc>
          <w:tcPr>
            <w:tcW w:w="1134" w:type="dxa"/>
            <w:tcBorders>
              <w:top w:val="single" w:sz="4" w:space="0" w:color="auto"/>
              <w:left w:val="single" w:sz="4" w:space="0" w:color="auto"/>
              <w:bottom w:val="single" w:sz="4" w:space="0" w:color="auto"/>
              <w:right w:val="single" w:sz="4" w:space="0" w:color="auto"/>
            </w:tcBorders>
            <w:textDirection w:val="btLr"/>
            <w:vAlign w:val="center"/>
          </w:tcPr>
          <w:p w14:paraId="50938924" w14:textId="77777777" w:rsidR="00587C80" w:rsidRPr="00587C80" w:rsidRDefault="00587C80" w:rsidP="00373009">
            <w:pPr>
              <w:widowControl w:val="0"/>
              <w:ind w:firstLine="0"/>
              <w:jc w:val="center"/>
              <w:rPr>
                <w:rFonts w:ascii="PT Astra Serif" w:eastAsia="Times New Roman" w:hAnsi="PT Astra Serif" w:cstheme="minorBidi"/>
                <w:b/>
                <w:bCs/>
                <w:sz w:val="20"/>
                <w:lang w:eastAsia="en-US"/>
              </w:rPr>
            </w:pPr>
            <w:r w:rsidRPr="00587C80">
              <w:rPr>
                <w:rFonts w:ascii="PT Astra Serif" w:eastAsia="Times New Roman" w:hAnsi="PT Astra Serif" w:cstheme="minorBidi"/>
                <w:b/>
                <w:bCs/>
                <w:sz w:val="20"/>
                <w:lang w:eastAsia="en-US"/>
              </w:rPr>
              <w:t>Иной формы собственности и ведомственной принадлежности</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470105F1" w14:textId="77777777"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bCs/>
                <w:sz w:val="20"/>
                <w:lang w:eastAsia="en-US"/>
              </w:rPr>
              <w:t>Всего</w:t>
            </w:r>
          </w:p>
        </w:tc>
      </w:tr>
      <w:tr w:rsidR="00587C80" w:rsidRPr="00587C80" w14:paraId="5B1C9720" w14:textId="77777777" w:rsidTr="00587C80">
        <w:tc>
          <w:tcPr>
            <w:tcW w:w="4962" w:type="dxa"/>
          </w:tcPr>
          <w:p w14:paraId="7A474A6E" w14:textId="77777777" w:rsidR="00587C80" w:rsidRPr="00587C80" w:rsidRDefault="00587C80" w:rsidP="00373009">
            <w:pPr>
              <w:widowControl w:val="0"/>
              <w:ind w:firstLine="0"/>
              <w:rPr>
                <w:rFonts w:ascii="PT Astra Serif" w:eastAsia="Times New Roman" w:hAnsi="PT Astra Serif" w:cstheme="minorBidi"/>
                <w:sz w:val="20"/>
                <w:lang w:eastAsia="en-US"/>
              </w:rPr>
            </w:pPr>
            <w:bookmarkStart w:id="19" w:name="_Hlk159949460"/>
            <w:r w:rsidRPr="00587C80">
              <w:rPr>
                <w:rFonts w:ascii="PT Astra Serif" w:eastAsia="Times New Roman" w:hAnsi="PT Astra Serif" w:cstheme="minorBidi"/>
                <w:sz w:val="20"/>
                <w:lang w:eastAsia="en-US"/>
              </w:rPr>
              <w:t>Театры и театральные сетевые единицы/структурные подразделения</w:t>
            </w:r>
          </w:p>
        </w:tc>
        <w:tc>
          <w:tcPr>
            <w:tcW w:w="851" w:type="dxa"/>
            <w:vAlign w:val="center"/>
          </w:tcPr>
          <w:p w14:paraId="1BFF5CAB"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5</w:t>
            </w:r>
          </w:p>
        </w:tc>
        <w:tc>
          <w:tcPr>
            <w:tcW w:w="850" w:type="dxa"/>
            <w:vAlign w:val="center"/>
          </w:tcPr>
          <w:p w14:paraId="2E92C59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1</w:t>
            </w:r>
          </w:p>
        </w:tc>
        <w:tc>
          <w:tcPr>
            <w:tcW w:w="851" w:type="dxa"/>
            <w:vAlign w:val="center"/>
          </w:tcPr>
          <w:p w14:paraId="4FB317E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vAlign w:val="center"/>
          </w:tcPr>
          <w:p w14:paraId="24A90842"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c>
          <w:tcPr>
            <w:tcW w:w="709" w:type="dxa"/>
            <w:vAlign w:val="center"/>
          </w:tcPr>
          <w:p w14:paraId="03AE91D0"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8</w:t>
            </w:r>
          </w:p>
        </w:tc>
      </w:tr>
      <w:tr w:rsidR="00587C80" w:rsidRPr="00587C80" w14:paraId="2D2F9037" w14:textId="77777777" w:rsidTr="00587C80">
        <w:tc>
          <w:tcPr>
            <w:tcW w:w="4962" w:type="dxa"/>
          </w:tcPr>
          <w:p w14:paraId="72DE9A29"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Концертные организации</w:t>
            </w:r>
          </w:p>
        </w:tc>
        <w:tc>
          <w:tcPr>
            <w:tcW w:w="851" w:type="dxa"/>
            <w:vAlign w:val="center"/>
          </w:tcPr>
          <w:p w14:paraId="60CD1A8B"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c>
          <w:tcPr>
            <w:tcW w:w="850" w:type="dxa"/>
            <w:vAlign w:val="center"/>
          </w:tcPr>
          <w:p w14:paraId="378025E1"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851" w:type="dxa"/>
            <w:vAlign w:val="center"/>
          </w:tcPr>
          <w:p w14:paraId="4A3A0B5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vAlign w:val="center"/>
          </w:tcPr>
          <w:p w14:paraId="2FD20A4F"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709" w:type="dxa"/>
            <w:vAlign w:val="center"/>
          </w:tcPr>
          <w:p w14:paraId="27E23C49"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r>
      <w:tr w:rsidR="00587C80" w:rsidRPr="00587C80" w14:paraId="1D388343" w14:textId="77777777" w:rsidTr="00587C80">
        <w:tc>
          <w:tcPr>
            <w:tcW w:w="4962" w:type="dxa"/>
          </w:tcPr>
          <w:p w14:paraId="14BC63B4"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*Культурно-досуговые учреждения (согласно форм ФСН №7-НК)</w:t>
            </w:r>
          </w:p>
        </w:tc>
        <w:tc>
          <w:tcPr>
            <w:tcW w:w="851" w:type="dxa"/>
            <w:shd w:val="clear" w:color="auto" w:fill="auto"/>
            <w:vAlign w:val="center"/>
          </w:tcPr>
          <w:p w14:paraId="1A499C14"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5</w:t>
            </w:r>
          </w:p>
        </w:tc>
        <w:tc>
          <w:tcPr>
            <w:tcW w:w="850" w:type="dxa"/>
            <w:shd w:val="clear" w:color="auto" w:fill="auto"/>
            <w:vAlign w:val="center"/>
          </w:tcPr>
          <w:p w14:paraId="14F55AC6" w14:textId="16110705" w:rsidR="00587C80" w:rsidRPr="00587C80" w:rsidRDefault="00C8410A" w:rsidP="00373009">
            <w:pPr>
              <w:widowControl w:val="0"/>
              <w:ind w:firstLine="0"/>
              <w:jc w:val="center"/>
              <w:rPr>
                <w:rFonts w:ascii="PT Astra Serif" w:eastAsia="Times New Roman" w:hAnsi="PT Astra Serif" w:cstheme="minorBidi"/>
                <w:sz w:val="20"/>
                <w:lang w:val="en-US" w:eastAsia="en-US"/>
              </w:rPr>
            </w:pPr>
            <w:r>
              <w:rPr>
                <w:rFonts w:ascii="PT Astra Serif" w:eastAsia="Times New Roman" w:hAnsi="PT Astra Serif" w:cstheme="minorBidi"/>
                <w:sz w:val="20"/>
                <w:lang w:eastAsia="en-US"/>
              </w:rPr>
              <w:t>446</w:t>
            </w:r>
          </w:p>
        </w:tc>
        <w:tc>
          <w:tcPr>
            <w:tcW w:w="851" w:type="dxa"/>
            <w:shd w:val="clear" w:color="auto" w:fill="auto"/>
            <w:vAlign w:val="center"/>
          </w:tcPr>
          <w:p w14:paraId="23A8178D" w14:textId="3FF2F724" w:rsidR="00587C80" w:rsidRPr="00587C80" w:rsidRDefault="00C8410A" w:rsidP="00373009">
            <w:pPr>
              <w:widowControl w:val="0"/>
              <w:ind w:firstLine="0"/>
              <w:jc w:val="center"/>
              <w:rPr>
                <w:rFonts w:ascii="PT Astra Serif" w:eastAsia="Times New Roman" w:hAnsi="PT Astra Serif" w:cstheme="minorBidi"/>
                <w:sz w:val="20"/>
                <w:lang w:eastAsia="en-US"/>
              </w:rPr>
            </w:pPr>
            <w:r>
              <w:rPr>
                <w:rFonts w:ascii="PT Astra Serif" w:eastAsia="Times New Roman" w:hAnsi="PT Astra Serif" w:cstheme="minorBidi"/>
                <w:sz w:val="20"/>
                <w:lang w:eastAsia="en-US"/>
              </w:rPr>
              <w:t>1</w:t>
            </w:r>
          </w:p>
        </w:tc>
        <w:tc>
          <w:tcPr>
            <w:tcW w:w="1134" w:type="dxa"/>
            <w:shd w:val="clear" w:color="auto" w:fill="auto"/>
            <w:vAlign w:val="center"/>
          </w:tcPr>
          <w:p w14:paraId="029C49DA" w14:textId="1DF4B850" w:rsidR="00587C80" w:rsidRPr="00587C80" w:rsidRDefault="00C8410A" w:rsidP="00373009">
            <w:pPr>
              <w:widowControl w:val="0"/>
              <w:ind w:firstLine="0"/>
              <w:jc w:val="center"/>
              <w:rPr>
                <w:rFonts w:ascii="PT Astra Serif" w:eastAsia="Times New Roman" w:hAnsi="PT Astra Serif" w:cstheme="minorBidi"/>
                <w:sz w:val="20"/>
                <w:lang w:eastAsia="en-US"/>
              </w:rPr>
            </w:pPr>
            <w:r>
              <w:rPr>
                <w:rFonts w:ascii="PT Astra Serif" w:eastAsia="Times New Roman" w:hAnsi="PT Astra Serif" w:cstheme="minorBidi"/>
                <w:sz w:val="20"/>
                <w:lang w:eastAsia="en-US"/>
              </w:rPr>
              <w:t>1</w:t>
            </w:r>
          </w:p>
        </w:tc>
        <w:tc>
          <w:tcPr>
            <w:tcW w:w="709" w:type="dxa"/>
            <w:shd w:val="clear" w:color="auto" w:fill="auto"/>
            <w:vAlign w:val="center"/>
          </w:tcPr>
          <w:p w14:paraId="40C9EA91" w14:textId="289487BF" w:rsidR="00587C80" w:rsidRPr="00C8410A"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4</w:t>
            </w:r>
            <w:r w:rsidR="00C8410A">
              <w:rPr>
                <w:rFonts w:ascii="PT Astra Serif" w:eastAsia="Times New Roman" w:hAnsi="PT Astra Serif" w:cstheme="minorBidi"/>
                <w:sz w:val="20"/>
                <w:lang w:eastAsia="en-US"/>
              </w:rPr>
              <w:t>53</w:t>
            </w:r>
          </w:p>
        </w:tc>
      </w:tr>
      <w:tr w:rsidR="00587C80" w:rsidRPr="00587C80" w14:paraId="5B2D186A" w14:textId="77777777" w:rsidTr="00587C80">
        <w:tc>
          <w:tcPr>
            <w:tcW w:w="4962" w:type="dxa"/>
          </w:tcPr>
          <w:p w14:paraId="1C106FDE"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**Библиотеки (согласно форм ФСН №6-НК)</w:t>
            </w:r>
          </w:p>
        </w:tc>
        <w:tc>
          <w:tcPr>
            <w:tcW w:w="851" w:type="dxa"/>
            <w:shd w:val="clear" w:color="auto" w:fill="auto"/>
            <w:vAlign w:val="center"/>
          </w:tcPr>
          <w:p w14:paraId="3DA058E9"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3</w:t>
            </w:r>
          </w:p>
        </w:tc>
        <w:tc>
          <w:tcPr>
            <w:tcW w:w="850" w:type="dxa"/>
            <w:shd w:val="clear" w:color="auto" w:fill="auto"/>
            <w:vAlign w:val="center"/>
          </w:tcPr>
          <w:p w14:paraId="4B7FC480" w14:textId="452C281B" w:rsidR="00587C80" w:rsidRPr="00587C80" w:rsidRDefault="00C8410A" w:rsidP="00373009">
            <w:pPr>
              <w:widowControl w:val="0"/>
              <w:ind w:firstLine="0"/>
              <w:jc w:val="center"/>
              <w:rPr>
                <w:rFonts w:ascii="PT Astra Serif" w:eastAsia="Times New Roman" w:hAnsi="PT Astra Serif" w:cstheme="minorBidi"/>
                <w:sz w:val="20"/>
                <w:lang w:val="en-US" w:eastAsia="en-US"/>
              </w:rPr>
            </w:pPr>
            <w:r>
              <w:rPr>
                <w:rFonts w:ascii="PT Astra Serif" w:eastAsia="Times New Roman" w:hAnsi="PT Astra Serif" w:cstheme="minorBidi"/>
                <w:sz w:val="20"/>
                <w:lang w:eastAsia="en-US"/>
              </w:rPr>
              <w:t>480</w:t>
            </w:r>
          </w:p>
        </w:tc>
        <w:tc>
          <w:tcPr>
            <w:tcW w:w="851" w:type="dxa"/>
            <w:shd w:val="clear" w:color="auto" w:fill="auto"/>
            <w:vAlign w:val="center"/>
          </w:tcPr>
          <w:p w14:paraId="7FA244E1"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shd w:val="clear" w:color="auto" w:fill="auto"/>
            <w:vAlign w:val="center"/>
          </w:tcPr>
          <w:p w14:paraId="0F39588A" w14:textId="5590F786" w:rsidR="00587C80" w:rsidRPr="00587C80" w:rsidRDefault="00C8410A" w:rsidP="00373009">
            <w:pPr>
              <w:widowControl w:val="0"/>
              <w:ind w:firstLine="0"/>
              <w:jc w:val="center"/>
              <w:rPr>
                <w:rFonts w:ascii="PT Astra Serif" w:eastAsia="Times New Roman" w:hAnsi="PT Astra Serif" w:cstheme="minorBidi"/>
                <w:sz w:val="20"/>
                <w:lang w:eastAsia="en-US"/>
              </w:rPr>
            </w:pPr>
            <w:r>
              <w:rPr>
                <w:rFonts w:ascii="PT Astra Serif" w:eastAsia="Times New Roman" w:hAnsi="PT Astra Serif" w:cstheme="minorBidi"/>
                <w:sz w:val="20"/>
                <w:lang w:eastAsia="en-US"/>
              </w:rPr>
              <w:t>4</w:t>
            </w:r>
          </w:p>
        </w:tc>
        <w:tc>
          <w:tcPr>
            <w:tcW w:w="709" w:type="dxa"/>
            <w:shd w:val="clear" w:color="auto" w:fill="auto"/>
            <w:vAlign w:val="center"/>
          </w:tcPr>
          <w:p w14:paraId="26064FB8" w14:textId="1A1CCD22" w:rsidR="00587C80" w:rsidRPr="00587C80" w:rsidRDefault="00587C80" w:rsidP="00373009">
            <w:pPr>
              <w:widowControl w:val="0"/>
              <w:ind w:firstLine="0"/>
              <w:jc w:val="center"/>
              <w:rPr>
                <w:rFonts w:ascii="PT Astra Serif" w:eastAsia="Times New Roman" w:hAnsi="PT Astra Serif" w:cstheme="minorBidi"/>
                <w:sz w:val="20"/>
                <w:lang w:val="en-US" w:eastAsia="en-US"/>
              </w:rPr>
            </w:pPr>
            <w:r w:rsidRPr="00587C80">
              <w:rPr>
                <w:rFonts w:ascii="PT Astra Serif" w:eastAsia="Times New Roman" w:hAnsi="PT Astra Serif" w:cstheme="minorBidi"/>
                <w:sz w:val="20"/>
                <w:lang w:eastAsia="en-US"/>
              </w:rPr>
              <w:t>4</w:t>
            </w:r>
            <w:r w:rsidR="00C8410A">
              <w:rPr>
                <w:rFonts w:ascii="PT Astra Serif" w:eastAsia="Times New Roman" w:hAnsi="PT Astra Serif" w:cstheme="minorBidi"/>
                <w:sz w:val="20"/>
                <w:lang w:eastAsia="en-US"/>
              </w:rPr>
              <w:t>87</w:t>
            </w:r>
          </w:p>
        </w:tc>
      </w:tr>
      <w:tr w:rsidR="00587C80" w:rsidRPr="00587C80" w14:paraId="5BB1A88B" w14:textId="77777777" w:rsidTr="00587C80">
        <w:tc>
          <w:tcPr>
            <w:tcW w:w="4962" w:type="dxa"/>
          </w:tcPr>
          <w:p w14:paraId="6C0E7ACA"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Музейные и выставочные сетевые единицы/структурные подразделения/внешние отделы</w:t>
            </w:r>
          </w:p>
        </w:tc>
        <w:tc>
          <w:tcPr>
            <w:tcW w:w="851" w:type="dxa"/>
            <w:vAlign w:val="center"/>
          </w:tcPr>
          <w:p w14:paraId="028980E3"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15</w:t>
            </w:r>
          </w:p>
        </w:tc>
        <w:tc>
          <w:tcPr>
            <w:tcW w:w="850" w:type="dxa"/>
            <w:vAlign w:val="center"/>
          </w:tcPr>
          <w:p w14:paraId="70222E59"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11</w:t>
            </w:r>
          </w:p>
        </w:tc>
        <w:tc>
          <w:tcPr>
            <w:tcW w:w="851" w:type="dxa"/>
            <w:vAlign w:val="center"/>
          </w:tcPr>
          <w:p w14:paraId="6A58FAC7"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20</w:t>
            </w:r>
          </w:p>
        </w:tc>
        <w:tc>
          <w:tcPr>
            <w:tcW w:w="1134" w:type="dxa"/>
            <w:vAlign w:val="center"/>
          </w:tcPr>
          <w:p w14:paraId="72998B2B" w14:textId="2851EC56"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709" w:type="dxa"/>
            <w:vAlign w:val="center"/>
          </w:tcPr>
          <w:p w14:paraId="077CD986" w14:textId="45A1CCA2"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4</w:t>
            </w:r>
            <w:r w:rsidR="00C8410A">
              <w:rPr>
                <w:rFonts w:ascii="PT Astra Serif" w:eastAsia="Times New Roman" w:hAnsi="PT Astra Serif" w:cstheme="minorBidi"/>
                <w:sz w:val="20"/>
                <w:lang w:eastAsia="en-US"/>
              </w:rPr>
              <w:t>6</w:t>
            </w:r>
          </w:p>
        </w:tc>
      </w:tr>
      <w:tr w:rsidR="00587C80" w:rsidRPr="00587C80" w14:paraId="3C501600" w14:textId="77777777" w:rsidTr="00587C80">
        <w:tc>
          <w:tcPr>
            <w:tcW w:w="4962" w:type="dxa"/>
            <w:shd w:val="clear" w:color="auto" w:fill="auto"/>
          </w:tcPr>
          <w:p w14:paraId="499BC58C"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Кинозалы/</w:t>
            </w:r>
            <w:proofErr w:type="spellStart"/>
            <w:r w:rsidRPr="00587C80">
              <w:rPr>
                <w:rFonts w:ascii="PT Astra Serif" w:eastAsia="Times New Roman" w:hAnsi="PT Astra Serif" w:cstheme="minorBidi"/>
                <w:sz w:val="20"/>
                <w:lang w:eastAsia="en-US"/>
              </w:rPr>
              <w:t>Киномобиль</w:t>
            </w:r>
            <w:proofErr w:type="spellEnd"/>
          </w:p>
        </w:tc>
        <w:tc>
          <w:tcPr>
            <w:tcW w:w="851" w:type="dxa"/>
            <w:shd w:val="clear" w:color="auto" w:fill="auto"/>
            <w:vAlign w:val="center"/>
          </w:tcPr>
          <w:p w14:paraId="77F658A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c>
          <w:tcPr>
            <w:tcW w:w="850" w:type="dxa"/>
            <w:shd w:val="clear" w:color="auto" w:fill="auto"/>
            <w:vAlign w:val="center"/>
          </w:tcPr>
          <w:p w14:paraId="40B42C34"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42</w:t>
            </w:r>
          </w:p>
        </w:tc>
        <w:tc>
          <w:tcPr>
            <w:tcW w:w="851" w:type="dxa"/>
            <w:shd w:val="clear" w:color="auto" w:fill="auto"/>
            <w:vAlign w:val="center"/>
          </w:tcPr>
          <w:p w14:paraId="5B109471"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shd w:val="clear" w:color="auto" w:fill="auto"/>
            <w:vAlign w:val="center"/>
          </w:tcPr>
          <w:p w14:paraId="261B8CD1"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24</w:t>
            </w:r>
          </w:p>
        </w:tc>
        <w:tc>
          <w:tcPr>
            <w:tcW w:w="709" w:type="dxa"/>
            <w:shd w:val="clear" w:color="auto" w:fill="auto"/>
            <w:vAlign w:val="center"/>
          </w:tcPr>
          <w:p w14:paraId="09F5F8A2"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68</w:t>
            </w:r>
          </w:p>
        </w:tc>
      </w:tr>
      <w:tr w:rsidR="00587C80" w:rsidRPr="00587C80" w14:paraId="7E29B386" w14:textId="77777777" w:rsidTr="00587C80">
        <w:tc>
          <w:tcPr>
            <w:tcW w:w="4962" w:type="dxa"/>
          </w:tcPr>
          <w:p w14:paraId="6768CBD9"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Образовательные организации</w:t>
            </w:r>
          </w:p>
        </w:tc>
        <w:tc>
          <w:tcPr>
            <w:tcW w:w="851" w:type="dxa"/>
            <w:vAlign w:val="center"/>
          </w:tcPr>
          <w:p w14:paraId="3A61397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3</w:t>
            </w:r>
          </w:p>
        </w:tc>
        <w:tc>
          <w:tcPr>
            <w:tcW w:w="850" w:type="dxa"/>
            <w:vAlign w:val="center"/>
          </w:tcPr>
          <w:p w14:paraId="3EE6912D" w14:textId="762885A1"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5</w:t>
            </w:r>
            <w:r w:rsidR="00C8410A">
              <w:rPr>
                <w:rFonts w:ascii="PT Astra Serif" w:eastAsia="Times New Roman" w:hAnsi="PT Astra Serif" w:cstheme="minorBidi"/>
                <w:sz w:val="20"/>
                <w:lang w:eastAsia="en-US"/>
              </w:rPr>
              <w:t>0</w:t>
            </w:r>
          </w:p>
        </w:tc>
        <w:tc>
          <w:tcPr>
            <w:tcW w:w="851" w:type="dxa"/>
            <w:vAlign w:val="center"/>
          </w:tcPr>
          <w:p w14:paraId="2E5C4A5C"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1</w:t>
            </w:r>
          </w:p>
        </w:tc>
        <w:tc>
          <w:tcPr>
            <w:tcW w:w="1134" w:type="dxa"/>
            <w:vAlign w:val="center"/>
          </w:tcPr>
          <w:p w14:paraId="259D6B30"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709" w:type="dxa"/>
            <w:vAlign w:val="center"/>
          </w:tcPr>
          <w:p w14:paraId="2325DA05" w14:textId="0B67CEE5"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5</w:t>
            </w:r>
            <w:r w:rsidR="00C8410A">
              <w:rPr>
                <w:rFonts w:ascii="PT Astra Serif" w:eastAsia="Times New Roman" w:hAnsi="PT Astra Serif" w:cstheme="minorBidi"/>
                <w:sz w:val="20"/>
                <w:lang w:eastAsia="en-US"/>
              </w:rPr>
              <w:t>4</w:t>
            </w:r>
          </w:p>
        </w:tc>
      </w:tr>
      <w:tr w:rsidR="00587C80" w:rsidRPr="00587C80" w14:paraId="6B7F38F2" w14:textId="77777777" w:rsidTr="00587C80">
        <w:tc>
          <w:tcPr>
            <w:tcW w:w="4962" w:type="dxa"/>
          </w:tcPr>
          <w:p w14:paraId="20D92759"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Архивы</w:t>
            </w:r>
          </w:p>
        </w:tc>
        <w:tc>
          <w:tcPr>
            <w:tcW w:w="851" w:type="dxa"/>
            <w:vAlign w:val="center"/>
          </w:tcPr>
          <w:p w14:paraId="45C74AFD"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c>
          <w:tcPr>
            <w:tcW w:w="850" w:type="dxa"/>
            <w:vAlign w:val="center"/>
          </w:tcPr>
          <w:p w14:paraId="09949498"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24</w:t>
            </w:r>
          </w:p>
        </w:tc>
        <w:tc>
          <w:tcPr>
            <w:tcW w:w="851" w:type="dxa"/>
            <w:vAlign w:val="center"/>
          </w:tcPr>
          <w:p w14:paraId="2415460A"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vAlign w:val="center"/>
          </w:tcPr>
          <w:p w14:paraId="5F2CB7A9"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709" w:type="dxa"/>
            <w:vAlign w:val="center"/>
          </w:tcPr>
          <w:p w14:paraId="518EB9EA"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26</w:t>
            </w:r>
          </w:p>
        </w:tc>
      </w:tr>
      <w:tr w:rsidR="00587C80" w:rsidRPr="00587C80" w14:paraId="03E1B73F" w14:textId="77777777" w:rsidTr="00587C80">
        <w:tc>
          <w:tcPr>
            <w:tcW w:w="4962" w:type="dxa"/>
          </w:tcPr>
          <w:p w14:paraId="0AB88E2F" w14:textId="77777777" w:rsidR="00587C80" w:rsidRPr="00587C80" w:rsidRDefault="00587C80" w:rsidP="00373009">
            <w:pPr>
              <w:widowControl w:val="0"/>
              <w:ind w:firstLine="0"/>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Парки культуры и отдыха</w:t>
            </w:r>
          </w:p>
        </w:tc>
        <w:tc>
          <w:tcPr>
            <w:tcW w:w="851" w:type="dxa"/>
            <w:vAlign w:val="center"/>
          </w:tcPr>
          <w:p w14:paraId="653354B3"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850" w:type="dxa"/>
            <w:vAlign w:val="center"/>
          </w:tcPr>
          <w:p w14:paraId="7D4536A2"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2</w:t>
            </w:r>
          </w:p>
        </w:tc>
        <w:tc>
          <w:tcPr>
            <w:tcW w:w="851" w:type="dxa"/>
            <w:vAlign w:val="center"/>
          </w:tcPr>
          <w:p w14:paraId="634DDC5C"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1134" w:type="dxa"/>
            <w:vAlign w:val="center"/>
          </w:tcPr>
          <w:p w14:paraId="3D0BAAD6" w14:textId="2DC3B181" w:rsidR="00587C80" w:rsidRPr="00587C80" w:rsidRDefault="00587C80" w:rsidP="00373009">
            <w:pPr>
              <w:widowControl w:val="0"/>
              <w:ind w:firstLine="0"/>
              <w:jc w:val="center"/>
              <w:rPr>
                <w:rFonts w:ascii="PT Astra Serif" w:eastAsia="Times New Roman" w:hAnsi="PT Astra Serif" w:cstheme="minorBidi"/>
                <w:sz w:val="20"/>
                <w:lang w:eastAsia="en-US"/>
              </w:rPr>
            </w:pPr>
          </w:p>
        </w:tc>
        <w:tc>
          <w:tcPr>
            <w:tcW w:w="709" w:type="dxa"/>
            <w:vAlign w:val="center"/>
          </w:tcPr>
          <w:p w14:paraId="03A59F6C" w14:textId="77777777" w:rsidR="00587C80" w:rsidRPr="00587C80" w:rsidRDefault="00587C80" w:rsidP="00373009">
            <w:pPr>
              <w:widowControl w:val="0"/>
              <w:ind w:firstLine="0"/>
              <w:jc w:val="center"/>
              <w:rPr>
                <w:rFonts w:ascii="PT Astra Serif" w:eastAsia="Times New Roman" w:hAnsi="PT Astra Serif" w:cstheme="minorBidi"/>
                <w:sz w:val="20"/>
                <w:lang w:eastAsia="en-US"/>
              </w:rPr>
            </w:pPr>
            <w:r w:rsidRPr="00587C80">
              <w:rPr>
                <w:rFonts w:ascii="PT Astra Serif" w:eastAsia="Times New Roman" w:hAnsi="PT Astra Serif" w:cstheme="minorBidi"/>
                <w:sz w:val="20"/>
                <w:lang w:eastAsia="en-US"/>
              </w:rPr>
              <w:t>4</w:t>
            </w:r>
          </w:p>
        </w:tc>
      </w:tr>
      <w:tr w:rsidR="00587C80" w:rsidRPr="00587C80" w14:paraId="71829FBF" w14:textId="77777777" w:rsidTr="00587C80">
        <w:tc>
          <w:tcPr>
            <w:tcW w:w="4962" w:type="dxa"/>
            <w:shd w:val="clear" w:color="auto" w:fill="auto"/>
          </w:tcPr>
          <w:p w14:paraId="053FAA88" w14:textId="77777777" w:rsidR="00587C80" w:rsidRPr="00587C80" w:rsidRDefault="00587C80" w:rsidP="00373009">
            <w:pPr>
              <w:widowControl w:val="0"/>
              <w:ind w:firstLine="0"/>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ВСЕГО:</w:t>
            </w:r>
          </w:p>
        </w:tc>
        <w:tc>
          <w:tcPr>
            <w:tcW w:w="851" w:type="dxa"/>
            <w:shd w:val="clear" w:color="auto" w:fill="auto"/>
            <w:vAlign w:val="center"/>
          </w:tcPr>
          <w:p w14:paraId="767DD12F" w14:textId="77777777"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37</w:t>
            </w:r>
          </w:p>
        </w:tc>
        <w:tc>
          <w:tcPr>
            <w:tcW w:w="850" w:type="dxa"/>
            <w:shd w:val="clear" w:color="auto" w:fill="auto"/>
            <w:vAlign w:val="center"/>
          </w:tcPr>
          <w:p w14:paraId="53CEF79A" w14:textId="6339A47A"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10</w:t>
            </w:r>
            <w:r w:rsidR="00C8410A">
              <w:rPr>
                <w:rFonts w:ascii="PT Astra Serif" w:eastAsia="Times New Roman" w:hAnsi="PT Astra Serif" w:cstheme="minorBidi"/>
                <w:b/>
                <w:sz w:val="20"/>
                <w:lang w:eastAsia="en-US"/>
              </w:rPr>
              <w:t>56</w:t>
            </w:r>
          </w:p>
        </w:tc>
        <w:tc>
          <w:tcPr>
            <w:tcW w:w="851" w:type="dxa"/>
            <w:shd w:val="clear" w:color="auto" w:fill="auto"/>
            <w:vAlign w:val="center"/>
          </w:tcPr>
          <w:p w14:paraId="45FDAEC7" w14:textId="42828DA2"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2</w:t>
            </w:r>
            <w:r w:rsidR="00C8410A">
              <w:rPr>
                <w:rFonts w:ascii="PT Astra Serif" w:eastAsia="Times New Roman" w:hAnsi="PT Astra Serif" w:cstheme="minorBidi"/>
                <w:b/>
                <w:sz w:val="20"/>
                <w:lang w:eastAsia="en-US"/>
              </w:rPr>
              <w:t>2</w:t>
            </w:r>
          </w:p>
        </w:tc>
        <w:tc>
          <w:tcPr>
            <w:tcW w:w="1134" w:type="dxa"/>
            <w:shd w:val="clear" w:color="auto" w:fill="auto"/>
            <w:vAlign w:val="center"/>
          </w:tcPr>
          <w:p w14:paraId="3026EE59" w14:textId="03210FF9" w:rsidR="00587C80" w:rsidRPr="00587C80" w:rsidRDefault="00587C80" w:rsidP="00373009">
            <w:pPr>
              <w:widowControl w:val="0"/>
              <w:ind w:firstLine="0"/>
              <w:jc w:val="center"/>
              <w:rPr>
                <w:rFonts w:ascii="PT Astra Serif" w:eastAsia="Times New Roman" w:hAnsi="PT Astra Serif" w:cstheme="minorBidi"/>
                <w:b/>
                <w:sz w:val="20"/>
                <w:lang w:val="en-US" w:eastAsia="en-US"/>
              </w:rPr>
            </w:pPr>
            <w:r w:rsidRPr="00587C80">
              <w:rPr>
                <w:rFonts w:ascii="PT Astra Serif" w:eastAsia="Times New Roman" w:hAnsi="PT Astra Serif" w:cstheme="minorBidi"/>
                <w:b/>
                <w:sz w:val="20"/>
                <w:lang w:eastAsia="en-US"/>
              </w:rPr>
              <w:t>3</w:t>
            </w:r>
            <w:r w:rsidR="00C8410A">
              <w:rPr>
                <w:rFonts w:ascii="PT Astra Serif" w:eastAsia="Times New Roman" w:hAnsi="PT Astra Serif" w:cstheme="minorBidi"/>
                <w:b/>
                <w:sz w:val="20"/>
                <w:lang w:val="en-US" w:eastAsia="en-US"/>
              </w:rPr>
              <w:t>1</w:t>
            </w:r>
          </w:p>
        </w:tc>
        <w:tc>
          <w:tcPr>
            <w:tcW w:w="709" w:type="dxa"/>
            <w:shd w:val="clear" w:color="auto" w:fill="auto"/>
            <w:vAlign w:val="center"/>
          </w:tcPr>
          <w:p w14:paraId="60928EF1" w14:textId="65B68CE8" w:rsidR="00587C80" w:rsidRPr="00587C80" w:rsidRDefault="00587C80" w:rsidP="00373009">
            <w:pPr>
              <w:widowControl w:val="0"/>
              <w:ind w:firstLine="0"/>
              <w:jc w:val="center"/>
              <w:rPr>
                <w:rFonts w:ascii="PT Astra Serif" w:eastAsia="Times New Roman" w:hAnsi="PT Astra Serif" w:cstheme="minorBidi"/>
                <w:b/>
                <w:sz w:val="20"/>
                <w:lang w:eastAsia="en-US"/>
              </w:rPr>
            </w:pPr>
            <w:r w:rsidRPr="00587C80">
              <w:rPr>
                <w:rFonts w:ascii="PT Astra Serif" w:eastAsia="Times New Roman" w:hAnsi="PT Astra Serif" w:cstheme="minorBidi"/>
                <w:b/>
                <w:sz w:val="20"/>
                <w:lang w:eastAsia="en-US"/>
              </w:rPr>
              <w:t>11</w:t>
            </w:r>
            <w:r w:rsidR="00C8410A">
              <w:rPr>
                <w:rFonts w:ascii="PT Astra Serif" w:eastAsia="Times New Roman" w:hAnsi="PT Astra Serif" w:cstheme="minorBidi"/>
                <w:b/>
                <w:sz w:val="20"/>
                <w:lang w:val="en-US" w:eastAsia="en-US"/>
              </w:rPr>
              <w:t>43</w:t>
            </w:r>
          </w:p>
        </w:tc>
      </w:tr>
      <w:bookmarkEnd w:id="19"/>
    </w:tbl>
    <w:p w14:paraId="3B374751" w14:textId="6C6E11BF" w:rsidR="00587C80" w:rsidRPr="008D5740" w:rsidRDefault="00587C80" w:rsidP="00373009">
      <w:pPr>
        <w:widowControl w:val="0"/>
        <w:rPr>
          <w:rFonts w:ascii="PT Astra Serif" w:eastAsia="Times New Roman" w:hAnsi="PT Astra Serif"/>
          <w:sz w:val="20"/>
          <w:szCs w:val="20"/>
        </w:rPr>
      </w:pPr>
    </w:p>
    <w:p w14:paraId="0D08C3CD" w14:textId="38DC475D" w:rsidR="003C4090" w:rsidRDefault="003C4090" w:rsidP="00373009">
      <w:pPr>
        <w:widowControl w:val="0"/>
        <w:rPr>
          <w:rFonts w:ascii="PT Astra Serif" w:eastAsia="Times New Roman" w:hAnsi="PT Astra Serif"/>
          <w:szCs w:val="28"/>
          <w:lang w:eastAsia="ru-RU"/>
        </w:rPr>
      </w:pPr>
      <w:bookmarkStart w:id="20" w:name="_Hlk159593617"/>
      <w:r w:rsidRPr="00EF1EBE">
        <w:rPr>
          <w:rFonts w:ascii="PT Astra Serif" w:hAnsi="PT Astra Serif"/>
          <w:noProof/>
          <w:szCs w:val="28"/>
          <w:lang w:eastAsia="ru-RU"/>
        </w:rPr>
        <w:drawing>
          <wp:anchor distT="0" distB="0" distL="114300" distR="114300" simplePos="0" relativeHeight="251669504" behindDoc="1" locked="0" layoutInCell="1" allowOverlap="1" wp14:anchorId="5B7E6A54" wp14:editId="5569E02A">
            <wp:simplePos x="0" y="0"/>
            <wp:positionH relativeFrom="margin">
              <wp:posOffset>2087245</wp:posOffset>
            </wp:positionH>
            <wp:positionV relativeFrom="paragraph">
              <wp:posOffset>481940</wp:posOffset>
            </wp:positionV>
            <wp:extent cx="4081780" cy="2186940"/>
            <wp:effectExtent l="0" t="0" r="0" b="0"/>
            <wp:wrapSquare wrapText="bothSides"/>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Pr="008627AF">
        <w:rPr>
          <w:rFonts w:ascii="PT Astra Serif" w:eastAsia="Times New Roman" w:hAnsi="PT Astra Serif"/>
          <w:szCs w:val="28"/>
        </w:rPr>
        <w:t>В</w:t>
      </w:r>
      <w:r w:rsidRPr="008627AF">
        <w:rPr>
          <w:rFonts w:ascii="PT Astra Serif" w:eastAsia="Times New Roman" w:hAnsi="PT Astra Serif"/>
          <w:szCs w:val="28"/>
          <w:lang w:eastAsia="ru-RU"/>
        </w:rPr>
        <w:t xml:space="preserve"> отрасли по состоянию на 31.12.202</w:t>
      </w:r>
      <w:r>
        <w:rPr>
          <w:rFonts w:ascii="PT Astra Serif" w:eastAsia="Times New Roman" w:hAnsi="PT Astra Serif"/>
          <w:szCs w:val="28"/>
          <w:lang w:eastAsia="ru-RU"/>
        </w:rPr>
        <w:t>5</w:t>
      </w:r>
      <w:r w:rsidRPr="008627AF">
        <w:rPr>
          <w:rFonts w:ascii="PT Astra Serif" w:eastAsia="Times New Roman" w:hAnsi="PT Astra Serif"/>
          <w:szCs w:val="28"/>
          <w:lang w:eastAsia="ru-RU"/>
        </w:rPr>
        <w:t xml:space="preserve"> работа</w:t>
      </w:r>
      <w:r>
        <w:rPr>
          <w:rFonts w:ascii="PT Astra Serif" w:eastAsia="Times New Roman" w:hAnsi="PT Astra Serif"/>
          <w:szCs w:val="28"/>
          <w:lang w:eastAsia="ru-RU"/>
        </w:rPr>
        <w:t>ли</w:t>
      </w:r>
      <w:r w:rsidRPr="008627AF">
        <w:rPr>
          <w:rFonts w:ascii="PT Astra Serif" w:eastAsia="Times New Roman" w:hAnsi="PT Astra Serif"/>
          <w:szCs w:val="28"/>
          <w:lang w:eastAsia="ru-RU"/>
        </w:rPr>
        <w:t xml:space="preserve"> </w:t>
      </w:r>
      <w:r>
        <w:rPr>
          <w:rFonts w:ascii="PT Astra Serif" w:eastAsia="Times New Roman" w:hAnsi="PT Astra Serif"/>
          <w:szCs w:val="28"/>
          <w:lang w:eastAsia="ru-RU"/>
        </w:rPr>
        <w:t xml:space="preserve">5 910 </w:t>
      </w:r>
      <w:r w:rsidRPr="008627AF">
        <w:rPr>
          <w:rFonts w:ascii="PT Astra Serif" w:eastAsia="Times New Roman" w:hAnsi="PT Astra Serif"/>
          <w:szCs w:val="28"/>
          <w:lang w:eastAsia="ru-RU"/>
        </w:rPr>
        <w:t xml:space="preserve">человек, их них </w:t>
      </w:r>
      <w:r>
        <w:rPr>
          <w:rFonts w:ascii="PT Astra Serif" w:eastAsia="Times New Roman" w:hAnsi="PT Astra Serif"/>
          <w:szCs w:val="28"/>
          <w:lang w:eastAsia="ru-RU"/>
        </w:rPr>
        <w:br/>
      </w:r>
      <w:r w:rsidRPr="008627AF">
        <w:rPr>
          <w:rFonts w:ascii="PT Astra Serif" w:eastAsia="Times New Roman" w:hAnsi="PT Astra Serif"/>
          <w:szCs w:val="28"/>
          <w:lang w:eastAsia="ru-RU"/>
        </w:rPr>
        <w:t xml:space="preserve">в государственных </w:t>
      </w:r>
      <w:r w:rsidRPr="00064449">
        <w:rPr>
          <w:rFonts w:ascii="PT Astra Serif" w:eastAsia="Times New Roman" w:hAnsi="PT Astra Serif"/>
          <w:szCs w:val="28"/>
          <w:lang w:eastAsia="ru-RU"/>
        </w:rPr>
        <w:t xml:space="preserve">учреждениях культуры </w:t>
      </w:r>
      <w:r>
        <w:rPr>
          <w:rFonts w:ascii="PT Astra Serif" w:eastAsia="Times New Roman" w:hAnsi="PT Astra Serif"/>
          <w:szCs w:val="28"/>
          <w:lang w:eastAsia="ru-RU"/>
        </w:rPr>
        <w:t xml:space="preserve">3 327 </w:t>
      </w:r>
      <w:r w:rsidRPr="00064449">
        <w:rPr>
          <w:rFonts w:ascii="PT Astra Serif" w:eastAsia="Times New Roman" w:hAnsi="PT Astra Serif"/>
          <w:szCs w:val="28"/>
          <w:lang w:eastAsia="ru-RU"/>
        </w:rPr>
        <w:t xml:space="preserve">человек, в муниципальных – </w:t>
      </w:r>
      <w:r>
        <w:rPr>
          <w:rFonts w:ascii="PT Astra Serif" w:eastAsia="Times New Roman" w:hAnsi="PT Astra Serif"/>
          <w:szCs w:val="28"/>
          <w:lang w:eastAsia="ru-RU"/>
        </w:rPr>
        <w:t xml:space="preserve">2 583 </w:t>
      </w:r>
      <w:r w:rsidRPr="00064449">
        <w:rPr>
          <w:rFonts w:ascii="PT Astra Serif" w:eastAsia="Times New Roman" w:hAnsi="PT Astra Serif"/>
          <w:szCs w:val="28"/>
          <w:lang w:eastAsia="ru-RU"/>
        </w:rPr>
        <w:t>человек</w:t>
      </w:r>
      <w:r>
        <w:rPr>
          <w:rFonts w:ascii="PT Astra Serif" w:eastAsia="Times New Roman" w:hAnsi="PT Astra Serif"/>
          <w:szCs w:val="28"/>
          <w:lang w:eastAsia="ru-RU"/>
        </w:rPr>
        <w:t>а</w:t>
      </w:r>
      <w:r w:rsidRPr="00064449">
        <w:rPr>
          <w:rFonts w:ascii="PT Astra Serif" w:eastAsia="Times New Roman" w:hAnsi="PT Astra Serif"/>
          <w:szCs w:val="28"/>
          <w:lang w:eastAsia="ru-RU"/>
        </w:rPr>
        <w:t>.</w:t>
      </w:r>
    </w:p>
    <w:p w14:paraId="244C39A9" w14:textId="3FEE8E9E" w:rsidR="003C4090" w:rsidRPr="00EF1EBE" w:rsidRDefault="003C4090" w:rsidP="00373009">
      <w:pPr>
        <w:widowControl w:val="0"/>
        <w:rPr>
          <w:rFonts w:ascii="PT Astra Serif" w:hAnsi="PT Astra Serif"/>
          <w:szCs w:val="28"/>
        </w:rPr>
      </w:pPr>
      <w:r w:rsidRPr="00EF1EBE">
        <w:rPr>
          <w:rFonts w:ascii="PT Astra Serif" w:eastAsia="Times New Roman" w:hAnsi="PT Astra Serif"/>
          <w:szCs w:val="28"/>
          <w:lang w:eastAsia="ru-RU"/>
        </w:rPr>
        <w:t>В отчётный период в отрасли</w:t>
      </w:r>
      <w:r>
        <w:rPr>
          <w:rFonts w:ascii="PT Astra Serif" w:eastAsia="Times New Roman" w:hAnsi="PT Astra Serif"/>
          <w:szCs w:val="28"/>
          <w:lang w:eastAsia="ru-RU"/>
        </w:rPr>
        <w:t xml:space="preserve"> </w:t>
      </w:r>
      <w:r w:rsidRPr="00EF1EBE">
        <w:rPr>
          <w:rFonts w:ascii="PT Astra Serif" w:eastAsia="Times New Roman" w:hAnsi="PT Astra Serif"/>
          <w:szCs w:val="28"/>
          <w:lang w:eastAsia="ru-RU"/>
        </w:rPr>
        <w:t xml:space="preserve">с профильным образованием работало </w:t>
      </w:r>
      <w:r>
        <w:rPr>
          <w:rFonts w:ascii="PT Astra Serif" w:eastAsia="Times New Roman" w:hAnsi="PT Astra Serif"/>
          <w:szCs w:val="28"/>
          <w:lang w:eastAsia="ru-RU"/>
        </w:rPr>
        <w:t xml:space="preserve">2 754 </w:t>
      </w:r>
      <w:r w:rsidRPr="00EF1EBE">
        <w:rPr>
          <w:rFonts w:ascii="PT Astra Serif" w:eastAsia="Times New Roman" w:hAnsi="PT Astra Serif"/>
          <w:szCs w:val="28"/>
          <w:lang w:eastAsia="ru-RU"/>
        </w:rPr>
        <w:t>человек</w:t>
      </w:r>
      <w:r>
        <w:rPr>
          <w:rFonts w:ascii="PT Astra Serif" w:eastAsia="Times New Roman" w:hAnsi="PT Astra Serif"/>
          <w:szCs w:val="28"/>
          <w:lang w:eastAsia="ru-RU"/>
        </w:rPr>
        <w:t>а</w:t>
      </w:r>
      <w:r w:rsidRPr="00EF1EBE">
        <w:rPr>
          <w:rFonts w:ascii="PT Astra Serif" w:eastAsia="Times New Roman" w:hAnsi="PT Astra Serif"/>
          <w:szCs w:val="28"/>
          <w:lang w:eastAsia="ru-RU"/>
        </w:rPr>
        <w:t xml:space="preserve">, в том числе </w:t>
      </w:r>
      <w:r>
        <w:rPr>
          <w:rFonts w:ascii="PT Astra Serif" w:eastAsia="Times New Roman" w:hAnsi="PT Astra Serif"/>
          <w:szCs w:val="28"/>
          <w:lang w:eastAsia="ru-RU"/>
        </w:rPr>
        <w:t xml:space="preserve">1 746 </w:t>
      </w:r>
      <w:r w:rsidRPr="00EF1EBE">
        <w:rPr>
          <w:rFonts w:ascii="PT Astra Serif" w:eastAsia="Times New Roman" w:hAnsi="PT Astra Serif"/>
          <w:szCs w:val="28"/>
          <w:lang w:eastAsia="ru-RU"/>
        </w:rPr>
        <w:t>человек</w:t>
      </w:r>
      <w:r>
        <w:rPr>
          <w:rFonts w:ascii="PT Astra Serif" w:eastAsia="Times New Roman" w:hAnsi="PT Astra Serif"/>
          <w:szCs w:val="28"/>
          <w:lang w:eastAsia="ru-RU"/>
        </w:rPr>
        <w:t xml:space="preserve"> (32%)</w:t>
      </w:r>
      <w:r w:rsidRPr="00EF1EBE">
        <w:rPr>
          <w:rFonts w:ascii="PT Astra Serif" w:eastAsia="Times New Roman" w:hAnsi="PT Astra Serif"/>
          <w:szCs w:val="28"/>
          <w:lang w:eastAsia="ru-RU"/>
        </w:rPr>
        <w:t xml:space="preserve"> с высшим образованием,</w:t>
      </w:r>
      <w:r w:rsidRPr="00EF1EBE">
        <w:rPr>
          <w:rFonts w:ascii="PT Astra Serif" w:eastAsia="Times New Roman" w:hAnsi="PT Astra Serif"/>
          <w:bCs/>
          <w:szCs w:val="28"/>
          <w:lang w:eastAsia="ru-RU"/>
        </w:rPr>
        <w:t xml:space="preserve"> </w:t>
      </w:r>
      <w:r>
        <w:rPr>
          <w:rFonts w:ascii="PT Astra Serif" w:eastAsia="Times New Roman" w:hAnsi="PT Astra Serif"/>
          <w:bCs/>
          <w:szCs w:val="28"/>
          <w:lang w:eastAsia="ru-RU"/>
        </w:rPr>
        <w:t xml:space="preserve">1 008 </w:t>
      </w:r>
      <w:r w:rsidRPr="00EF1EBE">
        <w:rPr>
          <w:rFonts w:ascii="PT Astra Serif" w:eastAsia="Times New Roman" w:hAnsi="PT Astra Serif"/>
          <w:bCs/>
          <w:szCs w:val="28"/>
          <w:lang w:eastAsia="ru-RU"/>
        </w:rPr>
        <w:t>чел</w:t>
      </w:r>
      <w:r w:rsidR="00F20E95">
        <w:rPr>
          <w:rFonts w:ascii="PT Astra Serif" w:eastAsia="Times New Roman" w:hAnsi="PT Astra Serif"/>
          <w:bCs/>
          <w:szCs w:val="28"/>
          <w:lang w:eastAsia="ru-RU"/>
        </w:rPr>
        <w:t>овек</w:t>
      </w:r>
      <w:r w:rsidRPr="00EF1EBE">
        <w:rPr>
          <w:rFonts w:ascii="PT Astra Serif" w:eastAsia="Times New Roman" w:hAnsi="PT Astra Serif"/>
          <w:bCs/>
          <w:szCs w:val="28"/>
          <w:lang w:eastAsia="ru-RU"/>
        </w:rPr>
        <w:t xml:space="preserve"> (</w:t>
      </w:r>
      <w:r>
        <w:rPr>
          <w:rFonts w:ascii="PT Astra Serif" w:eastAsia="Times New Roman" w:hAnsi="PT Astra Serif"/>
          <w:bCs/>
          <w:szCs w:val="28"/>
          <w:lang w:eastAsia="ru-RU"/>
        </w:rPr>
        <w:t>19</w:t>
      </w:r>
      <w:r w:rsidRPr="00EF1EBE">
        <w:rPr>
          <w:rFonts w:ascii="PT Astra Serif" w:eastAsia="Times New Roman" w:hAnsi="PT Astra Serif"/>
          <w:bCs/>
          <w:szCs w:val="28"/>
          <w:lang w:eastAsia="ru-RU"/>
        </w:rPr>
        <w:t xml:space="preserve">%) </w:t>
      </w:r>
      <w:r w:rsidR="00F20E95">
        <w:rPr>
          <w:rFonts w:ascii="PT Astra Serif" w:eastAsia="Times New Roman" w:hAnsi="PT Astra Serif"/>
          <w:bCs/>
          <w:szCs w:val="28"/>
          <w:lang w:eastAsia="ru-RU"/>
        </w:rPr>
        <w:t>–</w:t>
      </w:r>
      <w:r w:rsidRPr="00EF1EBE">
        <w:rPr>
          <w:rFonts w:ascii="PT Astra Serif" w:eastAsia="Times New Roman" w:hAnsi="PT Astra Serif"/>
          <w:bCs/>
          <w:szCs w:val="28"/>
          <w:lang w:eastAsia="ru-RU"/>
        </w:rPr>
        <w:t xml:space="preserve"> </w:t>
      </w:r>
      <w:r w:rsidR="00F20E95">
        <w:rPr>
          <w:rFonts w:ascii="PT Astra Serif" w:eastAsia="Times New Roman" w:hAnsi="PT Astra Serif"/>
          <w:bCs/>
          <w:szCs w:val="28"/>
          <w:lang w:eastAsia="ru-RU"/>
        </w:rPr>
        <w:t xml:space="preserve">со </w:t>
      </w:r>
      <w:r w:rsidRPr="00EF1EBE">
        <w:rPr>
          <w:rFonts w:ascii="PT Astra Serif" w:eastAsia="Times New Roman" w:hAnsi="PT Astra Serif"/>
          <w:bCs/>
          <w:szCs w:val="28"/>
          <w:lang w:eastAsia="ru-RU"/>
        </w:rPr>
        <w:t>средним профессиональным.</w:t>
      </w:r>
    </w:p>
    <w:p w14:paraId="1B4CC5FD" w14:textId="77777777" w:rsidR="003C4090" w:rsidRDefault="003C4090" w:rsidP="00373009">
      <w:pPr>
        <w:widowControl w:val="0"/>
        <w:rPr>
          <w:rFonts w:ascii="PT Astra Serif" w:hAnsi="PT Astra Serif"/>
          <w:szCs w:val="28"/>
        </w:rPr>
      </w:pPr>
    </w:p>
    <w:p w14:paraId="6B543A39" w14:textId="2BAF3E84" w:rsidR="003C4090" w:rsidRPr="00EF1EBE" w:rsidRDefault="003C4090" w:rsidP="00373009">
      <w:pPr>
        <w:widowControl w:val="0"/>
        <w:ind w:firstLine="0"/>
        <w:rPr>
          <w:rFonts w:ascii="PT Astra Serif" w:hAnsi="PT Astra Serif"/>
          <w:szCs w:val="28"/>
        </w:rPr>
      </w:pPr>
      <w:r w:rsidRPr="00EF1EBE">
        <w:rPr>
          <w:rFonts w:ascii="PT Astra Serif" w:hAnsi="PT Astra Serif"/>
          <w:noProof/>
          <w:szCs w:val="28"/>
          <w:lang w:eastAsia="ru-RU"/>
        </w:rPr>
        <w:lastRenderedPageBreak/>
        <w:drawing>
          <wp:anchor distT="0" distB="0" distL="114300" distR="114300" simplePos="0" relativeHeight="251670528" behindDoc="0" locked="0" layoutInCell="1" allowOverlap="1" wp14:anchorId="7BDCEED2" wp14:editId="47E02391">
            <wp:simplePos x="0" y="0"/>
            <wp:positionH relativeFrom="margin">
              <wp:align>left</wp:align>
            </wp:positionH>
            <wp:positionV relativeFrom="paragraph">
              <wp:posOffset>11430</wp:posOffset>
            </wp:positionV>
            <wp:extent cx="3781425" cy="2150110"/>
            <wp:effectExtent l="0" t="0" r="0" b="0"/>
            <wp:wrapSquare wrapText="bothSides"/>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Pr="00EF1EBE">
        <w:rPr>
          <w:rFonts w:ascii="PT Astra Serif" w:eastAsia="Times New Roman" w:hAnsi="PT Astra Serif"/>
          <w:bCs/>
          <w:szCs w:val="28"/>
          <w:lang w:eastAsia="ru-RU"/>
        </w:rPr>
        <w:t xml:space="preserve">Мониторинг возрастного состава работающих </w:t>
      </w:r>
      <w:r>
        <w:rPr>
          <w:rFonts w:ascii="PT Astra Serif" w:eastAsia="Times New Roman" w:hAnsi="PT Astra Serif"/>
          <w:bCs/>
          <w:szCs w:val="28"/>
          <w:lang w:eastAsia="ru-RU"/>
        </w:rPr>
        <w:br/>
      </w:r>
      <w:r w:rsidRPr="00EF1EBE">
        <w:rPr>
          <w:rFonts w:ascii="PT Astra Serif" w:eastAsia="Times New Roman" w:hAnsi="PT Astra Serif"/>
          <w:bCs/>
          <w:szCs w:val="28"/>
          <w:lang w:eastAsia="ru-RU"/>
        </w:rPr>
        <w:t>в отрасли показывает следующее: число работников в возрасте до 3</w:t>
      </w:r>
      <w:r>
        <w:rPr>
          <w:rFonts w:ascii="PT Astra Serif" w:eastAsia="Times New Roman" w:hAnsi="PT Astra Serif"/>
          <w:bCs/>
          <w:szCs w:val="28"/>
          <w:lang w:eastAsia="ru-RU"/>
        </w:rPr>
        <w:t>6</w:t>
      </w:r>
      <w:r w:rsidRPr="00EF1EBE">
        <w:rPr>
          <w:rFonts w:ascii="PT Astra Serif" w:eastAsia="Times New Roman" w:hAnsi="PT Astra Serif"/>
          <w:bCs/>
          <w:szCs w:val="28"/>
          <w:lang w:eastAsia="ru-RU"/>
        </w:rPr>
        <w:t xml:space="preserve"> лет – </w:t>
      </w:r>
      <w:r>
        <w:rPr>
          <w:rFonts w:ascii="PT Astra Serif" w:eastAsia="Times New Roman" w:hAnsi="PT Astra Serif"/>
          <w:bCs/>
          <w:szCs w:val="28"/>
          <w:lang w:eastAsia="ru-RU"/>
        </w:rPr>
        <w:t>502</w:t>
      </w:r>
      <w:r w:rsidRPr="00EF1EBE">
        <w:rPr>
          <w:rFonts w:ascii="PT Astra Serif" w:eastAsia="Times New Roman" w:hAnsi="PT Astra Serif"/>
          <w:bCs/>
          <w:szCs w:val="28"/>
          <w:lang w:eastAsia="ru-RU"/>
        </w:rPr>
        <w:t xml:space="preserve"> человек</w:t>
      </w:r>
      <w:r>
        <w:rPr>
          <w:rFonts w:ascii="PT Astra Serif" w:eastAsia="Times New Roman" w:hAnsi="PT Astra Serif"/>
          <w:bCs/>
          <w:szCs w:val="28"/>
          <w:lang w:eastAsia="ru-RU"/>
        </w:rPr>
        <w:t>а</w:t>
      </w:r>
      <w:r w:rsidRPr="00EF1EBE">
        <w:rPr>
          <w:rFonts w:ascii="PT Astra Serif" w:eastAsia="Times New Roman" w:hAnsi="PT Astra Serif"/>
          <w:bCs/>
          <w:szCs w:val="28"/>
          <w:lang w:eastAsia="ru-RU"/>
        </w:rPr>
        <w:t xml:space="preserve"> (</w:t>
      </w:r>
      <w:r>
        <w:rPr>
          <w:rFonts w:ascii="PT Astra Serif" w:eastAsia="Times New Roman" w:hAnsi="PT Astra Serif"/>
          <w:bCs/>
          <w:szCs w:val="28"/>
          <w:lang w:eastAsia="ru-RU"/>
        </w:rPr>
        <w:t>9</w:t>
      </w:r>
      <w:r w:rsidRPr="00EF1EBE">
        <w:rPr>
          <w:rFonts w:ascii="PT Astra Serif" w:eastAsia="Times New Roman" w:hAnsi="PT Astra Serif"/>
          <w:bCs/>
          <w:szCs w:val="28"/>
          <w:lang w:eastAsia="ru-RU"/>
        </w:rPr>
        <w:t>%), с 3</w:t>
      </w:r>
      <w:r>
        <w:rPr>
          <w:rFonts w:ascii="PT Astra Serif" w:eastAsia="Times New Roman" w:hAnsi="PT Astra Serif"/>
          <w:bCs/>
          <w:szCs w:val="28"/>
          <w:lang w:eastAsia="ru-RU"/>
        </w:rPr>
        <w:t>6</w:t>
      </w:r>
      <w:r w:rsidRPr="00EF1EBE">
        <w:rPr>
          <w:rFonts w:ascii="PT Astra Serif" w:eastAsia="Times New Roman" w:hAnsi="PT Astra Serif"/>
          <w:bCs/>
          <w:szCs w:val="28"/>
          <w:lang w:eastAsia="ru-RU"/>
        </w:rPr>
        <w:t xml:space="preserve"> лет до 55 лет – </w:t>
      </w:r>
      <w:r>
        <w:rPr>
          <w:rFonts w:ascii="PT Astra Serif" w:eastAsia="Times New Roman" w:hAnsi="PT Astra Serif"/>
          <w:bCs/>
          <w:szCs w:val="28"/>
          <w:lang w:eastAsia="ru-RU"/>
        </w:rPr>
        <w:t xml:space="preserve">2 792 </w:t>
      </w:r>
      <w:r w:rsidRPr="00EF1EBE">
        <w:rPr>
          <w:rFonts w:ascii="PT Astra Serif" w:eastAsia="Times New Roman" w:hAnsi="PT Astra Serif"/>
          <w:bCs/>
          <w:szCs w:val="28"/>
          <w:lang w:eastAsia="ru-RU"/>
        </w:rPr>
        <w:t>человек</w:t>
      </w:r>
      <w:r>
        <w:rPr>
          <w:rFonts w:ascii="PT Astra Serif" w:eastAsia="Times New Roman" w:hAnsi="PT Astra Serif"/>
          <w:bCs/>
          <w:szCs w:val="28"/>
          <w:lang w:eastAsia="ru-RU"/>
        </w:rPr>
        <w:t>а</w:t>
      </w:r>
      <w:r w:rsidRPr="00EF1EBE">
        <w:rPr>
          <w:rFonts w:ascii="PT Astra Serif" w:eastAsia="Times New Roman" w:hAnsi="PT Astra Serif"/>
          <w:bCs/>
          <w:szCs w:val="28"/>
          <w:lang w:eastAsia="ru-RU"/>
        </w:rPr>
        <w:t xml:space="preserve"> (</w:t>
      </w:r>
      <w:r>
        <w:rPr>
          <w:rFonts w:ascii="PT Astra Serif" w:eastAsia="Times New Roman" w:hAnsi="PT Astra Serif"/>
          <w:bCs/>
          <w:szCs w:val="28"/>
          <w:lang w:eastAsia="ru-RU"/>
        </w:rPr>
        <w:t>47</w:t>
      </w:r>
      <w:r w:rsidRPr="00EF1EBE">
        <w:rPr>
          <w:rFonts w:ascii="PT Astra Serif" w:eastAsia="Times New Roman" w:hAnsi="PT Astra Serif"/>
          <w:bCs/>
          <w:szCs w:val="28"/>
          <w:lang w:eastAsia="ru-RU"/>
        </w:rPr>
        <w:t xml:space="preserve">%), свыше 55 лет – </w:t>
      </w:r>
      <w:r>
        <w:rPr>
          <w:rFonts w:ascii="PT Astra Serif" w:eastAsia="Times New Roman" w:hAnsi="PT Astra Serif"/>
          <w:bCs/>
          <w:szCs w:val="28"/>
          <w:lang w:eastAsia="ru-RU"/>
        </w:rPr>
        <w:t xml:space="preserve">2 616 </w:t>
      </w:r>
      <w:r w:rsidRPr="00EF1EBE">
        <w:rPr>
          <w:rFonts w:ascii="PT Astra Serif" w:eastAsia="Times New Roman" w:hAnsi="PT Astra Serif"/>
          <w:bCs/>
          <w:szCs w:val="28"/>
          <w:lang w:eastAsia="ru-RU"/>
        </w:rPr>
        <w:t>человек</w:t>
      </w:r>
      <w:r>
        <w:rPr>
          <w:rFonts w:ascii="PT Astra Serif" w:eastAsia="Times New Roman" w:hAnsi="PT Astra Serif"/>
          <w:bCs/>
          <w:szCs w:val="28"/>
          <w:lang w:eastAsia="ru-RU"/>
        </w:rPr>
        <w:t>а</w:t>
      </w:r>
      <w:r w:rsidRPr="00EF1EBE">
        <w:rPr>
          <w:rFonts w:ascii="PT Astra Serif" w:eastAsia="Times New Roman" w:hAnsi="PT Astra Serif"/>
          <w:bCs/>
          <w:szCs w:val="28"/>
          <w:lang w:eastAsia="ru-RU"/>
        </w:rPr>
        <w:t xml:space="preserve"> (</w:t>
      </w:r>
      <w:r>
        <w:rPr>
          <w:rFonts w:ascii="PT Astra Serif" w:eastAsia="Times New Roman" w:hAnsi="PT Astra Serif"/>
          <w:bCs/>
          <w:szCs w:val="28"/>
          <w:lang w:eastAsia="ru-RU"/>
        </w:rPr>
        <w:t>44</w:t>
      </w:r>
      <w:r w:rsidRPr="00EF1EBE">
        <w:rPr>
          <w:rFonts w:ascii="PT Astra Serif" w:eastAsia="Times New Roman" w:hAnsi="PT Astra Serif"/>
          <w:bCs/>
          <w:szCs w:val="28"/>
          <w:lang w:eastAsia="ru-RU"/>
        </w:rPr>
        <w:t>%).</w:t>
      </w:r>
    </w:p>
    <w:p w14:paraId="194A8935" w14:textId="4B1BC018" w:rsidR="003C4090" w:rsidRDefault="003C4090" w:rsidP="00373009">
      <w:pPr>
        <w:widowControl w:val="0"/>
        <w:rPr>
          <w:rFonts w:ascii="PT Astra Serif" w:hAnsi="PT Astra Serif"/>
          <w:szCs w:val="28"/>
        </w:rPr>
      </w:pPr>
    </w:p>
    <w:p w14:paraId="02A525F9" w14:textId="77777777" w:rsidR="003C4090" w:rsidRDefault="003C4090" w:rsidP="00373009">
      <w:pPr>
        <w:widowControl w:val="0"/>
        <w:rPr>
          <w:rFonts w:ascii="PT Astra Serif" w:hAnsi="PT Astra Serif"/>
          <w:szCs w:val="28"/>
        </w:rPr>
      </w:pPr>
    </w:p>
    <w:p w14:paraId="6AD3F060" w14:textId="77777777" w:rsidR="003C4090" w:rsidRPr="00820C54" w:rsidRDefault="003C4090" w:rsidP="00373009">
      <w:pPr>
        <w:widowControl w:val="0"/>
        <w:rPr>
          <w:rFonts w:ascii="PT Astra Serif" w:hAnsi="PT Astra Serif"/>
          <w:szCs w:val="28"/>
        </w:rPr>
      </w:pPr>
      <w:r w:rsidRPr="00820C54">
        <w:rPr>
          <w:rFonts w:ascii="PT Astra Serif" w:hAnsi="PT Astra Serif"/>
          <w:szCs w:val="28"/>
        </w:rPr>
        <w:t xml:space="preserve">В 2025 году </w:t>
      </w:r>
      <w:r w:rsidRPr="00820C54">
        <w:rPr>
          <w:rFonts w:ascii="PT Astra Serif" w:hAnsi="PT Astra Serif"/>
          <w:b/>
          <w:bCs/>
          <w:szCs w:val="28"/>
        </w:rPr>
        <w:t>консолидированный бюджет</w:t>
      </w:r>
      <w:r w:rsidRPr="00820C54">
        <w:rPr>
          <w:rFonts w:ascii="PT Astra Serif" w:hAnsi="PT Astra Serif"/>
          <w:szCs w:val="28"/>
        </w:rPr>
        <w:t xml:space="preserve"> отрасли «Культура» составил 5 686 823,7 тыс. рублей, что выше уровня 2024 года (5 178 170,6 тыс. рублей) на 109,8% или на 508 653,1 тыс. рублей. Исполнение бюджета за 2025 год составило 98,9% от плана или 5 623 924,5 тыс. рублей.</w:t>
      </w:r>
    </w:p>
    <w:p w14:paraId="35EB83ED" w14:textId="31720312" w:rsidR="003C4090" w:rsidRDefault="00A16A92" w:rsidP="00373009">
      <w:pPr>
        <w:widowControl w:val="0"/>
        <w:ind w:firstLine="0"/>
        <w:rPr>
          <w:rFonts w:ascii="PT Astra Serif" w:eastAsia="Times New Roman" w:hAnsi="PT Astra Serif"/>
          <w:szCs w:val="28"/>
        </w:rPr>
      </w:pPr>
      <w:r w:rsidRPr="00E466D3">
        <w:rPr>
          <w:rFonts w:ascii="PT Astra Serif" w:eastAsia="Times New Roman" w:hAnsi="PT Astra Serif"/>
          <w:b/>
          <w:noProof/>
          <w:szCs w:val="28"/>
          <w:lang w:eastAsia="ru-RU"/>
        </w:rPr>
        <w:drawing>
          <wp:inline distT="0" distB="0" distL="0" distR="0" wp14:anchorId="7DEC8E8B" wp14:editId="2A9AD440">
            <wp:extent cx="5880569" cy="3228229"/>
            <wp:effectExtent l="0" t="0" r="6350" b="0"/>
            <wp:docPr id="13"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12BC5EC" w14:textId="77777777" w:rsidR="00A16A92" w:rsidRPr="00820C54" w:rsidRDefault="00A16A92" w:rsidP="00373009">
      <w:pPr>
        <w:widowControl w:val="0"/>
        <w:rPr>
          <w:rFonts w:ascii="PT Astra Serif" w:hAnsi="PT Astra Serif"/>
          <w:szCs w:val="28"/>
        </w:rPr>
      </w:pPr>
      <w:r w:rsidRPr="00820C54">
        <w:rPr>
          <w:rFonts w:ascii="PT Astra Serif" w:hAnsi="PT Astra Serif"/>
          <w:szCs w:val="28"/>
        </w:rPr>
        <w:t xml:space="preserve">В 2025 году объём привлечённых </w:t>
      </w:r>
      <w:r w:rsidRPr="00820C54">
        <w:rPr>
          <w:rFonts w:ascii="PT Astra Serif" w:hAnsi="PT Astra Serif"/>
          <w:b/>
          <w:szCs w:val="28"/>
        </w:rPr>
        <w:t>федеральных средств</w:t>
      </w:r>
      <w:r w:rsidRPr="00820C54">
        <w:rPr>
          <w:rFonts w:ascii="PT Astra Serif" w:hAnsi="PT Astra Serif"/>
          <w:szCs w:val="28"/>
        </w:rPr>
        <w:t xml:space="preserve"> по всем направлениям составил </w:t>
      </w:r>
      <w:r w:rsidRPr="00820C54">
        <w:rPr>
          <w:rFonts w:ascii="PT Astra Serif" w:hAnsi="PT Astra Serif"/>
          <w:b/>
          <w:szCs w:val="28"/>
        </w:rPr>
        <w:t>599 626,1</w:t>
      </w:r>
      <w:r w:rsidRPr="00820C54">
        <w:rPr>
          <w:rFonts w:ascii="PT Astra Serif" w:hAnsi="PT Astra Serif"/>
          <w:szCs w:val="28"/>
        </w:rPr>
        <w:t xml:space="preserve"> тыс. рублей, снижение на 193 570,3 тыс. рублей или 124,4% к уровню 2024 года (793 196,4 тыс. рублей).</w:t>
      </w:r>
    </w:p>
    <w:p w14:paraId="1754D04B" w14:textId="56294266" w:rsidR="00A16A92" w:rsidRDefault="00A16A92" w:rsidP="00373009">
      <w:pPr>
        <w:widowControl w:val="0"/>
        <w:rPr>
          <w:rFonts w:ascii="PT Astra Serif" w:hAnsi="PT Astra Serif"/>
          <w:szCs w:val="28"/>
        </w:rPr>
      </w:pPr>
      <w:r w:rsidRPr="00820C54">
        <w:rPr>
          <w:rFonts w:ascii="PT Astra Serif" w:hAnsi="PT Astra Serif"/>
          <w:szCs w:val="28"/>
        </w:rPr>
        <w:t>Структура привлечённых средств в 2025 году сложилась следующим образом:</w:t>
      </w:r>
    </w:p>
    <w:p w14:paraId="07E53373" w14:textId="3ACEE7FE" w:rsidR="000A4156" w:rsidRDefault="000A4156" w:rsidP="00373009">
      <w:pPr>
        <w:widowControl w:val="0"/>
        <w:rPr>
          <w:rFonts w:ascii="PT Astra Serif" w:hAnsi="PT Astra Serif"/>
          <w:szCs w:val="28"/>
        </w:rPr>
      </w:pPr>
      <w:r w:rsidRPr="00820C54">
        <w:rPr>
          <w:rFonts w:ascii="PT Astra Serif" w:hAnsi="PT Astra Serif"/>
          <w:szCs w:val="28"/>
        </w:rPr>
        <w:t xml:space="preserve">в рамках национальных проектов 106 995,6 тыс. рублей, снижение </w:t>
      </w:r>
      <w:r>
        <w:rPr>
          <w:rFonts w:ascii="PT Astra Serif" w:hAnsi="PT Astra Serif"/>
          <w:szCs w:val="28"/>
        </w:rPr>
        <w:br/>
      </w:r>
      <w:r w:rsidRPr="00820C54">
        <w:rPr>
          <w:rFonts w:ascii="PT Astra Serif" w:hAnsi="PT Astra Serif"/>
          <w:szCs w:val="28"/>
        </w:rPr>
        <w:t>к уровню 2024 года (274 206,5 тыс. рублей) на 167 210,9 тыс. рублей или почти в 2,5 раза</w:t>
      </w:r>
      <w:r>
        <w:rPr>
          <w:rFonts w:ascii="PT Astra Serif" w:hAnsi="PT Astra Serif"/>
          <w:szCs w:val="28"/>
        </w:rPr>
        <w:t>;</w:t>
      </w:r>
    </w:p>
    <w:p w14:paraId="59C23745" w14:textId="22CB294E" w:rsidR="000A4156" w:rsidRPr="00820C54" w:rsidRDefault="000A4156" w:rsidP="00373009">
      <w:pPr>
        <w:widowControl w:val="0"/>
        <w:rPr>
          <w:rFonts w:ascii="PT Astra Serif" w:hAnsi="PT Astra Serif"/>
          <w:szCs w:val="28"/>
        </w:rPr>
      </w:pPr>
      <w:proofErr w:type="spellStart"/>
      <w:r w:rsidRPr="00820C54">
        <w:rPr>
          <w:rFonts w:ascii="PT Astra Serif" w:hAnsi="PT Astra Serif"/>
          <w:szCs w:val="28"/>
        </w:rPr>
        <w:t>софинансирование</w:t>
      </w:r>
      <w:proofErr w:type="spellEnd"/>
      <w:r w:rsidRPr="00820C54">
        <w:rPr>
          <w:rFonts w:ascii="PT Astra Serif" w:hAnsi="PT Astra Serif"/>
          <w:szCs w:val="28"/>
        </w:rPr>
        <w:t xml:space="preserve"> федеральных средств не в рамках национальных проектов 490 443,2 тыс. рублей, снижению к уровню 2024 года (518 986,9 тыс. рублей) на 28 543,7 тыс. рублей или 105,5%.</w:t>
      </w:r>
    </w:p>
    <w:p w14:paraId="2CE2A7C4" w14:textId="0F07DD65" w:rsidR="000A4156" w:rsidRPr="00820C54" w:rsidRDefault="000A4156" w:rsidP="00373009">
      <w:pPr>
        <w:widowControl w:val="0"/>
        <w:rPr>
          <w:rFonts w:ascii="PT Astra Serif" w:hAnsi="PT Astra Serif"/>
          <w:szCs w:val="28"/>
        </w:rPr>
      </w:pPr>
      <w:r w:rsidRPr="00820C54">
        <w:rPr>
          <w:rFonts w:ascii="PT Astra Serif" w:hAnsi="PT Astra Serif"/>
          <w:bCs/>
          <w:szCs w:val="28"/>
        </w:rPr>
        <w:t>Освоение средств федерального бюджета по итогам 2025 года составило 100%.</w:t>
      </w:r>
    </w:p>
    <w:bookmarkEnd w:id="18"/>
    <w:bookmarkEnd w:id="20"/>
    <w:p w14:paraId="7CA91C1F" w14:textId="0D6E83CE" w:rsidR="00A16A92" w:rsidRDefault="000A4156" w:rsidP="00373009">
      <w:pPr>
        <w:widowControl w:val="0"/>
        <w:ind w:firstLine="0"/>
        <w:jc w:val="center"/>
        <w:rPr>
          <w:rFonts w:ascii="PT Astra Serif" w:eastAsia="Times New Roman" w:hAnsi="PT Astra Serif"/>
          <w:szCs w:val="28"/>
        </w:rPr>
      </w:pPr>
      <w:r>
        <w:rPr>
          <w:noProof/>
          <w:lang w:eastAsia="ru-RU"/>
        </w:rPr>
        <w:lastRenderedPageBreak/>
        <w:drawing>
          <wp:inline distT="0" distB="0" distL="0" distR="0" wp14:anchorId="63C32291" wp14:editId="51659D65">
            <wp:extent cx="5382971" cy="2596896"/>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3373C7D" w14:textId="77777777" w:rsidR="000A4156" w:rsidRPr="00B37EB5" w:rsidRDefault="000A4156" w:rsidP="00373009">
      <w:pPr>
        <w:widowControl w:val="0"/>
        <w:rPr>
          <w:rFonts w:ascii="PT Astra Serif" w:hAnsi="PT Astra Serif"/>
          <w:szCs w:val="28"/>
        </w:rPr>
      </w:pPr>
      <w:r w:rsidRPr="00B37EB5">
        <w:rPr>
          <w:rFonts w:ascii="PT Astra Serif" w:hAnsi="PT Astra Serif"/>
          <w:b/>
          <w:szCs w:val="28"/>
        </w:rPr>
        <w:t>Вторым источником</w:t>
      </w:r>
      <w:r w:rsidRPr="00B37EB5">
        <w:rPr>
          <w:rFonts w:ascii="PT Astra Serif" w:hAnsi="PT Astra Serif"/>
          <w:szCs w:val="28"/>
        </w:rPr>
        <w:t xml:space="preserve"> финансового обеспечения отрасли являются </w:t>
      </w:r>
      <w:r w:rsidRPr="00B37EB5">
        <w:rPr>
          <w:rFonts w:ascii="PT Astra Serif" w:hAnsi="PT Astra Serif"/>
          <w:b/>
          <w:szCs w:val="28"/>
        </w:rPr>
        <w:t>доходы</w:t>
      </w:r>
      <w:r w:rsidRPr="00B37EB5">
        <w:rPr>
          <w:rFonts w:ascii="PT Astra Serif" w:hAnsi="PT Astra Serif"/>
          <w:szCs w:val="28"/>
        </w:rPr>
        <w:t xml:space="preserve"> от платных услуг и иной </w:t>
      </w:r>
      <w:r w:rsidRPr="00B37EB5">
        <w:rPr>
          <w:rFonts w:ascii="PT Astra Serif" w:hAnsi="PT Astra Serif"/>
          <w:b/>
          <w:szCs w:val="28"/>
        </w:rPr>
        <w:t>приносящей доход деятельности</w:t>
      </w:r>
      <w:r w:rsidRPr="00B37EB5">
        <w:rPr>
          <w:rFonts w:ascii="PT Astra Serif" w:hAnsi="PT Astra Serif"/>
          <w:szCs w:val="28"/>
        </w:rPr>
        <w:t xml:space="preserve"> учреждений.</w:t>
      </w:r>
    </w:p>
    <w:p w14:paraId="09187C87" w14:textId="77777777" w:rsidR="000A4156" w:rsidRPr="00B37EB5" w:rsidRDefault="000A4156" w:rsidP="00373009">
      <w:pPr>
        <w:widowControl w:val="0"/>
        <w:rPr>
          <w:rFonts w:ascii="PT Astra Serif" w:hAnsi="PT Astra Serif"/>
          <w:szCs w:val="28"/>
        </w:rPr>
      </w:pPr>
      <w:r w:rsidRPr="00B37EB5">
        <w:rPr>
          <w:rFonts w:ascii="PT Astra Serif" w:hAnsi="PT Astra Serif"/>
          <w:b/>
          <w:szCs w:val="28"/>
        </w:rPr>
        <w:t>Доходы государственных учреждений</w:t>
      </w:r>
      <w:r w:rsidRPr="00B37EB5">
        <w:rPr>
          <w:rFonts w:ascii="PT Astra Serif" w:hAnsi="PT Astra Serif"/>
          <w:szCs w:val="28"/>
        </w:rPr>
        <w:t xml:space="preserve"> культуры Ульяновской области за 2025 год составили 281 091,8 тыс. рублей, выполнение плана 101,6%, </w:t>
      </w:r>
      <w:r w:rsidRPr="00B37EB5">
        <w:rPr>
          <w:rFonts w:ascii="PT Astra Serif" w:hAnsi="PT Astra Serif"/>
          <w:b/>
          <w:szCs w:val="28"/>
        </w:rPr>
        <w:t xml:space="preserve">рост </w:t>
      </w:r>
      <w:r w:rsidRPr="00B37EB5">
        <w:rPr>
          <w:rFonts w:ascii="PT Astra Serif" w:hAnsi="PT Astra Serif"/>
          <w:szCs w:val="28"/>
        </w:rPr>
        <w:t xml:space="preserve">к уровню 2024 года (217 720,7 тыс. рублей) составляет 129,1% или на 63 371,1 тыс. рублей. В том числе в рамках проекта «Пушкинская карта» государственные учреждения получили доход в размере 20 307,4 тыс. рублей, при плане на 2025 год 17 695,9 тыс. рублей. Выполнение составило 114,8%. </w:t>
      </w:r>
      <w:r w:rsidRPr="00B37EB5">
        <w:rPr>
          <w:rFonts w:ascii="PT Astra Serif" w:hAnsi="PT Astra Serif"/>
          <w:b/>
          <w:szCs w:val="28"/>
        </w:rPr>
        <w:t>Доходы</w:t>
      </w:r>
      <w:r w:rsidRPr="00B37EB5">
        <w:rPr>
          <w:rFonts w:ascii="PT Astra Serif" w:hAnsi="PT Astra Serif"/>
          <w:szCs w:val="28"/>
        </w:rPr>
        <w:t xml:space="preserve"> от платных услуг и иной приносящей доход деятельности </w:t>
      </w:r>
      <w:r w:rsidRPr="00B37EB5">
        <w:rPr>
          <w:rFonts w:ascii="PT Astra Serif" w:hAnsi="PT Astra Serif"/>
          <w:b/>
          <w:szCs w:val="28"/>
        </w:rPr>
        <w:t>муниципальных учреждений</w:t>
      </w:r>
      <w:r w:rsidRPr="00B37EB5">
        <w:rPr>
          <w:rFonts w:ascii="PT Astra Serif" w:hAnsi="PT Astra Serif"/>
          <w:szCs w:val="28"/>
        </w:rPr>
        <w:t xml:space="preserve"> культуры Ульяновской области за 2025 год составили 229 280,3 тыс. рублей, что выше уровня 2024 года (201 441,2 тыс. рублей) на 27 839,1 тыс. рублей или рост 113,8%. В том числе рамках проекта «Пушкинская карта» муниципальные учреждения получили доход в размере 8 057,3 тыс. рублей, при плане на 2025 год – 7 939,0 тыс. рублей. Выполнение 101,5%.</w:t>
      </w:r>
    </w:p>
    <w:p w14:paraId="0B6DF6DA" w14:textId="63BAAB34" w:rsidR="000A4156" w:rsidRPr="00B37EB5" w:rsidRDefault="000A4156" w:rsidP="00373009">
      <w:pPr>
        <w:widowControl w:val="0"/>
        <w:rPr>
          <w:rFonts w:ascii="PT Astra Serif" w:hAnsi="PT Astra Serif"/>
          <w:szCs w:val="28"/>
        </w:rPr>
      </w:pPr>
      <w:r w:rsidRPr="00B37EB5">
        <w:rPr>
          <w:rFonts w:ascii="PT Astra Serif" w:hAnsi="PT Astra Serif"/>
          <w:b/>
          <w:bCs/>
          <w:szCs w:val="28"/>
        </w:rPr>
        <w:t>Третьим источником</w:t>
      </w:r>
      <w:r w:rsidRPr="00B37EB5">
        <w:rPr>
          <w:rFonts w:ascii="PT Astra Serif" w:hAnsi="PT Astra Serif"/>
          <w:szCs w:val="28"/>
        </w:rPr>
        <w:t xml:space="preserve"> финансового обеспечения отрасли являются </w:t>
      </w:r>
      <w:proofErr w:type="spellStart"/>
      <w:r w:rsidRPr="00B37EB5">
        <w:rPr>
          <w:rFonts w:ascii="PT Astra Serif" w:hAnsi="PT Astra Serif"/>
          <w:b/>
          <w:bCs/>
          <w:szCs w:val="28"/>
        </w:rPr>
        <w:t>грантовые</w:t>
      </w:r>
      <w:proofErr w:type="spellEnd"/>
      <w:r w:rsidRPr="00B37EB5">
        <w:rPr>
          <w:rFonts w:ascii="PT Astra Serif" w:hAnsi="PT Astra Serif"/>
          <w:b/>
          <w:bCs/>
          <w:szCs w:val="28"/>
        </w:rPr>
        <w:t xml:space="preserve"> средства</w:t>
      </w:r>
      <w:r w:rsidRPr="00B37EB5">
        <w:rPr>
          <w:rFonts w:ascii="PT Astra Serif" w:hAnsi="PT Astra Serif"/>
          <w:szCs w:val="28"/>
        </w:rPr>
        <w:t xml:space="preserve">, привлечённые некоммерческими организациями </w:t>
      </w:r>
      <w:r>
        <w:rPr>
          <w:rFonts w:ascii="PT Astra Serif" w:hAnsi="PT Astra Serif"/>
          <w:szCs w:val="28"/>
        </w:rPr>
        <w:br/>
      </w:r>
      <w:r w:rsidRPr="00B37EB5">
        <w:rPr>
          <w:rFonts w:ascii="PT Astra Serif" w:hAnsi="PT Astra Serif"/>
          <w:szCs w:val="28"/>
        </w:rPr>
        <w:t xml:space="preserve">в сфере культуры. В 2025 году этими институциями в отрасль привлечены </w:t>
      </w:r>
      <w:proofErr w:type="spellStart"/>
      <w:r w:rsidRPr="00B37EB5">
        <w:rPr>
          <w:rFonts w:ascii="PT Astra Serif" w:hAnsi="PT Astra Serif"/>
          <w:szCs w:val="28"/>
        </w:rPr>
        <w:t>грантовые</w:t>
      </w:r>
      <w:proofErr w:type="spellEnd"/>
      <w:r w:rsidRPr="00B37EB5">
        <w:rPr>
          <w:rFonts w:ascii="PT Astra Serif" w:hAnsi="PT Astra Serif"/>
          <w:szCs w:val="28"/>
        </w:rPr>
        <w:t xml:space="preserve"> средства в общей сумме </w:t>
      </w:r>
      <w:r w:rsidRPr="00B37EB5">
        <w:rPr>
          <w:rFonts w:ascii="PT Astra Serif" w:hAnsi="PT Astra Serif"/>
          <w:b/>
          <w:bCs/>
          <w:szCs w:val="28"/>
        </w:rPr>
        <w:t>52 957,2</w:t>
      </w:r>
      <w:r w:rsidRPr="00B37EB5">
        <w:rPr>
          <w:rFonts w:ascii="PT Astra Serif" w:hAnsi="PT Astra Serif"/>
          <w:szCs w:val="28"/>
        </w:rPr>
        <w:t xml:space="preserve"> тыс. рублей. Рост к уровню 2024 года (11 260,4 тыс. рублей) более чем в 4,7 раза.</w:t>
      </w:r>
    </w:p>
    <w:p w14:paraId="14A3B854" w14:textId="77777777" w:rsidR="000A4156" w:rsidRPr="00B37EB5" w:rsidRDefault="000A4156" w:rsidP="00373009">
      <w:pPr>
        <w:widowControl w:val="0"/>
        <w:rPr>
          <w:rFonts w:ascii="PT Astra Serif" w:hAnsi="PT Astra Serif"/>
          <w:b/>
          <w:bCs/>
          <w:szCs w:val="28"/>
        </w:rPr>
      </w:pPr>
      <w:r w:rsidRPr="00B37EB5">
        <w:rPr>
          <w:rFonts w:ascii="PT Astra Serif" w:hAnsi="PT Astra Serif"/>
          <w:szCs w:val="28"/>
        </w:rPr>
        <w:t xml:space="preserve">Таким образом, </w:t>
      </w:r>
      <w:r w:rsidRPr="00B37EB5">
        <w:rPr>
          <w:rFonts w:ascii="PT Astra Serif" w:hAnsi="PT Astra Serif"/>
          <w:b/>
          <w:szCs w:val="28"/>
        </w:rPr>
        <w:t>общее финансовое обеспечение отрасли «Культура»</w:t>
      </w:r>
      <w:r w:rsidRPr="00B37EB5">
        <w:rPr>
          <w:rFonts w:ascii="PT Astra Serif" w:hAnsi="PT Astra Serif"/>
          <w:szCs w:val="28"/>
        </w:rPr>
        <w:t xml:space="preserve"> из всех источников средств в 2025 году составило </w:t>
      </w:r>
      <w:r w:rsidRPr="00B37EB5">
        <w:rPr>
          <w:rFonts w:ascii="PT Astra Serif" w:hAnsi="PT Astra Serif"/>
          <w:b/>
          <w:bCs/>
          <w:szCs w:val="28"/>
        </w:rPr>
        <w:t>6 250 242,5</w:t>
      </w:r>
      <w:r w:rsidRPr="00B37EB5">
        <w:rPr>
          <w:rFonts w:ascii="PT Astra Serif" w:hAnsi="PT Astra Serif"/>
          <w:szCs w:val="28"/>
        </w:rPr>
        <w:t xml:space="preserve"> тыс. рублей, что выше уровня 2024 года (5 608 592,8 тыс. рублей) на 641 649,7 тыс. рублей или 111,4%.</w:t>
      </w:r>
    </w:p>
    <w:p w14:paraId="51786DAD" w14:textId="4A44EA9C" w:rsidR="00D42060" w:rsidRPr="00253801" w:rsidRDefault="00D42060" w:rsidP="00373009">
      <w:pPr>
        <w:widowControl w:val="0"/>
        <w:rPr>
          <w:rFonts w:ascii="PT Astra Serif" w:eastAsia="Times New Roman" w:hAnsi="PT Astra Serif"/>
          <w:szCs w:val="28"/>
        </w:rPr>
      </w:pPr>
      <w:r w:rsidRPr="0066100C">
        <w:rPr>
          <w:rFonts w:ascii="PT Astra Serif" w:eastAsia="Times New Roman" w:hAnsi="PT Astra Serif"/>
          <w:b/>
          <w:szCs w:val="28"/>
        </w:rPr>
        <w:t>Результативность</w:t>
      </w:r>
      <w:r w:rsidRPr="00253801">
        <w:rPr>
          <w:rFonts w:ascii="PT Astra Serif" w:eastAsia="Times New Roman" w:hAnsi="PT Astra Serif"/>
          <w:bCs/>
          <w:szCs w:val="28"/>
        </w:rPr>
        <w:t xml:space="preserve"> деятельности</w:t>
      </w:r>
      <w:r w:rsidRPr="00253801">
        <w:rPr>
          <w:rFonts w:ascii="PT Astra Serif" w:eastAsia="Times New Roman" w:hAnsi="PT Astra Serif"/>
          <w:szCs w:val="28"/>
        </w:rPr>
        <w:t xml:space="preserve"> отрасли «Культура» характеризует достижение показателя по </w:t>
      </w:r>
      <w:r w:rsidRPr="0066100C">
        <w:rPr>
          <w:rFonts w:ascii="PT Astra Serif" w:eastAsia="Times New Roman" w:hAnsi="PT Astra Serif"/>
          <w:b/>
          <w:szCs w:val="28"/>
        </w:rPr>
        <w:t>числу посещений культурных мероприятий</w:t>
      </w:r>
      <w:r w:rsidRPr="00253801">
        <w:rPr>
          <w:rFonts w:ascii="PT Astra Serif" w:eastAsia="Times New Roman" w:hAnsi="PT Astra Serif"/>
          <w:szCs w:val="28"/>
        </w:rPr>
        <w:t xml:space="preserve">, </w:t>
      </w:r>
      <w:r>
        <w:rPr>
          <w:rFonts w:ascii="PT Astra Serif" w:eastAsia="Times New Roman" w:hAnsi="PT Astra Serif"/>
          <w:szCs w:val="28"/>
        </w:rPr>
        <w:br/>
      </w:r>
      <w:r w:rsidRPr="00253801">
        <w:rPr>
          <w:rFonts w:ascii="PT Astra Serif" w:eastAsia="Times New Roman" w:hAnsi="PT Astra Serif"/>
          <w:szCs w:val="28"/>
        </w:rPr>
        <w:t xml:space="preserve">а также в части вовлеченности в систему гармонично развитой и социально ответственной личности – показателя по </w:t>
      </w:r>
      <w:r w:rsidRPr="00253801">
        <w:rPr>
          <w:rFonts w:ascii="PT Astra Serif" w:eastAsia="Times New Roman" w:hAnsi="PT Astra Serif"/>
          <w:bCs/>
          <w:szCs w:val="28"/>
        </w:rPr>
        <w:t>эффективности системы выявления</w:t>
      </w:r>
      <w:r w:rsidRPr="00253801">
        <w:rPr>
          <w:rFonts w:ascii="PT Astra Serif" w:eastAsia="Times New Roman" w:hAnsi="PT Astra Serif"/>
          <w:szCs w:val="28"/>
        </w:rPr>
        <w:t>, поддержки и развития способностей и талантов у детей и молодежи.</w:t>
      </w:r>
    </w:p>
    <w:p w14:paraId="14147438" w14:textId="77777777" w:rsidR="00D42060" w:rsidRPr="00253801" w:rsidRDefault="00D42060" w:rsidP="00373009">
      <w:pPr>
        <w:widowControl w:val="0"/>
        <w:rPr>
          <w:rFonts w:ascii="PT Astra Serif" w:eastAsia="Times New Roman" w:hAnsi="PT Astra Serif"/>
          <w:szCs w:val="28"/>
        </w:rPr>
      </w:pPr>
      <w:r w:rsidRPr="00253801">
        <w:rPr>
          <w:rFonts w:ascii="PT Astra Serif" w:eastAsia="Times New Roman" w:hAnsi="PT Astra Serif"/>
          <w:szCs w:val="28"/>
        </w:rPr>
        <w:t>В целом в 202</w:t>
      </w:r>
      <w:r>
        <w:rPr>
          <w:rFonts w:ascii="PT Astra Serif" w:eastAsia="Times New Roman" w:hAnsi="PT Astra Serif"/>
          <w:szCs w:val="28"/>
        </w:rPr>
        <w:t>5</w:t>
      </w:r>
      <w:r w:rsidRPr="00253801">
        <w:rPr>
          <w:rFonts w:ascii="PT Astra Serif" w:eastAsia="Times New Roman" w:hAnsi="PT Astra Serif"/>
          <w:szCs w:val="28"/>
        </w:rPr>
        <w:t xml:space="preserve"> году:</w:t>
      </w:r>
    </w:p>
    <w:p w14:paraId="6FBB512C" w14:textId="3FAC1093" w:rsidR="00D42060" w:rsidRPr="00253801" w:rsidRDefault="00D42060" w:rsidP="00373009">
      <w:pPr>
        <w:widowControl w:val="0"/>
        <w:rPr>
          <w:rFonts w:ascii="PT Astra Serif" w:eastAsia="Times New Roman" w:hAnsi="PT Astra Serif"/>
          <w:szCs w:val="28"/>
        </w:rPr>
      </w:pPr>
      <w:r w:rsidRPr="00253801">
        <w:rPr>
          <w:rFonts w:ascii="PT Astra Serif" w:eastAsia="Times New Roman" w:hAnsi="PT Astra Serif"/>
          <w:bCs/>
          <w:szCs w:val="28"/>
        </w:rPr>
        <w:t xml:space="preserve">посещаемость </w:t>
      </w:r>
      <w:r w:rsidRPr="00253801">
        <w:rPr>
          <w:rFonts w:ascii="PT Astra Serif" w:eastAsia="Times New Roman" w:hAnsi="PT Astra Serif"/>
          <w:szCs w:val="28"/>
        </w:rPr>
        <w:t xml:space="preserve">учреждений культуры составила </w:t>
      </w:r>
      <w:r w:rsidRPr="0072794B">
        <w:rPr>
          <w:rFonts w:ascii="PT Astra Serif" w:eastAsia="Times New Roman" w:hAnsi="PT Astra Serif"/>
          <w:szCs w:val="28"/>
        </w:rPr>
        <w:t>18,7</w:t>
      </w:r>
      <w:r w:rsidRPr="00253801">
        <w:rPr>
          <w:rFonts w:ascii="PT Astra Serif" w:eastAsia="Times New Roman" w:hAnsi="PT Astra Serif"/>
          <w:szCs w:val="28"/>
        </w:rPr>
        <w:t xml:space="preserve"> посещений на </w:t>
      </w:r>
      <w:r>
        <w:rPr>
          <w:rFonts w:ascii="PT Astra Serif" w:eastAsia="Times New Roman" w:hAnsi="PT Astra Serif"/>
          <w:szCs w:val="28"/>
        </w:rPr>
        <w:br/>
      </w:r>
      <w:r w:rsidRPr="00253801">
        <w:rPr>
          <w:rFonts w:ascii="PT Astra Serif" w:eastAsia="Times New Roman" w:hAnsi="PT Astra Serif"/>
          <w:szCs w:val="28"/>
        </w:rPr>
        <w:lastRenderedPageBreak/>
        <w:t>1 жителя Ульяновской области (</w:t>
      </w:r>
      <w:r w:rsidRPr="0072794B">
        <w:rPr>
          <w:rFonts w:ascii="PT Astra Serif" w:eastAsia="Times New Roman" w:hAnsi="PT Astra Serif"/>
          <w:szCs w:val="28"/>
        </w:rPr>
        <w:t xml:space="preserve">в 2024 </w:t>
      </w:r>
      <w:r w:rsidR="00F20E95">
        <w:rPr>
          <w:rFonts w:ascii="PT Astra Serif" w:eastAsia="Times New Roman" w:hAnsi="PT Astra Serif"/>
          <w:szCs w:val="28"/>
        </w:rPr>
        <w:t xml:space="preserve">году </w:t>
      </w:r>
      <w:r w:rsidRPr="0072794B">
        <w:rPr>
          <w:rFonts w:ascii="PT Astra Serif" w:eastAsia="Times New Roman" w:hAnsi="PT Astra Serif"/>
          <w:szCs w:val="28"/>
        </w:rPr>
        <w:t xml:space="preserve">– 17,3, в 2023 </w:t>
      </w:r>
      <w:r w:rsidR="00F20E95">
        <w:rPr>
          <w:rFonts w:ascii="PT Astra Serif" w:eastAsia="Times New Roman" w:hAnsi="PT Astra Serif"/>
          <w:szCs w:val="28"/>
        </w:rPr>
        <w:t xml:space="preserve">году </w:t>
      </w:r>
      <w:r w:rsidRPr="0072794B">
        <w:rPr>
          <w:rFonts w:ascii="PT Astra Serif" w:eastAsia="Times New Roman" w:hAnsi="PT Astra Serif"/>
          <w:szCs w:val="28"/>
        </w:rPr>
        <w:t>– 16,5</w:t>
      </w:r>
      <w:r w:rsidRPr="00253801">
        <w:rPr>
          <w:rFonts w:ascii="PT Astra Serif" w:eastAsia="Times New Roman" w:hAnsi="PT Astra Serif"/>
          <w:szCs w:val="28"/>
        </w:rPr>
        <w:t>);</w:t>
      </w:r>
    </w:p>
    <w:p w14:paraId="0025F41B" w14:textId="1E2F0DCC" w:rsidR="00D42060" w:rsidRPr="00253801" w:rsidRDefault="00D42060" w:rsidP="00373009">
      <w:pPr>
        <w:widowControl w:val="0"/>
        <w:rPr>
          <w:rFonts w:ascii="PT Astra Serif" w:eastAsia="Times New Roman" w:hAnsi="PT Astra Serif"/>
          <w:i/>
        </w:rPr>
      </w:pPr>
      <w:r w:rsidRPr="00253801">
        <w:rPr>
          <w:rFonts w:ascii="PT Astra Serif" w:eastAsia="Times New Roman" w:hAnsi="PT Astra Serif"/>
          <w:bCs/>
        </w:rPr>
        <w:t xml:space="preserve">вовлеченность </w:t>
      </w:r>
      <w:r w:rsidRPr="00253801">
        <w:rPr>
          <w:rFonts w:ascii="PT Astra Serif" w:eastAsia="Times New Roman" w:hAnsi="PT Astra Serif"/>
        </w:rPr>
        <w:t xml:space="preserve">населения в культурную деятельность составила </w:t>
      </w:r>
      <w:r w:rsidRPr="0072794B">
        <w:rPr>
          <w:rFonts w:ascii="PT Astra Serif" w:eastAsia="Times New Roman" w:hAnsi="PT Astra Serif"/>
        </w:rPr>
        <w:t xml:space="preserve">46,1%, (в 2024 </w:t>
      </w:r>
      <w:r w:rsidR="00F20E95">
        <w:rPr>
          <w:rFonts w:ascii="PT Astra Serif" w:eastAsia="Times New Roman" w:hAnsi="PT Astra Serif"/>
        </w:rPr>
        <w:t xml:space="preserve">году </w:t>
      </w:r>
      <w:r w:rsidRPr="0072794B">
        <w:rPr>
          <w:rFonts w:ascii="PT Astra Serif" w:eastAsia="Times New Roman" w:hAnsi="PT Astra Serif"/>
        </w:rPr>
        <w:t>– 46%</w:t>
      </w:r>
      <w:r>
        <w:rPr>
          <w:rFonts w:ascii="PT Astra Serif" w:eastAsia="Times New Roman" w:hAnsi="PT Astra Serif"/>
        </w:rPr>
        <w:t xml:space="preserve">, в 2023 </w:t>
      </w:r>
      <w:r w:rsidR="00F20E95">
        <w:rPr>
          <w:rFonts w:ascii="PT Astra Serif" w:eastAsia="Times New Roman" w:hAnsi="PT Astra Serif"/>
        </w:rPr>
        <w:t xml:space="preserve">году </w:t>
      </w:r>
      <w:r>
        <w:rPr>
          <w:rFonts w:ascii="PT Astra Serif" w:eastAsia="Times New Roman" w:hAnsi="PT Astra Serif"/>
        </w:rPr>
        <w:t>– 45,6%</w:t>
      </w:r>
      <w:r w:rsidRPr="0072794B">
        <w:rPr>
          <w:rFonts w:ascii="PT Astra Serif" w:eastAsia="Times New Roman" w:hAnsi="PT Astra Serif"/>
        </w:rPr>
        <w:t>)</w:t>
      </w:r>
      <w:r>
        <w:rPr>
          <w:rFonts w:ascii="PT Astra Serif" w:eastAsia="Times New Roman" w:hAnsi="PT Astra Serif"/>
        </w:rPr>
        <w:t>.</w:t>
      </w:r>
    </w:p>
    <w:p w14:paraId="1C9E1EB9" w14:textId="5933C6BC" w:rsidR="00A16A92" w:rsidRPr="008D5740" w:rsidRDefault="00A16A92" w:rsidP="00373009">
      <w:pPr>
        <w:widowControl w:val="0"/>
        <w:rPr>
          <w:rFonts w:ascii="PT Astra Serif" w:eastAsia="Times New Roman" w:hAnsi="PT Astra Serif"/>
          <w:sz w:val="20"/>
          <w:szCs w:val="20"/>
        </w:rPr>
      </w:pPr>
    </w:p>
    <w:p w14:paraId="2C9CD68D" w14:textId="77777777" w:rsidR="00587C80" w:rsidRPr="003863D0" w:rsidRDefault="00587C80" w:rsidP="00373009">
      <w:pPr>
        <w:widowControl w:val="0"/>
        <w:ind w:firstLine="0"/>
        <w:jc w:val="center"/>
        <w:rPr>
          <w:rFonts w:ascii="PT Astra Serif" w:eastAsia="Times New Roman" w:hAnsi="PT Astra Serif"/>
          <w:b/>
          <w:sz w:val="20"/>
          <w:szCs w:val="20"/>
        </w:rPr>
      </w:pPr>
      <w:bookmarkStart w:id="21" w:name="_Hlk162971011"/>
      <w:r w:rsidRPr="003863D0">
        <w:rPr>
          <w:rFonts w:ascii="PT Astra Serif" w:eastAsia="Times New Roman" w:hAnsi="PT Astra Serif"/>
          <w:b/>
          <w:sz w:val="20"/>
          <w:szCs w:val="20"/>
        </w:rPr>
        <w:t>Посещения культурных мероприятий, тыс. чел.</w:t>
      </w:r>
    </w:p>
    <w:p w14:paraId="17DFA2D0" w14:textId="77777777" w:rsidR="00587C80" w:rsidRPr="00145706" w:rsidRDefault="00587C80" w:rsidP="00373009">
      <w:pPr>
        <w:widowControl w:val="0"/>
        <w:rPr>
          <w:rFonts w:ascii="PT Astra Serif" w:eastAsia="Times New Roman" w:hAnsi="PT Astra Serif"/>
          <w:b/>
          <w:sz w:val="20"/>
          <w:szCs w:val="20"/>
        </w:rPr>
      </w:pPr>
    </w:p>
    <w:tbl>
      <w:tblPr>
        <w:tblW w:w="9496" w:type="dxa"/>
        <w:tblInd w:w="-5" w:type="dxa"/>
        <w:tblLook w:val="04A0" w:firstRow="1" w:lastRow="0" w:firstColumn="1" w:lastColumn="0" w:noHBand="0" w:noVBand="1"/>
      </w:tblPr>
      <w:tblGrid>
        <w:gridCol w:w="3969"/>
        <w:gridCol w:w="1559"/>
        <w:gridCol w:w="1417"/>
        <w:gridCol w:w="2551"/>
      </w:tblGrid>
      <w:tr w:rsidR="00145706" w:rsidRPr="00145706" w14:paraId="63729029" w14:textId="77777777" w:rsidTr="00DB527B">
        <w:trPr>
          <w:trHeight w:val="97"/>
        </w:trPr>
        <w:tc>
          <w:tcPr>
            <w:tcW w:w="3969" w:type="dxa"/>
            <w:tcBorders>
              <w:top w:val="single" w:sz="4" w:space="0" w:color="auto"/>
              <w:left w:val="single" w:sz="4" w:space="0" w:color="auto"/>
              <w:bottom w:val="single" w:sz="4" w:space="0" w:color="auto"/>
              <w:right w:val="single" w:sz="4" w:space="0" w:color="auto"/>
            </w:tcBorders>
            <w:noWrap/>
            <w:vAlign w:val="center"/>
            <w:hideMark/>
          </w:tcPr>
          <w:p w14:paraId="680FB6C7" w14:textId="084623EB" w:rsidR="00145706" w:rsidRPr="00145706" w:rsidRDefault="00145706" w:rsidP="00373009">
            <w:pPr>
              <w:widowControl w:val="0"/>
              <w:ind w:firstLine="0"/>
              <w:jc w:val="center"/>
              <w:rPr>
                <w:rFonts w:ascii="PT Astra Serif" w:hAnsi="PT Astra Serif"/>
                <w:b/>
                <w:sz w:val="20"/>
                <w:szCs w:val="20"/>
              </w:rPr>
            </w:pPr>
            <w:r w:rsidRPr="00145706">
              <w:rPr>
                <w:rFonts w:ascii="PT Astra Serif" w:eastAsia="Times New Roman" w:hAnsi="PT Astra Serif"/>
                <w:b/>
                <w:sz w:val="22"/>
                <w:szCs w:val="20"/>
              </w:rPr>
              <w:t>Показатели</w:t>
            </w:r>
          </w:p>
        </w:tc>
        <w:tc>
          <w:tcPr>
            <w:tcW w:w="1559" w:type="dxa"/>
            <w:tcBorders>
              <w:top w:val="single" w:sz="4" w:space="0" w:color="auto"/>
              <w:left w:val="nil"/>
              <w:bottom w:val="single" w:sz="4" w:space="0" w:color="auto"/>
              <w:right w:val="single" w:sz="4" w:space="0" w:color="auto"/>
            </w:tcBorders>
            <w:vAlign w:val="center"/>
          </w:tcPr>
          <w:p w14:paraId="3DE3E27C" w14:textId="52A4EB6B" w:rsidR="00145706" w:rsidRPr="00145706" w:rsidRDefault="00145706" w:rsidP="00F20E95">
            <w:pPr>
              <w:widowControl w:val="0"/>
              <w:ind w:firstLine="0"/>
              <w:jc w:val="center"/>
              <w:rPr>
                <w:rFonts w:ascii="PT Astra Serif" w:hAnsi="PT Astra Serif"/>
                <w:b/>
                <w:sz w:val="20"/>
                <w:szCs w:val="20"/>
              </w:rPr>
            </w:pPr>
            <w:r w:rsidRPr="00145706">
              <w:rPr>
                <w:rFonts w:ascii="PT Astra Serif" w:hAnsi="PT Astra Serif"/>
                <w:b/>
                <w:sz w:val="20"/>
                <w:szCs w:val="20"/>
              </w:rPr>
              <w:t>2023 г (базовый период)</w:t>
            </w:r>
          </w:p>
        </w:tc>
        <w:tc>
          <w:tcPr>
            <w:tcW w:w="1417" w:type="dxa"/>
            <w:tcBorders>
              <w:top w:val="single" w:sz="4" w:space="0" w:color="auto"/>
              <w:left w:val="single" w:sz="4" w:space="0" w:color="auto"/>
              <w:bottom w:val="single" w:sz="4" w:space="0" w:color="auto"/>
              <w:right w:val="single" w:sz="4" w:space="0" w:color="auto"/>
            </w:tcBorders>
            <w:vAlign w:val="center"/>
          </w:tcPr>
          <w:p w14:paraId="6A7481FD" w14:textId="41360C69" w:rsidR="00145706" w:rsidRPr="00145706" w:rsidRDefault="00145706" w:rsidP="00F20E95">
            <w:pPr>
              <w:widowControl w:val="0"/>
              <w:ind w:firstLine="0"/>
              <w:jc w:val="center"/>
              <w:rPr>
                <w:rFonts w:ascii="PT Astra Serif" w:hAnsi="PT Astra Serif"/>
                <w:b/>
                <w:sz w:val="20"/>
                <w:szCs w:val="20"/>
              </w:rPr>
            </w:pPr>
            <w:r w:rsidRPr="00145706">
              <w:rPr>
                <w:rFonts w:ascii="PT Astra Serif" w:hAnsi="PT Astra Serif"/>
                <w:b/>
                <w:sz w:val="20"/>
                <w:szCs w:val="20"/>
              </w:rPr>
              <w:t xml:space="preserve">2025 г </w:t>
            </w:r>
            <w:r w:rsidR="00F20E95">
              <w:rPr>
                <w:rFonts w:ascii="PT Astra Serif" w:hAnsi="PT Astra Serif"/>
                <w:b/>
                <w:sz w:val="20"/>
                <w:szCs w:val="20"/>
              </w:rPr>
              <w:br/>
            </w:r>
            <w:r w:rsidRPr="00145706">
              <w:rPr>
                <w:rFonts w:ascii="PT Astra Serif" w:hAnsi="PT Astra Serif"/>
                <w:b/>
                <w:sz w:val="20"/>
                <w:szCs w:val="20"/>
              </w:rPr>
              <w:t>(факт)</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2ABCA0A" w14:textId="4797EA4A" w:rsidR="00145706" w:rsidRPr="00145706" w:rsidRDefault="00145706" w:rsidP="00F20E95">
            <w:pPr>
              <w:widowControl w:val="0"/>
              <w:ind w:firstLine="0"/>
              <w:jc w:val="center"/>
              <w:rPr>
                <w:rFonts w:ascii="PT Astra Serif" w:hAnsi="PT Astra Serif"/>
                <w:b/>
                <w:sz w:val="20"/>
                <w:szCs w:val="20"/>
              </w:rPr>
            </w:pPr>
            <w:r w:rsidRPr="00145706">
              <w:rPr>
                <w:rFonts w:ascii="PT Astra Serif" w:hAnsi="PT Astra Serif"/>
                <w:b/>
                <w:sz w:val="20"/>
                <w:szCs w:val="20"/>
              </w:rPr>
              <w:t>Достижение показателя от уровня 2023 г</w:t>
            </w:r>
            <w:r w:rsidR="00F20E95">
              <w:rPr>
                <w:rFonts w:ascii="PT Astra Serif" w:hAnsi="PT Astra Serif"/>
                <w:b/>
                <w:sz w:val="20"/>
                <w:szCs w:val="20"/>
              </w:rPr>
              <w:t>.</w:t>
            </w:r>
            <w:r w:rsidRPr="00145706">
              <w:rPr>
                <w:rFonts w:ascii="PT Astra Serif" w:hAnsi="PT Astra Serif"/>
                <w:b/>
                <w:sz w:val="20"/>
                <w:szCs w:val="20"/>
              </w:rPr>
              <w:t>, %</w:t>
            </w:r>
          </w:p>
        </w:tc>
      </w:tr>
      <w:tr w:rsidR="00145706" w:rsidRPr="00145706" w14:paraId="5E9B501A" w14:textId="77777777" w:rsidTr="00DB527B">
        <w:trPr>
          <w:trHeight w:val="87"/>
        </w:trPr>
        <w:tc>
          <w:tcPr>
            <w:tcW w:w="3969" w:type="dxa"/>
            <w:tcBorders>
              <w:top w:val="nil"/>
              <w:left w:val="single" w:sz="4" w:space="0" w:color="auto"/>
              <w:bottom w:val="single" w:sz="4" w:space="0" w:color="auto"/>
              <w:right w:val="single" w:sz="4" w:space="0" w:color="auto"/>
            </w:tcBorders>
            <w:noWrap/>
            <w:vAlign w:val="center"/>
            <w:hideMark/>
          </w:tcPr>
          <w:p w14:paraId="3D116D61"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 xml:space="preserve">Театры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w:t>
            </w:r>
          </w:p>
        </w:tc>
        <w:tc>
          <w:tcPr>
            <w:tcW w:w="1559" w:type="dxa"/>
            <w:tcBorders>
              <w:top w:val="single" w:sz="4" w:space="0" w:color="auto"/>
              <w:left w:val="nil"/>
              <w:bottom w:val="single" w:sz="4" w:space="0" w:color="auto"/>
              <w:right w:val="single" w:sz="4" w:space="0" w:color="auto"/>
            </w:tcBorders>
            <w:vAlign w:val="center"/>
          </w:tcPr>
          <w:p w14:paraId="609DFF13"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226,8</w:t>
            </w:r>
          </w:p>
        </w:tc>
        <w:tc>
          <w:tcPr>
            <w:tcW w:w="1417" w:type="dxa"/>
            <w:tcBorders>
              <w:top w:val="single" w:sz="4" w:space="0" w:color="auto"/>
              <w:left w:val="single" w:sz="4" w:space="0" w:color="auto"/>
              <w:bottom w:val="single" w:sz="4" w:space="0" w:color="auto"/>
              <w:right w:val="single" w:sz="4" w:space="0" w:color="auto"/>
            </w:tcBorders>
            <w:vAlign w:val="center"/>
          </w:tcPr>
          <w:p w14:paraId="284F57C4"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268,1</w:t>
            </w:r>
          </w:p>
        </w:tc>
        <w:tc>
          <w:tcPr>
            <w:tcW w:w="2551" w:type="dxa"/>
            <w:tcBorders>
              <w:top w:val="single" w:sz="4" w:space="0" w:color="auto"/>
              <w:left w:val="single" w:sz="4" w:space="0" w:color="auto"/>
              <w:bottom w:val="single" w:sz="4" w:space="0" w:color="auto"/>
              <w:right w:val="single" w:sz="4" w:space="0" w:color="auto"/>
            </w:tcBorders>
            <w:noWrap/>
            <w:vAlign w:val="center"/>
          </w:tcPr>
          <w:p w14:paraId="06E6C835"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118,2%</w:t>
            </w:r>
          </w:p>
        </w:tc>
      </w:tr>
      <w:tr w:rsidR="00145706" w:rsidRPr="00145706" w14:paraId="5B8F14EA" w14:textId="77777777" w:rsidTr="00F20E95">
        <w:trPr>
          <w:trHeight w:val="281"/>
        </w:trPr>
        <w:tc>
          <w:tcPr>
            <w:tcW w:w="3969" w:type="dxa"/>
            <w:tcBorders>
              <w:top w:val="nil"/>
              <w:left w:val="single" w:sz="4" w:space="0" w:color="auto"/>
              <w:bottom w:val="single" w:sz="4" w:space="0" w:color="auto"/>
              <w:right w:val="single" w:sz="4" w:space="0" w:color="auto"/>
            </w:tcBorders>
            <w:vAlign w:val="center"/>
            <w:hideMark/>
          </w:tcPr>
          <w:p w14:paraId="075CCDCA"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 xml:space="preserve">Концертные организации*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w:t>
            </w:r>
            <w:r w:rsidRPr="00145706">
              <w:rPr>
                <w:rFonts w:ascii="PT Astra Serif" w:hAnsi="PT Astra Serif"/>
                <w:sz w:val="20"/>
                <w:szCs w:val="20"/>
              </w:rPr>
              <w:t xml:space="preserve"> </w:t>
            </w:r>
          </w:p>
        </w:tc>
        <w:tc>
          <w:tcPr>
            <w:tcW w:w="1559" w:type="dxa"/>
            <w:tcBorders>
              <w:top w:val="single" w:sz="4" w:space="0" w:color="auto"/>
              <w:left w:val="nil"/>
              <w:bottom w:val="single" w:sz="4" w:space="0" w:color="auto"/>
              <w:right w:val="single" w:sz="4" w:space="0" w:color="auto"/>
            </w:tcBorders>
            <w:vAlign w:val="center"/>
          </w:tcPr>
          <w:p w14:paraId="0E4F77C8"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175,8</w:t>
            </w:r>
          </w:p>
        </w:tc>
        <w:tc>
          <w:tcPr>
            <w:tcW w:w="1417" w:type="dxa"/>
            <w:tcBorders>
              <w:top w:val="single" w:sz="4" w:space="0" w:color="auto"/>
              <w:left w:val="single" w:sz="4" w:space="0" w:color="auto"/>
              <w:bottom w:val="single" w:sz="4" w:space="0" w:color="auto"/>
              <w:right w:val="single" w:sz="4" w:space="0" w:color="auto"/>
            </w:tcBorders>
            <w:vAlign w:val="center"/>
          </w:tcPr>
          <w:p w14:paraId="19B2EC61"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196,5</w:t>
            </w:r>
          </w:p>
        </w:tc>
        <w:tc>
          <w:tcPr>
            <w:tcW w:w="2551" w:type="dxa"/>
            <w:tcBorders>
              <w:top w:val="single" w:sz="4" w:space="0" w:color="auto"/>
              <w:left w:val="single" w:sz="4" w:space="0" w:color="auto"/>
              <w:bottom w:val="single" w:sz="4" w:space="0" w:color="auto"/>
              <w:right w:val="single" w:sz="4" w:space="0" w:color="auto"/>
            </w:tcBorders>
            <w:noWrap/>
            <w:vAlign w:val="center"/>
          </w:tcPr>
          <w:p w14:paraId="00230BFA"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111,8%</w:t>
            </w:r>
          </w:p>
        </w:tc>
      </w:tr>
      <w:tr w:rsidR="00145706" w:rsidRPr="00145706" w14:paraId="2D7610BF" w14:textId="77777777" w:rsidTr="00DB527B">
        <w:trPr>
          <w:trHeight w:val="70"/>
        </w:trPr>
        <w:tc>
          <w:tcPr>
            <w:tcW w:w="3969" w:type="dxa"/>
            <w:tcBorders>
              <w:top w:val="nil"/>
              <w:left w:val="single" w:sz="4" w:space="0" w:color="auto"/>
              <w:bottom w:val="single" w:sz="4" w:space="0" w:color="auto"/>
              <w:right w:val="single" w:sz="4" w:space="0" w:color="auto"/>
            </w:tcBorders>
            <w:vAlign w:val="center"/>
          </w:tcPr>
          <w:p w14:paraId="1B223D76" w14:textId="77777777" w:rsidR="00145706" w:rsidRPr="00145706" w:rsidRDefault="00145706" w:rsidP="00373009">
            <w:pPr>
              <w:widowControl w:val="0"/>
              <w:ind w:firstLine="0"/>
              <w:rPr>
                <w:rFonts w:ascii="PT Astra Serif" w:hAnsi="PT Astra Serif"/>
                <w:sz w:val="20"/>
                <w:szCs w:val="20"/>
                <w:vertAlign w:val="superscript"/>
              </w:rPr>
            </w:pPr>
            <w:r w:rsidRPr="00145706">
              <w:rPr>
                <w:rFonts w:ascii="PT Astra Serif" w:hAnsi="PT Astra Serif"/>
                <w:sz w:val="20"/>
                <w:szCs w:val="20"/>
              </w:rPr>
              <w:t xml:space="preserve">Музеи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w:t>
            </w:r>
          </w:p>
        </w:tc>
        <w:tc>
          <w:tcPr>
            <w:tcW w:w="1559" w:type="dxa"/>
            <w:tcBorders>
              <w:top w:val="single" w:sz="4" w:space="0" w:color="auto"/>
              <w:left w:val="nil"/>
              <w:bottom w:val="single" w:sz="4" w:space="0" w:color="auto"/>
              <w:right w:val="single" w:sz="4" w:space="0" w:color="auto"/>
            </w:tcBorders>
            <w:vAlign w:val="center"/>
          </w:tcPr>
          <w:p w14:paraId="0B9CA1AD"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898,8</w:t>
            </w:r>
          </w:p>
        </w:tc>
        <w:tc>
          <w:tcPr>
            <w:tcW w:w="1417" w:type="dxa"/>
            <w:tcBorders>
              <w:top w:val="single" w:sz="4" w:space="0" w:color="auto"/>
              <w:left w:val="single" w:sz="4" w:space="0" w:color="auto"/>
              <w:bottom w:val="single" w:sz="4" w:space="0" w:color="auto"/>
              <w:right w:val="single" w:sz="4" w:space="0" w:color="auto"/>
            </w:tcBorders>
            <w:vAlign w:val="center"/>
          </w:tcPr>
          <w:p w14:paraId="12F31A1B"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1004,9</w:t>
            </w:r>
          </w:p>
        </w:tc>
        <w:tc>
          <w:tcPr>
            <w:tcW w:w="2551" w:type="dxa"/>
            <w:tcBorders>
              <w:top w:val="single" w:sz="4" w:space="0" w:color="auto"/>
              <w:left w:val="single" w:sz="4" w:space="0" w:color="auto"/>
              <w:bottom w:val="single" w:sz="4" w:space="0" w:color="auto"/>
              <w:right w:val="single" w:sz="4" w:space="0" w:color="auto"/>
            </w:tcBorders>
            <w:noWrap/>
            <w:vAlign w:val="center"/>
          </w:tcPr>
          <w:p w14:paraId="133D3063"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111,8%</w:t>
            </w:r>
          </w:p>
        </w:tc>
      </w:tr>
      <w:tr w:rsidR="00145706" w:rsidRPr="00145706" w14:paraId="46CC2685" w14:textId="77777777" w:rsidTr="00DB527B">
        <w:trPr>
          <w:trHeight w:val="199"/>
        </w:trPr>
        <w:tc>
          <w:tcPr>
            <w:tcW w:w="3969" w:type="dxa"/>
            <w:tcBorders>
              <w:top w:val="nil"/>
              <w:left w:val="single" w:sz="4" w:space="0" w:color="auto"/>
              <w:bottom w:val="single" w:sz="4" w:space="0" w:color="auto"/>
              <w:right w:val="single" w:sz="4" w:space="0" w:color="auto"/>
            </w:tcBorders>
            <w:vAlign w:val="center"/>
          </w:tcPr>
          <w:p w14:paraId="256D2D81"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 xml:space="preserve">Библиотеки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w:t>
            </w:r>
          </w:p>
        </w:tc>
        <w:tc>
          <w:tcPr>
            <w:tcW w:w="1559" w:type="dxa"/>
            <w:tcBorders>
              <w:top w:val="single" w:sz="4" w:space="0" w:color="auto"/>
              <w:left w:val="nil"/>
              <w:bottom w:val="single" w:sz="4" w:space="0" w:color="auto"/>
              <w:right w:val="single" w:sz="4" w:space="0" w:color="auto"/>
            </w:tcBorders>
            <w:vAlign w:val="center"/>
          </w:tcPr>
          <w:p w14:paraId="68777797"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5999,1</w:t>
            </w:r>
          </w:p>
        </w:tc>
        <w:tc>
          <w:tcPr>
            <w:tcW w:w="1417" w:type="dxa"/>
            <w:tcBorders>
              <w:top w:val="single" w:sz="4" w:space="0" w:color="auto"/>
              <w:left w:val="single" w:sz="4" w:space="0" w:color="auto"/>
              <w:bottom w:val="single" w:sz="4" w:space="0" w:color="auto"/>
              <w:right w:val="single" w:sz="4" w:space="0" w:color="auto"/>
            </w:tcBorders>
            <w:vAlign w:val="center"/>
          </w:tcPr>
          <w:p w14:paraId="4A33D1DE"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7371,4</w:t>
            </w:r>
          </w:p>
        </w:tc>
        <w:tc>
          <w:tcPr>
            <w:tcW w:w="2551" w:type="dxa"/>
            <w:tcBorders>
              <w:top w:val="single" w:sz="4" w:space="0" w:color="auto"/>
              <w:left w:val="single" w:sz="4" w:space="0" w:color="auto"/>
              <w:bottom w:val="single" w:sz="4" w:space="0" w:color="auto"/>
              <w:right w:val="single" w:sz="4" w:space="0" w:color="auto"/>
            </w:tcBorders>
            <w:noWrap/>
            <w:vAlign w:val="center"/>
          </w:tcPr>
          <w:p w14:paraId="41070EB6"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122,9%</w:t>
            </w:r>
          </w:p>
        </w:tc>
      </w:tr>
      <w:tr w:rsidR="00145706" w:rsidRPr="00145706" w14:paraId="7F4BBDD5" w14:textId="77777777" w:rsidTr="00DB527B">
        <w:trPr>
          <w:trHeight w:val="203"/>
        </w:trPr>
        <w:tc>
          <w:tcPr>
            <w:tcW w:w="3969" w:type="dxa"/>
            <w:tcBorders>
              <w:top w:val="nil"/>
              <w:left w:val="single" w:sz="4" w:space="0" w:color="auto"/>
              <w:bottom w:val="single" w:sz="4" w:space="0" w:color="auto"/>
              <w:right w:val="single" w:sz="4" w:space="0" w:color="auto"/>
            </w:tcBorders>
            <w:vAlign w:val="center"/>
          </w:tcPr>
          <w:p w14:paraId="20EEA452"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 xml:space="preserve">КДУ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w:t>
            </w:r>
          </w:p>
        </w:tc>
        <w:tc>
          <w:tcPr>
            <w:tcW w:w="1559" w:type="dxa"/>
            <w:tcBorders>
              <w:top w:val="single" w:sz="4" w:space="0" w:color="auto"/>
              <w:left w:val="nil"/>
              <w:bottom w:val="single" w:sz="4" w:space="0" w:color="auto"/>
              <w:right w:val="single" w:sz="4" w:space="0" w:color="auto"/>
            </w:tcBorders>
            <w:vAlign w:val="center"/>
          </w:tcPr>
          <w:p w14:paraId="7E2295C2"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5536,2</w:t>
            </w:r>
          </w:p>
        </w:tc>
        <w:tc>
          <w:tcPr>
            <w:tcW w:w="1417" w:type="dxa"/>
            <w:tcBorders>
              <w:top w:val="single" w:sz="4" w:space="0" w:color="auto"/>
              <w:left w:val="single" w:sz="4" w:space="0" w:color="auto"/>
              <w:bottom w:val="single" w:sz="4" w:space="0" w:color="auto"/>
              <w:right w:val="single" w:sz="4" w:space="0" w:color="auto"/>
            </w:tcBorders>
            <w:vAlign w:val="center"/>
          </w:tcPr>
          <w:p w14:paraId="0FD8279E"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6472,9</w:t>
            </w:r>
          </w:p>
        </w:tc>
        <w:tc>
          <w:tcPr>
            <w:tcW w:w="2551" w:type="dxa"/>
            <w:tcBorders>
              <w:top w:val="single" w:sz="4" w:space="0" w:color="auto"/>
              <w:left w:val="single" w:sz="4" w:space="0" w:color="auto"/>
              <w:bottom w:val="single" w:sz="4" w:space="0" w:color="auto"/>
              <w:right w:val="single" w:sz="4" w:space="0" w:color="auto"/>
            </w:tcBorders>
            <w:noWrap/>
            <w:vAlign w:val="center"/>
          </w:tcPr>
          <w:p w14:paraId="7274A0DA"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116,9%</w:t>
            </w:r>
          </w:p>
        </w:tc>
      </w:tr>
      <w:tr w:rsidR="00145706" w:rsidRPr="00145706" w14:paraId="657ADB62" w14:textId="77777777" w:rsidTr="00DB527B">
        <w:trPr>
          <w:trHeight w:val="193"/>
        </w:trPr>
        <w:tc>
          <w:tcPr>
            <w:tcW w:w="3969" w:type="dxa"/>
            <w:tcBorders>
              <w:top w:val="nil"/>
              <w:left w:val="single" w:sz="4" w:space="0" w:color="auto"/>
              <w:bottom w:val="single" w:sz="4" w:space="0" w:color="auto"/>
              <w:right w:val="single" w:sz="4" w:space="0" w:color="auto"/>
            </w:tcBorders>
            <w:noWrap/>
            <w:vAlign w:val="center"/>
            <w:hideMark/>
          </w:tcPr>
          <w:p w14:paraId="17BE914A"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 xml:space="preserve">Кинопоказ </w:t>
            </w:r>
            <w:r w:rsidRPr="00145706">
              <w:rPr>
                <w:rFonts w:ascii="PT Astra Serif" w:hAnsi="PT Astra Serif"/>
                <w:i/>
                <w:iCs/>
                <w:sz w:val="20"/>
                <w:szCs w:val="20"/>
              </w:rPr>
              <w:t>(</w:t>
            </w:r>
            <w:proofErr w:type="spellStart"/>
            <w:r w:rsidRPr="00145706">
              <w:rPr>
                <w:rFonts w:ascii="PT Astra Serif" w:hAnsi="PT Astra Serif"/>
                <w:i/>
                <w:iCs/>
                <w:sz w:val="20"/>
                <w:szCs w:val="20"/>
              </w:rPr>
              <w:t>оффлайн</w:t>
            </w:r>
            <w:proofErr w:type="spellEnd"/>
            <w:r w:rsidRPr="00145706">
              <w:rPr>
                <w:rFonts w:ascii="PT Astra Serif" w:hAnsi="PT Astra Serif"/>
                <w:i/>
                <w:iCs/>
                <w:sz w:val="20"/>
                <w:szCs w:val="20"/>
              </w:rPr>
              <w:t>) (данные Фонда Кино)</w:t>
            </w:r>
          </w:p>
        </w:tc>
        <w:tc>
          <w:tcPr>
            <w:tcW w:w="1559" w:type="dxa"/>
            <w:tcBorders>
              <w:top w:val="single" w:sz="4" w:space="0" w:color="auto"/>
              <w:left w:val="nil"/>
              <w:bottom w:val="single" w:sz="4" w:space="0" w:color="auto"/>
              <w:right w:val="single" w:sz="4" w:space="0" w:color="auto"/>
            </w:tcBorders>
            <w:vAlign w:val="center"/>
          </w:tcPr>
          <w:p w14:paraId="04D86F92"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774,4</w:t>
            </w:r>
          </w:p>
        </w:tc>
        <w:tc>
          <w:tcPr>
            <w:tcW w:w="1417" w:type="dxa"/>
            <w:tcBorders>
              <w:top w:val="single" w:sz="4" w:space="0" w:color="auto"/>
              <w:left w:val="single" w:sz="4" w:space="0" w:color="auto"/>
              <w:bottom w:val="single" w:sz="4" w:space="0" w:color="auto"/>
              <w:right w:val="single" w:sz="4" w:space="0" w:color="auto"/>
            </w:tcBorders>
            <w:vAlign w:val="center"/>
          </w:tcPr>
          <w:p w14:paraId="7E3CE38A"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679,7</w:t>
            </w:r>
          </w:p>
        </w:tc>
        <w:tc>
          <w:tcPr>
            <w:tcW w:w="2551" w:type="dxa"/>
            <w:tcBorders>
              <w:top w:val="single" w:sz="4" w:space="0" w:color="auto"/>
              <w:left w:val="single" w:sz="4" w:space="0" w:color="auto"/>
              <w:bottom w:val="single" w:sz="4" w:space="0" w:color="auto"/>
              <w:right w:val="single" w:sz="4" w:space="0" w:color="auto"/>
            </w:tcBorders>
            <w:noWrap/>
            <w:vAlign w:val="center"/>
          </w:tcPr>
          <w:p w14:paraId="00F22B7C"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87,8%</w:t>
            </w:r>
          </w:p>
        </w:tc>
      </w:tr>
      <w:tr w:rsidR="00145706" w:rsidRPr="00145706" w14:paraId="1D244C3E" w14:textId="77777777" w:rsidTr="00DB527B">
        <w:trPr>
          <w:trHeight w:val="193"/>
        </w:trPr>
        <w:tc>
          <w:tcPr>
            <w:tcW w:w="3969" w:type="dxa"/>
            <w:tcBorders>
              <w:top w:val="nil"/>
              <w:left w:val="single" w:sz="4" w:space="0" w:color="auto"/>
              <w:bottom w:val="single" w:sz="4" w:space="0" w:color="auto"/>
              <w:right w:val="single" w:sz="4" w:space="0" w:color="auto"/>
            </w:tcBorders>
            <w:noWrap/>
            <w:vAlign w:val="center"/>
          </w:tcPr>
          <w:p w14:paraId="353F264E" w14:textId="77777777" w:rsidR="00145706" w:rsidRPr="00145706" w:rsidRDefault="00145706" w:rsidP="00373009">
            <w:pPr>
              <w:widowControl w:val="0"/>
              <w:ind w:firstLine="0"/>
              <w:rPr>
                <w:rFonts w:ascii="PT Astra Serif" w:hAnsi="PT Astra Serif"/>
                <w:sz w:val="20"/>
                <w:szCs w:val="20"/>
              </w:rPr>
            </w:pPr>
            <w:r w:rsidRPr="00145706">
              <w:rPr>
                <w:rFonts w:ascii="PT Astra Serif" w:hAnsi="PT Astra Serif"/>
                <w:sz w:val="20"/>
                <w:szCs w:val="20"/>
              </w:rPr>
              <w:t>Парки (</w:t>
            </w:r>
            <w:proofErr w:type="spellStart"/>
            <w:r w:rsidRPr="00145706">
              <w:rPr>
                <w:rFonts w:ascii="PT Astra Serif" w:hAnsi="PT Astra Serif"/>
                <w:sz w:val="20"/>
                <w:szCs w:val="20"/>
              </w:rPr>
              <w:t>оффлайн</w:t>
            </w:r>
            <w:proofErr w:type="spellEnd"/>
            <w:r w:rsidRPr="00145706">
              <w:rPr>
                <w:rFonts w:ascii="PT Astra Serif" w:hAnsi="PT Astra Serif"/>
                <w:sz w:val="20"/>
                <w:szCs w:val="20"/>
              </w:rPr>
              <w:t>)</w:t>
            </w:r>
          </w:p>
        </w:tc>
        <w:tc>
          <w:tcPr>
            <w:tcW w:w="1559" w:type="dxa"/>
            <w:tcBorders>
              <w:top w:val="single" w:sz="4" w:space="0" w:color="auto"/>
              <w:left w:val="nil"/>
              <w:bottom w:val="single" w:sz="4" w:space="0" w:color="auto"/>
              <w:right w:val="single" w:sz="4" w:space="0" w:color="auto"/>
            </w:tcBorders>
            <w:vAlign w:val="center"/>
          </w:tcPr>
          <w:p w14:paraId="52AD4C43"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1044,3</w:t>
            </w:r>
          </w:p>
        </w:tc>
        <w:tc>
          <w:tcPr>
            <w:tcW w:w="1417" w:type="dxa"/>
            <w:tcBorders>
              <w:top w:val="single" w:sz="4" w:space="0" w:color="auto"/>
              <w:left w:val="single" w:sz="4" w:space="0" w:color="auto"/>
              <w:bottom w:val="single" w:sz="4" w:space="0" w:color="auto"/>
              <w:right w:val="single" w:sz="4" w:space="0" w:color="auto"/>
            </w:tcBorders>
            <w:vAlign w:val="center"/>
          </w:tcPr>
          <w:p w14:paraId="5D537C95"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553,0</w:t>
            </w:r>
          </w:p>
        </w:tc>
        <w:tc>
          <w:tcPr>
            <w:tcW w:w="2551" w:type="dxa"/>
            <w:tcBorders>
              <w:top w:val="single" w:sz="4" w:space="0" w:color="auto"/>
              <w:left w:val="single" w:sz="4" w:space="0" w:color="auto"/>
              <w:bottom w:val="single" w:sz="4" w:space="0" w:color="auto"/>
              <w:right w:val="single" w:sz="4" w:space="0" w:color="auto"/>
            </w:tcBorders>
            <w:noWrap/>
            <w:vAlign w:val="center"/>
          </w:tcPr>
          <w:p w14:paraId="66DF3C97"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53,0%</w:t>
            </w:r>
          </w:p>
        </w:tc>
      </w:tr>
      <w:tr w:rsidR="00145706" w:rsidRPr="00145706" w14:paraId="286776DF" w14:textId="77777777" w:rsidTr="00DB527B">
        <w:trPr>
          <w:trHeight w:val="254"/>
        </w:trPr>
        <w:tc>
          <w:tcPr>
            <w:tcW w:w="3969" w:type="dxa"/>
            <w:tcBorders>
              <w:top w:val="single" w:sz="4" w:space="0" w:color="auto"/>
              <w:left w:val="single" w:sz="4" w:space="0" w:color="auto"/>
              <w:bottom w:val="single" w:sz="4" w:space="0" w:color="auto"/>
              <w:right w:val="single" w:sz="4" w:space="0" w:color="auto"/>
            </w:tcBorders>
            <w:noWrap/>
            <w:vAlign w:val="center"/>
          </w:tcPr>
          <w:p w14:paraId="148DA2C5" w14:textId="77777777" w:rsidR="00145706" w:rsidRPr="00145706" w:rsidRDefault="00145706" w:rsidP="00373009">
            <w:pPr>
              <w:widowControl w:val="0"/>
              <w:ind w:firstLine="0"/>
              <w:rPr>
                <w:rFonts w:ascii="PT Astra Serif" w:hAnsi="PT Astra Serif"/>
                <w:i/>
                <w:iCs/>
                <w:sz w:val="20"/>
                <w:szCs w:val="20"/>
              </w:rPr>
            </w:pPr>
            <w:r w:rsidRPr="00145706">
              <w:rPr>
                <w:rFonts w:ascii="PT Astra Serif" w:hAnsi="PT Astra Serif"/>
                <w:sz w:val="20"/>
                <w:szCs w:val="20"/>
              </w:rPr>
              <w:t xml:space="preserve">Обращения к цифровым ресурсам </w:t>
            </w:r>
            <w:r w:rsidRPr="00145706">
              <w:rPr>
                <w:rFonts w:ascii="PT Astra Serif" w:hAnsi="PT Astra Serif"/>
                <w:i/>
                <w:iCs/>
                <w:sz w:val="20"/>
                <w:szCs w:val="20"/>
              </w:rPr>
              <w:t xml:space="preserve">(данные </w:t>
            </w:r>
            <w:proofErr w:type="spellStart"/>
            <w:r w:rsidRPr="00145706">
              <w:rPr>
                <w:rFonts w:ascii="PT Astra Serif" w:hAnsi="PT Astra Serif"/>
                <w:i/>
                <w:iCs/>
                <w:sz w:val="20"/>
                <w:szCs w:val="20"/>
              </w:rPr>
              <w:t>PRO.Культура.РФ</w:t>
            </w:r>
            <w:proofErr w:type="spellEnd"/>
            <w:r w:rsidRPr="00145706">
              <w:rPr>
                <w:rFonts w:ascii="PT Astra Serif" w:hAnsi="PT Astra Serif"/>
                <w:i/>
                <w:iCs/>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18AA148B"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4891,5</w:t>
            </w:r>
          </w:p>
        </w:tc>
        <w:tc>
          <w:tcPr>
            <w:tcW w:w="1417" w:type="dxa"/>
            <w:tcBorders>
              <w:top w:val="single" w:sz="4" w:space="0" w:color="auto"/>
              <w:left w:val="single" w:sz="4" w:space="0" w:color="auto"/>
              <w:bottom w:val="single" w:sz="4" w:space="0" w:color="auto"/>
              <w:right w:val="single" w:sz="4" w:space="0" w:color="auto"/>
            </w:tcBorders>
            <w:vAlign w:val="center"/>
          </w:tcPr>
          <w:p w14:paraId="4FE2DC15"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5381,0</w:t>
            </w:r>
          </w:p>
        </w:tc>
        <w:tc>
          <w:tcPr>
            <w:tcW w:w="2551" w:type="dxa"/>
            <w:tcBorders>
              <w:top w:val="single" w:sz="4" w:space="0" w:color="auto"/>
              <w:left w:val="single" w:sz="4" w:space="0" w:color="auto"/>
              <w:bottom w:val="single" w:sz="4" w:space="0" w:color="auto"/>
              <w:right w:val="single" w:sz="4" w:space="0" w:color="auto"/>
            </w:tcBorders>
            <w:noWrap/>
            <w:vAlign w:val="center"/>
          </w:tcPr>
          <w:p w14:paraId="4D21E553" w14:textId="77777777" w:rsidR="00145706" w:rsidRPr="00145706" w:rsidRDefault="00145706" w:rsidP="00373009">
            <w:pPr>
              <w:widowControl w:val="0"/>
              <w:ind w:firstLine="0"/>
              <w:jc w:val="center"/>
              <w:rPr>
                <w:rFonts w:ascii="PT Astra Serif" w:hAnsi="PT Astra Serif"/>
                <w:sz w:val="20"/>
                <w:szCs w:val="20"/>
              </w:rPr>
            </w:pPr>
            <w:r w:rsidRPr="00145706">
              <w:rPr>
                <w:rFonts w:ascii="PT Astra Serif" w:hAnsi="PT Astra Serif"/>
                <w:sz w:val="20"/>
                <w:szCs w:val="20"/>
              </w:rPr>
              <w:t>110%</w:t>
            </w:r>
          </w:p>
        </w:tc>
      </w:tr>
      <w:tr w:rsidR="00145706" w:rsidRPr="00145706" w14:paraId="4C29DA2B" w14:textId="77777777" w:rsidTr="00DB527B">
        <w:trPr>
          <w:trHeight w:val="70"/>
        </w:trPr>
        <w:tc>
          <w:tcPr>
            <w:tcW w:w="3969" w:type="dxa"/>
            <w:tcBorders>
              <w:top w:val="single" w:sz="4" w:space="0" w:color="auto"/>
              <w:left w:val="single" w:sz="4" w:space="0" w:color="auto"/>
              <w:bottom w:val="single" w:sz="4" w:space="0" w:color="auto"/>
              <w:right w:val="single" w:sz="4" w:space="0" w:color="auto"/>
            </w:tcBorders>
            <w:noWrap/>
            <w:vAlign w:val="center"/>
            <w:hideMark/>
          </w:tcPr>
          <w:p w14:paraId="24481B0F" w14:textId="77777777" w:rsidR="00145706" w:rsidRPr="00145706" w:rsidRDefault="00145706" w:rsidP="00373009">
            <w:pPr>
              <w:widowControl w:val="0"/>
              <w:ind w:firstLine="0"/>
              <w:rPr>
                <w:rFonts w:ascii="PT Astra Serif" w:hAnsi="PT Astra Serif"/>
                <w:b/>
                <w:bCs/>
                <w:sz w:val="20"/>
                <w:szCs w:val="20"/>
              </w:rPr>
            </w:pPr>
            <w:r w:rsidRPr="00145706">
              <w:rPr>
                <w:rFonts w:ascii="PT Astra Serif" w:hAnsi="PT Astra Serif"/>
                <w:b/>
                <w:bCs/>
                <w:sz w:val="20"/>
                <w:szCs w:val="20"/>
              </w:rPr>
              <w:t>ИТОГО:</w:t>
            </w:r>
          </w:p>
        </w:tc>
        <w:tc>
          <w:tcPr>
            <w:tcW w:w="1559" w:type="dxa"/>
            <w:tcBorders>
              <w:top w:val="single" w:sz="4" w:space="0" w:color="auto"/>
              <w:left w:val="nil"/>
              <w:bottom w:val="single" w:sz="4" w:space="0" w:color="auto"/>
              <w:right w:val="single" w:sz="4" w:space="0" w:color="auto"/>
            </w:tcBorders>
            <w:vAlign w:val="center"/>
          </w:tcPr>
          <w:p w14:paraId="7D42E450" w14:textId="77777777" w:rsidR="00145706" w:rsidRPr="00145706" w:rsidRDefault="00145706" w:rsidP="00373009">
            <w:pPr>
              <w:widowControl w:val="0"/>
              <w:ind w:firstLine="0"/>
              <w:jc w:val="center"/>
              <w:rPr>
                <w:rFonts w:ascii="PT Astra Serif" w:hAnsi="PT Astra Serif"/>
                <w:b/>
                <w:sz w:val="20"/>
                <w:szCs w:val="20"/>
              </w:rPr>
            </w:pPr>
            <w:r w:rsidRPr="00145706">
              <w:rPr>
                <w:rFonts w:ascii="PT Astra Serif" w:hAnsi="PT Astra Serif"/>
                <w:b/>
                <w:sz w:val="20"/>
                <w:szCs w:val="20"/>
              </w:rPr>
              <w:t>19546,9</w:t>
            </w:r>
          </w:p>
        </w:tc>
        <w:tc>
          <w:tcPr>
            <w:tcW w:w="1417" w:type="dxa"/>
            <w:tcBorders>
              <w:top w:val="single" w:sz="4" w:space="0" w:color="auto"/>
              <w:left w:val="single" w:sz="4" w:space="0" w:color="auto"/>
              <w:bottom w:val="single" w:sz="4" w:space="0" w:color="auto"/>
              <w:right w:val="single" w:sz="4" w:space="0" w:color="auto"/>
            </w:tcBorders>
            <w:vAlign w:val="center"/>
          </w:tcPr>
          <w:p w14:paraId="0A3DD76A" w14:textId="77777777" w:rsidR="00145706" w:rsidRPr="00145706" w:rsidRDefault="00145706" w:rsidP="00373009">
            <w:pPr>
              <w:widowControl w:val="0"/>
              <w:ind w:firstLine="0"/>
              <w:jc w:val="center"/>
              <w:rPr>
                <w:rFonts w:ascii="PT Astra Serif" w:hAnsi="PT Astra Serif"/>
                <w:b/>
                <w:sz w:val="20"/>
                <w:szCs w:val="20"/>
              </w:rPr>
            </w:pPr>
            <w:r w:rsidRPr="00145706">
              <w:rPr>
                <w:rFonts w:ascii="PT Astra Serif" w:hAnsi="PT Astra Serif"/>
                <w:b/>
                <w:sz w:val="20"/>
                <w:szCs w:val="20"/>
              </w:rPr>
              <w:t>21927,5</w:t>
            </w:r>
          </w:p>
        </w:tc>
        <w:tc>
          <w:tcPr>
            <w:tcW w:w="2551" w:type="dxa"/>
            <w:tcBorders>
              <w:top w:val="single" w:sz="4" w:space="0" w:color="auto"/>
              <w:left w:val="single" w:sz="4" w:space="0" w:color="auto"/>
              <w:bottom w:val="single" w:sz="4" w:space="0" w:color="auto"/>
              <w:right w:val="single" w:sz="4" w:space="0" w:color="auto"/>
            </w:tcBorders>
            <w:noWrap/>
            <w:vAlign w:val="center"/>
          </w:tcPr>
          <w:p w14:paraId="017DA4D9" w14:textId="77777777" w:rsidR="00145706" w:rsidRPr="00145706" w:rsidRDefault="00145706" w:rsidP="00373009">
            <w:pPr>
              <w:widowControl w:val="0"/>
              <w:ind w:firstLine="0"/>
              <w:jc w:val="center"/>
              <w:rPr>
                <w:rFonts w:ascii="PT Astra Serif" w:hAnsi="PT Astra Serif"/>
                <w:b/>
                <w:sz w:val="20"/>
                <w:szCs w:val="20"/>
              </w:rPr>
            </w:pPr>
            <w:r w:rsidRPr="00145706">
              <w:rPr>
                <w:rFonts w:ascii="PT Astra Serif" w:hAnsi="PT Astra Serif"/>
                <w:b/>
                <w:sz w:val="20"/>
                <w:szCs w:val="20"/>
              </w:rPr>
              <w:t>112,2%</w:t>
            </w:r>
          </w:p>
        </w:tc>
      </w:tr>
    </w:tbl>
    <w:p w14:paraId="3174DE79" w14:textId="77777777" w:rsidR="00145706" w:rsidRPr="00F20E95" w:rsidRDefault="00145706" w:rsidP="00373009">
      <w:pPr>
        <w:widowControl w:val="0"/>
        <w:rPr>
          <w:rFonts w:ascii="PT Astra Serif" w:eastAsia="Times New Roman" w:hAnsi="PT Astra Serif"/>
          <w:b/>
          <w:sz w:val="20"/>
          <w:szCs w:val="20"/>
        </w:rPr>
      </w:pPr>
    </w:p>
    <w:p w14:paraId="03D75CA7" w14:textId="77777777" w:rsidR="00587C80" w:rsidRPr="003863D0" w:rsidRDefault="00587C80" w:rsidP="00373009">
      <w:pPr>
        <w:widowControl w:val="0"/>
        <w:jc w:val="center"/>
        <w:rPr>
          <w:rFonts w:ascii="PT Astra Serif" w:eastAsia="Times New Roman" w:hAnsi="PT Astra Serif"/>
          <w:b/>
          <w:sz w:val="20"/>
          <w:szCs w:val="20"/>
        </w:rPr>
      </w:pPr>
      <w:r w:rsidRPr="003863D0">
        <w:rPr>
          <w:rFonts w:ascii="PT Astra Serif" w:eastAsia="Times New Roman" w:hAnsi="PT Astra Serif"/>
          <w:b/>
          <w:sz w:val="20"/>
          <w:szCs w:val="20"/>
        </w:rPr>
        <w:t>Пользователи библиотек/участники клубных формирований/ обучающиеся, тыс. чел.</w:t>
      </w:r>
    </w:p>
    <w:p w14:paraId="56FD5632" w14:textId="0430B5E1" w:rsidR="009B57B5" w:rsidRPr="009B57B5" w:rsidRDefault="009B57B5" w:rsidP="00373009">
      <w:pPr>
        <w:widowControl w:val="0"/>
        <w:rPr>
          <w:rFonts w:ascii="PT Astra Serif" w:eastAsia="Times New Roman" w:hAnsi="PT Astra Serif"/>
          <w:b/>
          <w:sz w:val="20"/>
          <w:szCs w:val="20"/>
        </w:rPr>
      </w:pPr>
    </w:p>
    <w:tbl>
      <w:tblPr>
        <w:tblW w:w="9498" w:type="dxa"/>
        <w:tblInd w:w="-5" w:type="dxa"/>
        <w:tblLook w:val="04A0" w:firstRow="1" w:lastRow="0" w:firstColumn="1" w:lastColumn="0" w:noHBand="0" w:noVBand="1"/>
      </w:tblPr>
      <w:tblGrid>
        <w:gridCol w:w="2268"/>
        <w:gridCol w:w="1134"/>
        <w:gridCol w:w="1276"/>
        <w:gridCol w:w="1134"/>
        <w:gridCol w:w="1843"/>
        <w:gridCol w:w="1843"/>
      </w:tblGrid>
      <w:tr w:rsidR="009B57B5" w:rsidRPr="009B57B5" w14:paraId="6199375E" w14:textId="77777777" w:rsidTr="00DB527B">
        <w:trPr>
          <w:trHeight w:val="77"/>
        </w:trPr>
        <w:tc>
          <w:tcPr>
            <w:tcW w:w="2268" w:type="dxa"/>
            <w:tcBorders>
              <w:top w:val="single" w:sz="4" w:space="0" w:color="auto"/>
              <w:left w:val="single" w:sz="4" w:space="0" w:color="auto"/>
              <w:bottom w:val="single" w:sz="4" w:space="0" w:color="auto"/>
              <w:right w:val="single" w:sz="4" w:space="0" w:color="auto"/>
            </w:tcBorders>
            <w:noWrap/>
            <w:vAlign w:val="center"/>
            <w:hideMark/>
          </w:tcPr>
          <w:p w14:paraId="5258462B" w14:textId="58C1BA2B" w:rsidR="009B57B5" w:rsidRPr="009B57B5" w:rsidRDefault="009B57B5" w:rsidP="00373009">
            <w:pPr>
              <w:widowControl w:val="0"/>
              <w:ind w:firstLine="0"/>
              <w:jc w:val="center"/>
              <w:rPr>
                <w:rFonts w:ascii="PT Astra Serif" w:hAnsi="PT Astra Serif"/>
                <w:b/>
                <w:sz w:val="20"/>
                <w:szCs w:val="20"/>
              </w:rPr>
            </w:pPr>
            <w:r w:rsidRPr="009B57B5">
              <w:rPr>
                <w:rFonts w:ascii="PT Astra Serif" w:eastAsia="Times New Roman" w:hAnsi="PT Astra Serif"/>
                <w:b/>
                <w:sz w:val="20"/>
                <w:szCs w:val="20"/>
              </w:rPr>
              <w:t>Показатели</w:t>
            </w:r>
          </w:p>
        </w:tc>
        <w:tc>
          <w:tcPr>
            <w:tcW w:w="1134" w:type="dxa"/>
            <w:tcBorders>
              <w:top w:val="single" w:sz="4" w:space="0" w:color="auto"/>
              <w:left w:val="nil"/>
              <w:bottom w:val="single" w:sz="4" w:space="0" w:color="auto"/>
              <w:right w:val="single" w:sz="4" w:space="0" w:color="auto"/>
            </w:tcBorders>
            <w:vAlign w:val="center"/>
          </w:tcPr>
          <w:p w14:paraId="1F88CCA5" w14:textId="02F07EBC"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2023</w:t>
            </w:r>
            <w:r w:rsidR="00F20E95">
              <w:rPr>
                <w:rFonts w:ascii="PT Astra Serif" w:hAnsi="PT Astra Serif"/>
                <w:b/>
                <w:sz w:val="20"/>
                <w:szCs w:val="20"/>
              </w:rPr>
              <w:t xml:space="preserve"> г.</w:t>
            </w:r>
          </w:p>
        </w:tc>
        <w:tc>
          <w:tcPr>
            <w:tcW w:w="1276" w:type="dxa"/>
            <w:tcBorders>
              <w:top w:val="single" w:sz="4" w:space="0" w:color="auto"/>
              <w:left w:val="single" w:sz="4" w:space="0" w:color="auto"/>
              <w:bottom w:val="single" w:sz="4" w:space="0" w:color="auto"/>
              <w:right w:val="single" w:sz="4" w:space="0" w:color="auto"/>
            </w:tcBorders>
            <w:vAlign w:val="center"/>
          </w:tcPr>
          <w:p w14:paraId="5E1F946E" w14:textId="115E5272"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2024</w:t>
            </w:r>
            <w:r w:rsidR="00F20E95">
              <w:rPr>
                <w:rFonts w:ascii="PT Astra Serif" w:hAnsi="PT Astra Serif"/>
                <w:b/>
                <w:sz w:val="20"/>
                <w:szCs w:val="20"/>
              </w:rPr>
              <w:t xml:space="preserve"> г.</w:t>
            </w:r>
          </w:p>
        </w:tc>
        <w:tc>
          <w:tcPr>
            <w:tcW w:w="1134" w:type="dxa"/>
            <w:tcBorders>
              <w:top w:val="single" w:sz="4" w:space="0" w:color="auto"/>
              <w:left w:val="single" w:sz="4" w:space="0" w:color="auto"/>
              <w:bottom w:val="single" w:sz="4" w:space="0" w:color="auto"/>
              <w:right w:val="single" w:sz="4" w:space="0" w:color="auto"/>
            </w:tcBorders>
            <w:vAlign w:val="center"/>
          </w:tcPr>
          <w:p w14:paraId="7C8E2C87" w14:textId="7FE88B8E"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2025</w:t>
            </w:r>
            <w:r w:rsidR="00F20E95">
              <w:rPr>
                <w:rFonts w:ascii="PT Astra Serif" w:hAnsi="PT Astra Serif"/>
                <w:b/>
                <w:sz w:val="20"/>
                <w:szCs w:val="20"/>
              </w:rPr>
              <w:t xml:space="preserve"> г.</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4F3ECF" w14:textId="63CD24C6"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от уровня 2023 г</w:t>
            </w:r>
            <w:r>
              <w:rPr>
                <w:rFonts w:ascii="PT Astra Serif" w:hAnsi="PT Astra Serif"/>
                <w:b/>
                <w:sz w:val="20"/>
                <w:szCs w:val="20"/>
              </w:rPr>
              <w:t>.</w:t>
            </w:r>
            <w:r w:rsidRPr="009B57B5">
              <w:rPr>
                <w:rFonts w:ascii="PT Astra Serif" w:hAnsi="PT Astra Serif"/>
                <w:b/>
                <w:sz w:val="20"/>
                <w:szCs w:val="20"/>
              </w:rPr>
              <w:t xml:space="preserve"> (%)</w:t>
            </w:r>
          </w:p>
        </w:tc>
        <w:tc>
          <w:tcPr>
            <w:tcW w:w="1843" w:type="dxa"/>
            <w:tcBorders>
              <w:top w:val="single" w:sz="4" w:space="0" w:color="auto"/>
              <w:left w:val="single" w:sz="4" w:space="0" w:color="auto"/>
              <w:bottom w:val="single" w:sz="4" w:space="0" w:color="auto"/>
              <w:right w:val="single" w:sz="4" w:space="0" w:color="auto"/>
            </w:tcBorders>
          </w:tcPr>
          <w:p w14:paraId="7C29907E" w14:textId="294E2FA2"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от уровня 2024 г</w:t>
            </w:r>
            <w:r>
              <w:rPr>
                <w:rFonts w:ascii="PT Astra Serif" w:hAnsi="PT Astra Serif"/>
                <w:b/>
                <w:sz w:val="20"/>
                <w:szCs w:val="20"/>
              </w:rPr>
              <w:t>.</w:t>
            </w:r>
            <w:r w:rsidRPr="009B57B5">
              <w:rPr>
                <w:rFonts w:ascii="PT Astra Serif" w:hAnsi="PT Astra Serif"/>
                <w:b/>
                <w:sz w:val="20"/>
                <w:szCs w:val="20"/>
              </w:rPr>
              <w:t xml:space="preserve"> (%)</w:t>
            </w:r>
          </w:p>
        </w:tc>
      </w:tr>
      <w:tr w:rsidR="009B57B5" w:rsidRPr="009B57B5" w14:paraId="406DAF67" w14:textId="77777777" w:rsidTr="00DB527B">
        <w:trPr>
          <w:trHeight w:val="82"/>
        </w:trPr>
        <w:tc>
          <w:tcPr>
            <w:tcW w:w="2268" w:type="dxa"/>
            <w:tcBorders>
              <w:top w:val="nil"/>
              <w:left w:val="single" w:sz="4" w:space="0" w:color="auto"/>
              <w:bottom w:val="single" w:sz="4" w:space="0" w:color="auto"/>
              <w:right w:val="single" w:sz="4" w:space="0" w:color="auto"/>
            </w:tcBorders>
            <w:noWrap/>
            <w:vAlign w:val="center"/>
            <w:hideMark/>
          </w:tcPr>
          <w:p w14:paraId="4DEE0C41" w14:textId="77777777" w:rsidR="009B57B5" w:rsidRPr="009B57B5" w:rsidRDefault="009B57B5" w:rsidP="00373009">
            <w:pPr>
              <w:widowControl w:val="0"/>
              <w:ind w:firstLine="0"/>
              <w:rPr>
                <w:rFonts w:ascii="PT Astra Serif" w:hAnsi="PT Astra Serif"/>
                <w:sz w:val="20"/>
                <w:szCs w:val="20"/>
              </w:rPr>
            </w:pPr>
            <w:r w:rsidRPr="009B57B5">
              <w:rPr>
                <w:rFonts w:ascii="PT Astra Serif" w:hAnsi="PT Astra Serif"/>
                <w:sz w:val="20"/>
                <w:szCs w:val="20"/>
              </w:rPr>
              <w:t>Библиотеки</w:t>
            </w:r>
          </w:p>
        </w:tc>
        <w:tc>
          <w:tcPr>
            <w:tcW w:w="1134" w:type="dxa"/>
            <w:tcBorders>
              <w:top w:val="single" w:sz="4" w:space="0" w:color="auto"/>
              <w:left w:val="nil"/>
              <w:bottom w:val="single" w:sz="4" w:space="0" w:color="auto"/>
              <w:right w:val="single" w:sz="4" w:space="0" w:color="auto"/>
            </w:tcBorders>
            <w:vAlign w:val="center"/>
          </w:tcPr>
          <w:p w14:paraId="40590429"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472,9</w:t>
            </w:r>
          </w:p>
        </w:tc>
        <w:tc>
          <w:tcPr>
            <w:tcW w:w="1276" w:type="dxa"/>
            <w:tcBorders>
              <w:top w:val="single" w:sz="4" w:space="0" w:color="auto"/>
              <w:left w:val="single" w:sz="4" w:space="0" w:color="auto"/>
              <w:bottom w:val="single" w:sz="4" w:space="0" w:color="auto"/>
              <w:right w:val="single" w:sz="4" w:space="0" w:color="auto"/>
            </w:tcBorders>
            <w:vAlign w:val="center"/>
          </w:tcPr>
          <w:p w14:paraId="32017DF9"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475,6</w:t>
            </w:r>
          </w:p>
        </w:tc>
        <w:tc>
          <w:tcPr>
            <w:tcW w:w="1134" w:type="dxa"/>
            <w:tcBorders>
              <w:top w:val="single" w:sz="4" w:space="0" w:color="auto"/>
              <w:left w:val="single" w:sz="4" w:space="0" w:color="auto"/>
              <w:bottom w:val="single" w:sz="4" w:space="0" w:color="auto"/>
              <w:right w:val="single" w:sz="4" w:space="0" w:color="auto"/>
            </w:tcBorders>
          </w:tcPr>
          <w:p w14:paraId="7E4A9491"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475,6</w:t>
            </w:r>
          </w:p>
        </w:tc>
        <w:tc>
          <w:tcPr>
            <w:tcW w:w="1843" w:type="dxa"/>
            <w:tcBorders>
              <w:top w:val="single" w:sz="4" w:space="0" w:color="auto"/>
              <w:left w:val="single" w:sz="4" w:space="0" w:color="auto"/>
              <w:bottom w:val="single" w:sz="4" w:space="0" w:color="auto"/>
              <w:right w:val="single" w:sz="4" w:space="0" w:color="auto"/>
            </w:tcBorders>
            <w:vAlign w:val="center"/>
          </w:tcPr>
          <w:p w14:paraId="0E327A16"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100,6%</w:t>
            </w:r>
          </w:p>
        </w:tc>
        <w:tc>
          <w:tcPr>
            <w:tcW w:w="1843" w:type="dxa"/>
            <w:tcBorders>
              <w:top w:val="single" w:sz="4" w:space="0" w:color="auto"/>
              <w:left w:val="single" w:sz="4" w:space="0" w:color="auto"/>
              <w:bottom w:val="single" w:sz="4" w:space="0" w:color="auto"/>
              <w:right w:val="single" w:sz="4" w:space="0" w:color="auto"/>
            </w:tcBorders>
          </w:tcPr>
          <w:p w14:paraId="418257C3"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100%</w:t>
            </w:r>
          </w:p>
        </w:tc>
      </w:tr>
      <w:tr w:rsidR="009B57B5" w:rsidRPr="009B57B5" w14:paraId="6EF0A7E8" w14:textId="77777777" w:rsidTr="00DB527B">
        <w:trPr>
          <w:trHeight w:val="70"/>
        </w:trPr>
        <w:tc>
          <w:tcPr>
            <w:tcW w:w="2268" w:type="dxa"/>
            <w:tcBorders>
              <w:top w:val="nil"/>
              <w:left w:val="single" w:sz="4" w:space="0" w:color="auto"/>
              <w:bottom w:val="single" w:sz="4" w:space="0" w:color="auto"/>
              <w:right w:val="single" w:sz="4" w:space="0" w:color="auto"/>
            </w:tcBorders>
            <w:noWrap/>
            <w:vAlign w:val="center"/>
            <w:hideMark/>
          </w:tcPr>
          <w:p w14:paraId="4AEEDAE8" w14:textId="77777777" w:rsidR="009B57B5" w:rsidRPr="009B57B5" w:rsidRDefault="009B57B5" w:rsidP="00373009">
            <w:pPr>
              <w:widowControl w:val="0"/>
              <w:ind w:firstLine="0"/>
              <w:rPr>
                <w:rFonts w:ascii="PT Astra Serif" w:hAnsi="PT Astra Serif"/>
                <w:sz w:val="20"/>
                <w:szCs w:val="20"/>
              </w:rPr>
            </w:pPr>
            <w:r w:rsidRPr="009B57B5">
              <w:rPr>
                <w:rFonts w:ascii="PT Astra Serif" w:hAnsi="PT Astra Serif"/>
                <w:sz w:val="20"/>
                <w:szCs w:val="20"/>
              </w:rPr>
              <w:t>КДУ</w:t>
            </w:r>
          </w:p>
        </w:tc>
        <w:tc>
          <w:tcPr>
            <w:tcW w:w="1134" w:type="dxa"/>
            <w:tcBorders>
              <w:top w:val="single" w:sz="4" w:space="0" w:color="auto"/>
              <w:left w:val="nil"/>
              <w:bottom w:val="single" w:sz="4" w:space="0" w:color="auto"/>
              <w:right w:val="single" w:sz="4" w:space="0" w:color="auto"/>
            </w:tcBorders>
            <w:vAlign w:val="center"/>
          </w:tcPr>
          <w:p w14:paraId="4850E3FA"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48,0</w:t>
            </w:r>
          </w:p>
        </w:tc>
        <w:tc>
          <w:tcPr>
            <w:tcW w:w="1276" w:type="dxa"/>
            <w:tcBorders>
              <w:top w:val="single" w:sz="4" w:space="0" w:color="auto"/>
              <w:left w:val="single" w:sz="4" w:space="0" w:color="auto"/>
              <w:bottom w:val="single" w:sz="4" w:space="0" w:color="auto"/>
              <w:right w:val="single" w:sz="4" w:space="0" w:color="auto"/>
            </w:tcBorders>
            <w:vAlign w:val="center"/>
          </w:tcPr>
          <w:p w14:paraId="6246C4A9"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46,8</w:t>
            </w:r>
          </w:p>
        </w:tc>
        <w:tc>
          <w:tcPr>
            <w:tcW w:w="1134" w:type="dxa"/>
            <w:tcBorders>
              <w:top w:val="single" w:sz="4" w:space="0" w:color="auto"/>
              <w:left w:val="single" w:sz="4" w:space="0" w:color="auto"/>
              <w:bottom w:val="single" w:sz="4" w:space="0" w:color="auto"/>
              <w:right w:val="single" w:sz="4" w:space="0" w:color="auto"/>
            </w:tcBorders>
          </w:tcPr>
          <w:p w14:paraId="4FF3753D"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45,4</w:t>
            </w:r>
          </w:p>
        </w:tc>
        <w:tc>
          <w:tcPr>
            <w:tcW w:w="1843" w:type="dxa"/>
            <w:tcBorders>
              <w:top w:val="single" w:sz="4" w:space="0" w:color="auto"/>
              <w:left w:val="single" w:sz="4" w:space="0" w:color="auto"/>
              <w:bottom w:val="single" w:sz="4" w:space="0" w:color="auto"/>
              <w:right w:val="single" w:sz="4" w:space="0" w:color="auto"/>
            </w:tcBorders>
            <w:vAlign w:val="center"/>
          </w:tcPr>
          <w:p w14:paraId="49E589F0"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94,6%</w:t>
            </w:r>
          </w:p>
        </w:tc>
        <w:tc>
          <w:tcPr>
            <w:tcW w:w="1843" w:type="dxa"/>
            <w:tcBorders>
              <w:top w:val="single" w:sz="4" w:space="0" w:color="auto"/>
              <w:left w:val="single" w:sz="4" w:space="0" w:color="auto"/>
              <w:bottom w:val="single" w:sz="4" w:space="0" w:color="auto"/>
              <w:right w:val="single" w:sz="4" w:space="0" w:color="auto"/>
            </w:tcBorders>
          </w:tcPr>
          <w:p w14:paraId="05E9A1CB"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97%</w:t>
            </w:r>
          </w:p>
        </w:tc>
      </w:tr>
      <w:tr w:rsidR="009B57B5" w:rsidRPr="009B57B5" w14:paraId="349B8532" w14:textId="77777777" w:rsidTr="00DB527B">
        <w:trPr>
          <w:trHeight w:val="217"/>
        </w:trPr>
        <w:tc>
          <w:tcPr>
            <w:tcW w:w="2268" w:type="dxa"/>
            <w:tcBorders>
              <w:top w:val="nil"/>
              <w:left w:val="single" w:sz="4" w:space="0" w:color="auto"/>
              <w:bottom w:val="single" w:sz="4" w:space="0" w:color="auto"/>
              <w:right w:val="single" w:sz="4" w:space="0" w:color="auto"/>
            </w:tcBorders>
            <w:vAlign w:val="center"/>
            <w:hideMark/>
          </w:tcPr>
          <w:p w14:paraId="21667435" w14:textId="77777777" w:rsidR="009B57B5" w:rsidRPr="009B57B5" w:rsidRDefault="009B57B5" w:rsidP="00373009">
            <w:pPr>
              <w:widowControl w:val="0"/>
              <w:ind w:firstLine="0"/>
              <w:rPr>
                <w:rFonts w:ascii="PT Astra Serif" w:hAnsi="PT Astra Serif"/>
                <w:sz w:val="20"/>
                <w:szCs w:val="20"/>
              </w:rPr>
            </w:pPr>
            <w:r w:rsidRPr="009B57B5">
              <w:rPr>
                <w:rFonts w:ascii="PT Astra Serif" w:hAnsi="PT Astra Serif"/>
                <w:sz w:val="20"/>
                <w:szCs w:val="20"/>
              </w:rPr>
              <w:t xml:space="preserve">ДШИ </w:t>
            </w:r>
          </w:p>
        </w:tc>
        <w:tc>
          <w:tcPr>
            <w:tcW w:w="1134" w:type="dxa"/>
            <w:tcBorders>
              <w:top w:val="single" w:sz="4" w:space="0" w:color="auto"/>
              <w:left w:val="nil"/>
              <w:bottom w:val="single" w:sz="4" w:space="0" w:color="auto"/>
              <w:right w:val="single" w:sz="4" w:space="0" w:color="auto"/>
            </w:tcBorders>
            <w:vAlign w:val="center"/>
          </w:tcPr>
          <w:p w14:paraId="7284D1B8"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17,2</w:t>
            </w:r>
          </w:p>
        </w:tc>
        <w:tc>
          <w:tcPr>
            <w:tcW w:w="1276" w:type="dxa"/>
            <w:tcBorders>
              <w:top w:val="single" w:sz="4" w:space="0" w:color="auto"/>
              <w:left w:val="single" w:sz="4" w:space="0" w:color="auto"/>
              <w:bottom w:val="single" w:sz="4" w:space="0" w:color="auto"/>
              <w:right w:val="single" w:sz="4" w:space="0" w:color="auto"/>
            </w:tcBorders>
            <w:vAlign w:val="center"/>
          </w:tcPr>
          <w:p w14:paraId="6C6E7015"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17,0</w:t>
            </w:r>
          </w:p>
        </w:tc>
        <w:tc>
          <w:tcPr>
            <w:tcW w:w="1134" w:type="dxa"/>
            <w:tcBorders>
              <w:top w:val="single" w:sz="4" w:space="0" w:color="auto"/>
              <w:left w:val="single" w:sz="4" w:space="0" w:color="auto"/>
              <w:bottom w:val="single" w:sz="4" w:space="0" w:color="auto"/>
              <w:right w:val="single" w:sz="4" w:space="0" w:color="auto"/>
            </w:tcBorders>
          </w:tcPr>
          <w:p w14:paraId="63CED9BA"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16,6</w:t>
            </w:r>
          </w:p>
        </w:tc>
        <w:tc>
          <w:tcPr>
            <w:tcW w:w="1843" w:type="dxa"/>
            <w:tcBorders>
              <w:top w:val="single" w:sz="4" w:space="0" w:color="auto"/>
              <w:left w:val="single" w:sz="4" w:space="0" w:color="auto"/>
              <w:bottom w:val="single" w:sz="4" w:space="0" w:color="auto"/>
              <w:right w:val="single" w:sz="4" w:space="0" w:color="auto"/>
            </w:tcBorders>
            <w:vAlign w:val="center"/>
          </w:tcPr>
          <w:p w14:paraId="11839767"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96,5%</w:t>
            </w:r>
          </w:p>
        </w:tc>
        <w:tc>
          <w:tcPr>
            <w:tcW w:w="1843" w:type="dxa"/>
            <w:tcBorders>
              <w:top w:val="single" w:sz="4" w:space="0" w:color="auto"/>
              <w:left w:val="single" w:sz="4" w:space="0" w:color="auto"/>
              <w:bottom w:val="single" w:sz="4" w:space="0" w:color="auto"/>
              <w:right w:val="single" w:sz="4" w:space="0" w:color="auto"/>
            </w:tcBorders>
          </w:tcPr>
          <w:p w14:paraId="0054144D" w14:textId="77777777" w:rsidR="009B57B5" w:rsidRPr="009B57B5" w:rsidRDefault="009B57B5" w:rsidP="00373009">
            <w:pPr>
              <w:widowControl w:val="0"/>
              <w:ind w:firstLine="0"/>
              <w:jc w:val="center"/>
              <w:rPr>
                <w:rFonts w:ascii="PT Astra Serif" w:hAnsi="PT Astra Serif"/>
                <w:sz w:val="20"/>
                <w:szCs w:val="20"/>
              </w:rPr>
            </w:pPr>
            <w:r w:rsidRPr="009B57B5">
              <w:rPr>
                <w:rFonts w:ascii="PT Astra Serif" w:hAnsi="PT Astra Serif"/>
                <w:sz w:val="20"/>
                <w:szCs w:val="20"/>
              </w:rPr>
              <w:t>97,6</w:t>
            </w:r>
          </w:p>
        </w:tc>
      </w:tr>
      <w:tr w:rsidR="009B57B5" w:rsidRPr="009B57B5" w14:paraId="41E63D08" w14:textId="77777777" w:rsidTr="00DB527B">
        <w:trPr>
          <w:trHeight w:val="70"/>
        </w:trPr>
        <w:tc>
          <w:tcPr>
            <w:tcW w:w="2268" w:type="dxa"/>
            <w:tcBorders>
              <w:top w:val="nil"/>
              <w:left w:val="single" w:sz="4" w:space="0" w:color="auto"/>
              <w:bottom w:val="single" w:sz="4" w:space="0" w:color="auto"/>
              <w:right w:val="single" w:sz="4" w:space="0" w:color="auto"/>
            </w:tcBorders>
            <w:noWrap/>
            <w:vAlign w:val="center"/>
            <w:hideMark/>
          </w:tcPr>
          <w:p w14:paraId="4D51A3FC" w14:textId="77777777" w:rsidR="009B57B5" w:rsidRPr="009B57B5" w:rsidRDefault="009B57B5" w:rsidP="00373009">
            <w:pPr>
              <w:widowControl w:val="0"/>
              <w:ind w:firstLine="0"/>
              <w:rPr>
                <w:rFonts w:ascii="PT Astra Serif" w:hAnsi="PT Astra Serif"/>
                <w:b/>
                <w:bCs/>
                <w:sz w:val="20"/>
                <w:szCs w:val="20"/>
              </w:rPr>
            </w:pPr>
            <w:r w:rsidRPr="009B57B5">
              <w:rPr>
                <w:rFonts w:ascii="PT Astra Serif" w:hAnsi="PT Astra Serif"/>
                <w:b/>
                <w:bCs/>
                <w:sz w:val="20"/>
                <w:szCs w:val="20"/>
              </w:rPr>
              <w:t>ИТОГО:</w:t>
            </w:r>
          </w:p>
        </w:tc>
        <w:tc>
          <w:tcPr>
            <w:tcW w:w="1134" w:type="dxa"/>
            <w:tcBorders>
              <w:top w:val="single" w:sz="4" w:space="0" w:color="auto"/>
              <w:left w:val="nil"/>
              <w:bottom w:val="single" w:sz="4" w:space="0" w:color="auto"/>
              <w:right w:val="single" w:sz="4" w:space="0" w:color="auto"/>
            </w:tcBorders>
            <w:vAlign w:val="center"/>
          </w:tcPr>
          <w:p w14:paraId="500CD416" w14:textId="77777777"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538,1</w:t>
            </w:r>
          </w:p>
        </w:tc>
        <w:tc>
          <w:tcPr>
            <w:tcW w:w="1276" w:type="dxa"/>
            <w:tcBorders>
              <w:top w:val="single" w:sz="4" w:space="0" w:color="auto"/>
              <w:left w:val="single" w:sz="4" w:space="0" w:color="auto"/>
              <w:bottom w:val="single" w:sz="4" w:space="0" w:color="auto"/>
              <w:right w:val="single" w:sz="4" w:space="0" w:color="auto"/>
            </w:tcBorders>
            <w:vAlign w:val="center"/>
          </w:tcPr>
          <w:p w14:paraId="17312C28" w14:textId="77777777"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539,4</w:t>
            </w:r>
          </w:p>
        </w:tc>
        <w:tc>
          <w:tcPr>
            <w:tcW w:w="1134" w:type="dxa"/>
            <w:tcBorders>
              <w:top w:val="single" w:sz="4" w:space="0" w:color="auto"/>
              <w:left w:val="single" w:sz="4" w:space="0" w:color="auto"/>
              <w:bottom w:val="single" w:sz="4" w:space="0" w:color="auto"/>
              <w:right w:val="single" w:sz="4" w:space="0" w:color="auto"/>
            </w:tcBorders>
          </w:tcPr>
          <w:p w14:paraId="5477BE0A" w14:textId="77777777"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537,6</w:t>
            </w:r>
          </w:p>
        </w:tc>
        <w:tc>
          <w:tcPr>
            <w:tcW w:w="1843" w:type="dxa"/>
            <w:tcBorders>
              <w:top w:val="single" w:sz="4" w:space="0" w:color="auto"/>
              <w:left w:val="single" w:sz="4" w:space="0" w:color="auto"/>
              <w:bottom w:val="single" w:sz="4" w:space="0" w:color="auto"/>
              <w:right w:val="single" w:sz="4" w:space="0" w:color="auto"/>
            </w:tcBorders>
            <w:vAlign w:val="center"/>
          </w:tcPr>
          <w:p w14:paraId="10C278BA" w14:textId="77777777"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99,9%</w:t>
            </w:r>
          </w:p>
        </w:tc>
        <w:tc>
          <w:tcPr>
            <w:tcW w:w="1843" w:type="dxa"/>
            <w:tcBorders>
              <w:top w:val="single" w:sz="4" w:space="0" w:color="auto"/>
              <w:left w:val="single" w:sz="4" w:space="0" w:color="auto"/>
              <w:bottom w:val="single" w:sz="4" w:space="0" w:color="auto"/>
              <w:right w:val="single" w:sz="4" w:space="0" w:color="auto"/>
            </w:tcBorders>
          </w:tcPr>
          <w:p w14:paraId="0F9E2B0D" w14:textId="77777777" w:rsidR="009B57B5" w:rsidRPr="009B57B5" w:rsidRDefault="009B57B5" w:rsidP="00373009">
            <w:pPr>
              <w:widowControl w:val="0"/>
              <w:ind w:firstLine="0"/>
              <w:jc w:val="center"/>
              <w:rPr>
                <w:rFonts w:ascii="PT Astra Serif" w:hAnsi="PT Astra Serif"/>
                <w:b/>
                <w:sz w:val="20"/>
                <w:szCs w:val="20"/>
              </w:rPr>
            </w:pPr>
            <w:r w:rsidRPr="009B57B5">
              <w:rPr>
                <w:rFonts w:ascii="PT Astra Serif" w:hAnsi="PT Astra Serif"/>
                <w:b/>
                <w:sz w:val="20"/>
                <w:szCs w:val="20"/>
              </w:rPr>
              <w:t>99,7%</w:t>
            </w:r>
          </w:p>
        </w:tc>
      </w:tr>
    </w:tbl>
    <w:p w14:paraId="5BBE34AE" w14:textId="77777777" w:rsidR="009B57B5" w:rsidRPr="00F20E95" w:rsidRDefault="009B57B5" w:rsidP="00373009">
      <w:pPr>
        <w:widowControl w:val="0"/>
        <w:rPr>
          <w:rFonts w:ascii="PT Astra Serif" w:eastAsia="Times New Roman" w:hAnsi="PT Astra Serif"/>
          <w:b/>
          <w:sz w:val="20"/>
          <w:szCs w:val="20"/>
        </w:rPr>
      </w:pPr>
    </w:p>
    <w:p w14:paraId="3BE7A5FA" w14:textId="7B041728" w:rsidR="00587C80" w:rsidRPr="003863D0" w:rsidRDefault="00587C80" w:rsidP="00373009">
      <w:pPr>
        <w:widowControl w:val="0"/>
        <w:ind w:firstLine="0"/>
        <w:jc w:val="center"/>
        <w:rPr>
          <w:rFonts w:ascii="PT Astra Serif" w:eastAsia="Times New Roman" w:hAnsi="PT Astra Serif"/>
          <w:b/>
          <w:sz w:val="20"/>
          <w:szCs w:val="20"/>
        </w:rPr>
      </w:pPr>
      <w:r w:rsidRPr="003863D0">
        <w:rPr>
          <w:rFonts w:ascii="PT Astra Serif" w:eastAsia="Times New Roman" w:hAnsi="PT Astra Serif"/>
          <w:b/>
          <w:sz w:val="20"/>
          <w:szCs w:val="20"/>
        </w:rPr>
        <w:t>Основные показатели деятельности архивов</w:t>
      </w:r>
    </w:p>
    <w:p w14:paraId="00EE5D08" w14:textId="1F086A95" w:rsidR="002666A3" w:rsidRPr="002666A3" w:rsidRDefault="002666A3" w:rsidP="00373009">
      <w:pPr>
        <w:widowControl w:val="0"/>
        <w:rPr>
          <w:rFonts w:ascii="PT Astra Serif" w:eastAsia="Times New Roman" w:hAnsi="PT Astra Serif"/>
          <w:bCs/>
          <w:sz w:val="20"/>
          <w:szCs w:val="20"/>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57"/>
        <w:gridCol w:w="1088"/>
        <w:gridCol w:w="897"/>
        <w:gridCol w:w="1007"/>
        <w:gridCol w:w="1544"/>
      </w:tblGrid>
      <w:tr w:rsidR="002666A3" w:rsidRPr="002666A3" w14:paraId="4AA5526E" w14:textId="77777777" w:rsidTr="00F20E95">
        <w:trPr>
          <w:trHeight w:val="440"/>
        </w:trPr>
        <w:tc>
          <w:tcPr>
            <w:tcW w:w="4957" w:type="dxa"/>
            <w:tcMar>
              <w:top w:w="15" w:type="dxa"/>
              <w:left w:w="108" w:type="dxa"/>
              <w:bottom w:w="0" w:type="dxa"/>
              <w:right w:w="108" w:type="dxa"/>
            </w:tcMar>
            <w:vAlign w:val="center"/>
            <w:hideMark/>
          </w:tcPr>
          <w:p w14:paraId="268B573B" w14:textId="4983DE7F" w:rsidR="002666A3" w:rsidRPr="002666A3" w:rsidRDefault="002666A3" w:rsidP="00373009">
            <w:pPr>
              <w:widowControl w:val="0"/>
              <w:ind w:firstLine="0"/>
              <w:jc w:val="center"/>
              <w:rPr>
                <w:rFonts w:ascii="PT Astra Serif" w:eastAsia="Times New Roman" w:hAnsi="PT Astra Serif"/>
                <w:b/>
                <w:sz w:val="20"/>
                <w:szCs w:val="20"/>
              </w:rPr>
            </w:pPr>
            <w:r w:rsidRPr="002666A3">
              <w:rPr>
                <w:rFonts w:ascii="PT Astra Serif" w:eastAsia="Times New Roman" w:hAnsi="PT Astra Serif"/>
                <w:b/>
                <w:sz w:val="20"/>
                <w:szCs w:val="20"/>
              </w:rPr>
              <w:t>Показатели</w:t>
            </w:r>
          </w:p>
        </w:tc>
        <w:tc>
          <w:tcPr>
            <w:tcW w:w="1088" w:type="dxa"/>
            <w:tcMar>
              <w:top w:w="15" w:type="dxa"/>
              <w:left w:w="108" w:type="dxa"/>
              <w:bottom w:w="0" w:type="dxa"/>
              <w:right w:w="108" w:type="dxa"/>
            </w:tcMar>
            <w:vAlign w:val="center"/>
            <w:hideMark/>
          </w:tcPr>
          <w:p w14:paraId="4A9E2A7B" w14:textId="3FE8EB20" w:rsidR="002666A3" w:rsidRPr="002666A3" w:rsidRDefault="002666A3" w:rsidP="00373009">
            <w:pPr>
              <w:widowControl w:val="0"/>
              <w:ind w:firstLine="0"/>
              <w:jc w:val="center"/>
              <w:rPr>
                <w:rFonts w:ascii="PT Astra Serif" w:eastAsia="Times New Roman" w:hAnsi="PT Astra Serif"/>
                <w:b/>
                <w:sz w:val="20"/>
                <w:szCs w:val="20"/>
              </w:rPr>
            </w:pPr>
            <w:r w:rsidRPr="002666A3">
              <w:rPr>
                <w:rFonts w:ascii="PT Astra Serif" w:eastAsia="Times New Roman" w:hAnsi="PT Astra Serif"/>
                <w:b/>
                <w:sz w:val="20"/>
                <w:szCs w:val="20"/>
              </w:rPr>
              <w:t>2023</w:t>
            </w:r>
            <w:r w:rsidR="00F20E95">
              <w:rPr>
                <w:rFonts w:ascii="PT Astra Serif" w:eastAsia="Times New Roman" w:hAnsi="PT Astra Serif"/>
                <w:b/>
                <w:sz w:val="20"/>
                <w:szCs w:val="20"/>
              </w:rPr>
              <w:t xml:space="preserve"> г.</w:t>
            </w:r>
          </w:p>
        </w:tc>
        <w:tc>
          <w:tcPr>
            <w:tcW w:w="897" w:type="dxa"/>
            <w:vAlign w:val="center"/>
          </w:tcPr>
          <w:p w14:paraId="30D0856E" w14:textId="74DB7B11" w:rsidR="002666A3" w:rsidRPr="002666A3" w:rsidRDefault="002666A3" w:rsidP="00373009">
            <w:pPr>
              <w:widowControl w:val="0"/>
              <w:ind w:firstLine="0"/>
              <w:jc w:val="center"/>
              <w:rPr>
                <w:rFonts w:ascii="PT Astra Serif" w:eastAsia="Times New Roman" w:hAnsi="PT Astra Serif"/>
                <w:b/>
                <w:sz w:val="20"/>
                <w:szCs w:val="20"/>
              </w:rPr>
            </w:pPr>
            <w:r w:rsidRPr="002666A3">
              <w:rPr>
                <w:rFonts w:ascii="PT Astra Serif" w:eastAsia="Times New Roman" w:hAnsi="PT Astra Serif"/>
                <w:b/>
                <w:sz w:val="20"/>
                <w:szCs w:val="20"/>
              </w:rPr>
              <w:t>2024</w:t>
            </w:r>
            <w:r w:rsidR="00F20E95">
              <w:rPr>
                <w:rFonts w:ascii="PT Astra Serif" w:eastAsia="Times New Roman" w:hAnsi="PT Astra Serif"/>
                <w:b/>
                <w:sz w:val="20"/>
                <w:szCs w:val="20"/>
              </w:rPr>
              <w:t xml:space="preserve"> г.</w:t>
            </w:r>
          </w:p>
        </w:tc>
        <w:tc>
          <w:tcPr>
            <w:tcW w:w="1007" w:type="dxa"/>
            <w:tcMar>
              <w:top w:w="15" w:type="dxa"/>
              <w:left w:w="108" w:type="dxa"/>
              <w:bottom w:w="0" w:type="dxa"/>
              <w:right w:w="108" w:type="dxa"/>
            </w:tcMar>
            <w:vAlign w:val="center"/>
            <w:hideMark/>
          </w:tcPr>
          <w:p w14:paraId="4A9B9125" w14:textId="5A550C16" w:rsidR="002666A3" w:rsidRPr="002666A3" w:rsidRDefault="002666A3" w:rsidP="00373009">
            <w:pPr>
              <w:widowControl w:val="0"/>
              <w:ind w:firstLine="0"/>
              <w:jc w:val="center"/>
              <w:rPr>
                <w:rFonts w:ascii="PT Astra Serif" w:eastAsia="Times New Roman" w:hAnsi="PT Astra Serif"/>
                <w:b/>
                <w:sz w:val="20"/>
                <w:szCs w:val="20"/>
              </w:rPr>
            </w:pPr>
            <w:r w:rsidRPr="002666A3">
              <w:rPr>
                <w:rFonts w:ascii="PT Astra Serif" w:eastAsia="Times New Roman" w:hAnsi="PT Astra Serif"/>
                <w:b/>
                <w:sz w:val="20"/>
                <w:szCs w:val="20"/>
              </w:rPr>
              <w:t>2025</w:t>
            </w:r>
            <w:r w:rsidR="00F20E95">
              <w:rPr>
                <w:rFonts w:ascii="PT Astra Serif" w:eastAsia="Times New Roman" w:hAnsi="PT Astra Serif"/>
                <w:b/>
                <w:sz w:val="20"/>
                <w:szCs w:val="20"/>
              </w:rPr>
              <w:t xml:space="preserve"> г.</w:t>
            </w:r>
          </w:p>
        </w:tc>
        <w:tc>
          <w:tcPr>
            <w:tcW w:w="1544" w:type="dxa"/>
            <w:tcMar>
              <w:top w:w="15" w:type="dxa"/>
              <w:left w:w="108" w:type="dxa"/>
              <w:bottom w:w="0" w:type="dxa"/>
              <w:right w:w="108" w:type="dxa"/>
            </w:tcMar>
            <w:vAlign w:val="center"/>
            <w:hideMark/>
          </w:tcPr>
          <w:p w14:paraId="4D1C1D85" w14:textId="166495FD" w:rsidR="002666A3" w:rsidRPr="002666A3" w:rsidRDefault="002666A3" w:rsidP="00373009">
            <w:pPr>
              <w:widowControl w:val="0"/>
              <w:ind w:firstLine="0"/>
              <w:jc w:val="center"/>
              <w:rPr>
                <w:rFonts w:ascii="PT Astra Serif" w:eastAsia="Times New Roman" w:hAnsi="PT Astra Serif"/>
                <w:b/>
                <w:sz w:val="20"/>
                <w:szCs w:val="20"/>
              </w:rPr>
            </w:pPr>
            <w:r w:rsidRPr="002666A3">
              <w:rPr>
                <w:rFonts w:ascii="PT Astra Serif" w:eastAsia="Times New Roman" w:hAnsi="PT Astra Serif"/>
                <w:b/>
                <w:sz w:val="20"/>
                <w:szCs w:val="20"/>
              </w:rPr>
              <w:t>от уровня 2023 г. (%)</w:t>
            </w:r>
          </w:p>
        </w:tc>
      </w:tr>
      <w:tr w:rsidR="002666A3" w:rsidRPr="002666A3" w14:paraId="7E1137D9" w14:textId="77777777" w:rsidTr="00F20E95">
        <w:trPr>
          <w:trHeight w:val="382"/>
        </w:trPr>
        <w:tc>
          <w:tcPr>
            <w:tcW w:w="4957" w:type="dxa"/>
            <w:tcMar>
              <w:top w:w="15" w:type="dxa"/>
              <w:left w:w="108" w:type="dxa"/>
              <w:bottom w:w="0" w:type="dxa"/>
              <w:right w:w="108" w:type="dxa"/>
            </w:tcMar>
            <w:vAlign w:val="center"/>
            <w:hideMark/>
          </w:tcPr>
          <w:p w14:paraId="43581B01" w14:textId="77777777" w:rsidR="002666A3" w:rsidRPr="002666A3" w:rsidRDefault="002666A3" w:rsidP="00373009">
            <w:pPr>
              <w:widowControl w:val="0"/>
              <w:ind w:firstLine="0"/>
              <w:rPr>
                <w:rFonts w:ascii="PT Astra Serif" w:eastAsia="Times New Roman" w:hAnsi="PT Astra Serif"/>
                <w:sz w:val="20"/>
                <w:szCs w:val="20"/>
              </w:rPr>
            </w:pPr>
            <w:r w:rsidRPr="002666A3">
              <w:rPr>
                <w:rFonts w:ascii="PT Astra Serif" w:eastAsia="Times New Roman" w:hAnsi="PT Astra Serif"/>
                <w:sz w:val="20"/>
                <w:szCs w:val="20"/>
              </w:rPr>
              <w:t>Объем архивного фонда, тыс. ед. хранения</w:t>
            </w:r>
          </w:p>
        </w:tc>
        <w:tc>
          <w:tcPr>
            <w:tcW w:w="1088" w:type="dxa"/>
            <w:tcMar>
              <w:top w:w="15" w:type="dxa"/>
              <w:left w:w="108" w:type="dxa"/>
              <w:bottom w:w="0" w:type="dxa"/>
              <w:right w:w="108" w:type="dxa"/>
            </w:tcMar>
            <w:vAlign w:val="center"/>
            <w:hideMark/>
          </w:tcPr>
          <w:p w14:paraId="2610D56C"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2598,7</w:t>
            </w:r>
          </w:p>
        </w:tc>
        <w:tc>
          <w:tcPr>
            <w:tcW w:w="897" w:type="dxa"/>
            <w:vAlign w:val="center"/>
          </w:tcPr>
          <w:p w14:paraId="6ED864D3"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2715,0</w:t>
            </w:r>
          </w:p>
        </w:tc>
        <w:tc>
          <w:tcPr>
            <w:tcW w:w="1007" w:type="dxa"/>
            <w:tcMar>
              <w:top w:w="15" w:type="dxa"/>
              <w:left w:w="108" w:type="dxa"/>
              <w:bottom w:w="0" w:type="dxa"/>
              <w:right w:w="108" w:type="dxa"/>
            </w:tcMar>
            <w:vAlign w:val="center"/>
          </w:tcPr>
          <w:p w14:paraId="7EA0F5A0"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2 746,0</w:t>
            </w:r>
          </w:p>
        </w:tc>
        <w:tc>
          <w:tcPr>
            <w:tcW w:w="1544" w:type="dxa"/>
            <w:tcMar>
              <w:top w:w="15" w:type="dxa"/>
              <w:left w:w="108" w:type="dxa"/>
              <w:bottom w:w="0" w:type="dxa"/>
              <w:right w:w="108" w:type="dxa"/>
            </w:tcMar>
            <w:vAlign w:val="center"/>
          </w:tcPr>
          <w:p w14:paraId="7FFBE871"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106</w:t>
            </w:r>
          </w:p>
        </w:tc>
      </w:tr>
      <w:tr w:rsidR="002666A3" w:rsidRPr="002666A3" w14:paraId="126B1333" w14:textId="77777777" w:rsidTr="00F20E95">
        <w:trPr>
          <w:trHeight w:val="382"/>
        </w:trPr>
        <w:tc>
          <w:tcPr>
            <w:tcW w:w="4957" w:type="dxa"/>
            <w:tcMar>
              <w:top w:w="15" w:type="dxa"/>
              <w:left w:w="108" w:type="dxa"/>
              <w:bottom w:w="0" w:type="dxa"/>
              <w:right w:w="108" w:type="dxa"/>
            </w:tcMar>
            <w:vAlign w:val="center"/>
            <w:hideMark/>
          </w:tcPr>
          <w:p w14:paraId="75988953" w14:textId="77777777" w:rsidR="002666A3" w:rsidRPr="002666A3" w:rsidRDefault="002666A3" w:rsidP="00373009">
            <w:pPr>
              <w:widowControl w:val="0"/>
              <w:ind w:firstLine="0"/>
              <w:rPr>
                <w:rFonts w:ascii="PT Astra Serif" w:eastAsia="Times New Roman" w:hAnsi="PT Astra Serif"/>
                <w:sz w:val="20"/>
                <w:szCs w:val="20"/>
              </w:rPr>
            </w:pPr>
            <w:r w:rsidRPr="002666A3">
              <w:rPr>
                <w:rFonts w:ascii="PT Astra Serif" w:eastAsia="Times New Roman" w:hAnsi="PT Astra Serif"/>
                <w:sz w:val="20"/>
                <w:szCs w:val="20"/>
              </w:rPr>
              <w:t>Социально-правовые и тематические запросы граждан, ед.</w:t>
            </w:r>
          </w:p>
        </w:tc>
        <w:tc>
          <w:tcPr>
            <w:tcW w:w="1088" w:type="dxa"/>
            <w:tcMar>
              <w:top w:w="15" w:type="dxa"/>
              <w:left w:w="108" w:type="dxa"/>
              <w:bottom w:w="0" w:type="dxa"/>
              <w:right w:w="108" w:type="dxa"/>
            </w:tcMar>
            <w:vAlign w:val="center"/>
            <w:hideMark/>
          </w:tcPr>
          <w:p w14:paraId="77D91AFA"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68680</w:t>
            </w:r>
          </w:p>
        </w:tc>
        <w:tc>
          <w:tcPr>
            <w:tcW w:w="897" w:type="dxa"/>
            <w:vAlign w:val="center"/>
          </w:tcPr>
          <w:p w14:paraId="5EECE354"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67982</w:t>
            </w:r>
          </w:p>
        </w:tc>
        <w:tc>
          <w:tcPr>
            <w:tcW w:w="1007" w:type="dxa"/>
            <w:tcMar>
              <w:top w:w="15" w:type="dxa"/>
              <w:left w:w="108" w:type="dxa"/>
              <w:bottom w:w="0" w:type="dxa"/>
              <w:right w:w="108" w:type="dxa"/>
            </w:tcMar>
            <w:vAlign w:val="center"/>
          </w:tcPr>
          <w:p w14:paraId="40D9E6C1"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76859</w:t>
            </w:r>
          </w:p>
        </w:tc>
        <w:tc>
          <w:tcPr>
            <w:tcW w:w="1544" w:type="dxa"/>
            <w:tcMar>
              <w:top w:w="15" w:type="dxa"/>
              <w:left w:w="108" w:type="dxa"/>
              <w:bottom w:w="0" w:type="dxa"/>
              <w:right w:w="108" w:type="dxa"/>
            </w:tcMar>
            <w:vAlign w:val="center"/>
          </w:tcPr>
          <w:p w14:paraId="027660C5" w14:textId="77777777" w:rsidR="002666A3" w:rsidRPr="002666A3" w:rsidRDefault="002666A3" w:rsidP="00373009">
            <w:pPr>
              <w:widowControl w:val="0"/>
              <w:ind w:firstLine="0"/>
              <w:jc w:val="center"/>
              <w:rPr>
                <w:rFonts w:ascii="PT Astra Serif" w:eastAsia="Times New Roman" w:hAnsi="PT Astra Serif"/>
                <w:sz w:val="20"/>
                <w:szCs w:val="20"/>
              </w:rPr>
            </w:pPr>
            <w:r w:rsidRPr="002666A3">
              <w:rPr>
                <w:rFonts w:ascii="PT Astra Serif" w:eastAsia="Times New Roman" w:hAnsi="PT Astra Serif"/>
                <w:sz w:val="20"/>
                <w:szCs w:val="20"/>
              </w:rPr>
              <w:t>112</w:t>
            </w:r>
          </w:p>
        </w:tc>
      </w:tr>
    </w:tbl>
    <w:p w14:paraId="20ED9166" w14:textId="6D9A70ED" w:rsidR="002666A3" w:rsidRPr="008D5740" w:rsidRDefault="002666A3" w:rsidP="00373009">
      <w:pPr>
        <w:widowControl w:val="0"/>
        <w:rPr>
          <w:rFonts w:ascii="PT Astra Serif" w:eastAsia="Times New Roman" w:hAnsi="PT Astra Serif"/>
          <w:bCs/>
          <w:sz w:val="20"/>
          <w:szCs w:val="20"/>
        </w:rPr>
      </w:pPr>
    </w:p>
    <w:p w14:paraId="3D2CEFB3" w14:textId="77777777" w:rsidR="006F3DC2" w:rsidRPr="0084643D" w:rsidRDefault="006F3DC2" w:rsidP="00373009">
      <w:pPr>
        <w:pStyle w:val="a7"/>
        <w:widowControl w:val="0"/>
        <w:tabs>
          <w:tab w:val="left" w:pos="993"/>
        </w:tabs>
        <w:ind w:left="0"/>
        <w:rPr>
          <w:rFonts w:ascii="PT Astra Serif" w:hAnsi="PT Astra Serif"/>
          <w:b/>
          <w:bCs/>
          <w:szCs w:val="28"/>
        </w:rPr>
      </w:pPr>
      <w:r w:rsidRPr="0084643D">
        <w:rPr>
          <w:rFonts w:ascii="PT Astra Serif" w:hAnsi="PT Astra Serif"/>
          <w:b/>
          <w:bCs/>
          <w:szCs w:val="28"/>
        </w:rPr>
        <w:t xml:space="preserve">Реализация </w:t>
      </w:r>
      <w:r w:rsidRPr="0084643D">
        <w:rPr>
          <w:rFonts w:ascii="PT Astra Serif" w:hAnsi="PT Astra Serif"/>
          <w:b/>
          <w:bCs/>
          <w:szCs w:val="28"/>
          <w:lang w:eastAsia="ru-RU"/>
        </w:rPr>
        <w:t xml:space="preserve">национального проекта «Семья». </w:t>
      </w:r>
      <w:r w:rsidRPr="0084643D">
        <w:rPr>
          <w:rFonts w:ascii="PT Astra Serif" w:hAnsi="PT Astra Serif"/>
          <w:szCs w:val="28"/>
          <w:lang w:eastAsia="ru-RU"/>
        </w:rPr>
        <w:t>Региональный проект «Семейные ценности и инфраструктура культуры (Культура для семьи)».</w:t>
      </w:r>
    </w:p>
    <w:p w14:paraId="7FF47A8B" w14:textId="6D93888E" w:rsidR="006F3DC2" w:rsidRPr="00307335" w:rsidRDefault="006F3DC2" w:rsidP="00373009">
      <w:pPr>
        <w:widowControl w:val="0"/>
        <w:rPr>
          <w:rFonts w:ascii="PT Astra Serif" w:hAnsi="PT Astra Serif"/>
          <w:szCs w:val="28"/>
          <w:lang w:eastAsia="ru-RU"/>
        </w:rPr>
      </w:pPr>
      <w:r w:rsidRPr="00D92F94">
        <w:rPr>
          <w:rFonts w:ascii="PT Astra Serif" w:hAnsi="PT Astra Serif"/>
          <w:noProof/>
          <w:sz w:val="24"/>
          <w:szCs w:val="24"/>
          <w:highlight w:val="green"/>
          <w:lang w:eastAsia="ru-RU"/>
        </w:rPr>
        <w:drawing>
          <wp:anchor distT="0" distB="0" distL="114300" distR="114300" simplePos="0" relativeHeight="251672576" behindDoc="1" locked="0" layoutInCell="1" allowOverlap="1" wp14:anchorId="4C4EE034" wp14:editId="437C2D70">
            <wp:simplePos x="0" y="0"/>
            <wp:positionH relativeFrom="margin">
              <wp:align>left</wp:align>
            </wp:positionH>
            <wp:positionV relativeFrom="paragraph">
              <wp:posOffset>85725</wp:posOffset>
            </wp:positionV>
            <wp:extent cx="1414780" cy="1310005"/>
            <wp:effectExtent l="0" t="0" r="0" b="0"/>
            <wp:wrapSquare wrapText="bothSides"/>
            <wp:docPr id="14489381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938120" name="Рисунок 1448938120"/>
                    <pic:cNvPicPr/>
                  </pic:nvPicPr>
                  <pic:blipFill rotWithShape="1">
                    <a:blip r:embed="rId17" cstate="print">
                      <a:extLst>
                        <a:ext uri="{28A0092B-C50C-407E-A947-70E740481C1C}">
                          <a14:useLocalDpi xmlns:a14="http://schemas.microsoft.com/office/drawing/2010/main" val="0"/>
                        </a:ext>
                      </a:extLst>
                    </a:blip>
                    <a:srcRect l="34053" t="23987" r="32366" b="20754"/>
                    <a:stretch>
                      <a:fillRect/>
                    </a:stretch>
                  </pic:blipFill>
                  <pic:spPr bwMode="auto">
                    <a:xfrm>
                      <a:off x="0" y="0"/>
                      <a:ext cx="1414780" cy="1310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07335">
        <w:rPr>
          <w:rFonts w:ascii="PT Astra Serif" w:hAnsi="PT Astra Serif"/>
          <w:szCs w:val="28"/>
          <w:lang w:eastAsia="ru-RU"/>
        </w:rPr>
        <w:t>В 2025 году в соответствии с Указом Президента Российской Федерации от 7 мая 2024 года №</w:t>
      </w:r>
      <w:r>
        <w:rPr>
          <w:rFonts w:ascii="PT Astra Serif" w:hAnsi="PT Astra Serif"/>
          <w:szCs w:val="28"/>
          <w:lang w:eastAsia="ru-RU"/>
        </w:rPr>
        <w:t> </w:t>
      </w:r>
      <w:r w:rsidRPr="00307335">
        <w:rPr>
          <w:rFonts w:ascii="PT Astra Serif" w:hAnsi="PT Astra Serif"/>
          <w:szCs w:val="28"/>
          <w:lang w:eastAsia="ru-RU"/>
        </w:rPr>
        <w:t xml:space="preserve">309 </w:t>
      </w:r>
      <w:r>
        <w:rPr>
          <w:rFonts w:ascii="PT Astra Serif" w:hAnsi="PT Astra Serif"/>
          <w:szCs w:val="28"/>
          <w:lang w:eastAsia="ru-RU"/>
        </w:rPr>
        <w:br/>
      </w:r>
      <w:r w:rsidRPr="00307335">
        <w:rPr>
          <w:rFonts w:ascii="PT Astra Serif" w:hAnsi="PT Astra Serif"/>
          <w:i/>
          <w:iCs/>
          <w:szCs w:val="28"/>
          <w:shd w:val="clear" w:color="auto" w:fill="FFFFFF"/>
        </w:rPr>
        <w:t>«</w:t>
      </w:r>
      <w:r w:rsidRPr="00307335">
        <w:rPr>
          <w:rFonts w:ascii="PT Astra Serif" w:hAnsi="PT Astra Serif"/>
          <w:szCs w:val="28"/>
          <w:shd w:val="clear" w:color="auto" w:fill="FFFFFF"/>
        </w:rPr>
        <w:t>О национальных целях развития Российской Федерации на период до 2030 года и на перспективу до 2036 года»</w:t>
      </w:r>
      <w:r w:rsidRPr="00307335">
        <w:rPr>
          <w:rFonts w:ascii="PT Astra Serif" w:hAnsi="PT Astra Serif"/>
          <w:szCs w:val="28"/>
          <w:lang w:eastAsia="ru-RU"/>
        </w:rPr>
        <w:t xml:space="preserve"> стартовала реализация национального проекта «Семья».</w:t>
      </w:r>
    </w:p>
    <w:p w14:paraId="610E2280" w14:textId="77777777" w:rsidR="006F3DC2" w:rsidRPr="00307335" w:rsidRDefault="006F3DC2" w:rsidP="00373009">
      <w:pPr>
        <w:widowControl w:val="0"/>
        <w:rPr>
          <w:rFonts w:ascii="PT Astra Serif" w:hAnsi="PT Astra Serif"/>
          <w:szCs w:val="28"/>
          <w:lang w:eastAsia="ru-RU"/>
        </w:rPr>
      </w:pPr>
      <w:r w:rsidRPr="00307335">
        <w:rPr>
          <w:rFonts w:ascii="PT Astra Serif" w:hAnsi="PT Astra Serif"/>
          <w:szCs w:val="28"/>
          <w:lang w:eastAsia="ru-RU"/>
        </w:rPr>
        <w:t xml:space="preserve">На </w:t>
      </w:r>
      <w:bookmarkStart w:id="22" w:name="_Hlk159488365"/>
      <w:r w:rsidRPr="00307335">
        <w:rPr>
          <w:rFonts w:ascii="PT Astra Serif" w:hAnsi="PT Astra Serif"/>
          <w:szCs w:val="28"/>
          <w:lang w:eastAsia="ru-RU"/>
        </w:rPr>
        <w:t>реализацию</w:t>
      </w:r>
      <w:r w:rsidRPr="00307335">
        <w:rPr>
          <w:rFonts w:ascii="PT Astra Serif" w:hAnsi="PT Astra Serif"/>
          <w:szCs w:val="28"/>
        </w:rPr>
        <w:t xml:space="preserve"> </w:t>
      </w:r>
      <w:r w:rsidRPr="00307335">
        <w:rPr>
          <w:rFonts w:ascii="PT Astra Serif" w:hAnsi="PT Astra Serif"/>
          <w:szCs w:val="28"/>
          <w:lang w:eastAsia="ru-RU"/>
        </w:rPr>
        <w:t xml:space="preserve">мероприятий регионального проекта «Семейные ценности и инфраструктура культуры», обеспечивающих достижение значений показателей и результатов федерального проекта «Семейные ценности и инфраструктура культуры (Ульяновская область)», входящего в состав национального проекта «Семья» в 2025 году выделено </w:t>
      </w:r>
      <w:r w:rsidRPr="00307335">
        <w:rPr>
          <w:rFonts w:ascii="PT Astra Serif" w:hAnsi="PT Astra Serif"/>
          <w:bCs/>
          <w:szCs w:val="28"/>
        </w:rPr>
        <w:t xml:space="preserve">65 274,9 </w:t>
      </w:r>
      <w:r w:rsidRPr="00307335">
        <w:rPr>
          <w:rFonts w:ascii="PT Astra Serif" w:hAnsi="PT Astra Serif"/>
          <w:szCs w:val="28"/>
          <w:lang w:eastAsia="ru-RU"/>
        </w:rPr>
        <w:t>тыс. рублей.</w:t>
      </w:r>
    </w:p>
    <w:p w14:paraId="764E7A03" w14:textId="77777777" w:rsidR="006F3DC2" w:rsidRPr="00307335" w:rsidRDefault="006F3DC2" w:rsidP="00373009">
      <w:pPr>
        <w:widowControl w:val="0"/>
        <w:rPr>
          <w:rFonts w:ascii="PT Astra Serif" w:hAnsi="PT Astra Serif"/>
          <w:szCs w:val="28"/>
          <w:lang w:eastAsia="ru-RU"/>
        </w:rPr>
      </w:pPr>
      <w:bookmarkStart w:id="23" w:name="_Hlk127345211"/>
      <w:r w:rsidRPr="00307335">
        <w:rPr>
          <w:rFonts w:ascii="PT Astra Serif" w:hAnsi="PT Astra Serif"/>
          <w:szCs w:val="28"/>
          <w:lang w:eastAsia="ru-RU"/>
        </w:rPr>
        <w:t>Из указанной суммы:</w:t>
      </w:r>
    </w:p>
    <w:p w14:paraId="3BABCC69" w14:textId="77777777" w:rsidR="006F3DC2" w:rsidRPr="00307335" w:rsidRDefault="006F3DC2" w:rsidP="00373009">
      <w:pPr>
        <w:widowControl w:val="0"/>
        <w:rPr>
          <w:rFonts w:ascii="PT Astra Serif" w:hAnsi="PT Astra Serif"/>
          <w:szCs w:val="28"/>
          <w:lang w:eastAsia="ru-RU"/>
        </w:rPr>
      </w:pPr>
      <w:r w:rsidRPr="00307335">
        <w:rPr>
          <w:rFonts w:ascii="PT Astra Serif" w:hAnsi="PT Astra Serif"/>
          <w:szCs w:val="28"/>
        </w:rPr>
        <w:t xml:space="preserve">59 836,9 </w:t>
      </w:r>
      <w:r w:rsidRPr="00307335">
        <w:rPr>
          <w:rFonts w:ascii="PT Astra Serif" w:hAnsi="PT Astra Serif"/>
          <w:szCs w:val="28"/>
          <w:lang w:eastAsia="ru-RU"/>
        </w:rPr>
        <w:t>тыс. рублей – средства федерального бюджета;</w:t>
      </w:r>
    </w:p>
    <w:p w14:paraId="48CDB3C8" w14:textId="77777777" w:rsidR="006F3DC2" w:rsidRPr="00307335" w:rsidRDefault="006F3DC2" w:rsidP="00373009">
      <w:pPr>
        <w:widowControl w:val="0"/>
        <w:rPr>
          <w:rFonts w:ascii="PT Astra Serif" w:hAnsi="PT Astra Serif"/>
          <w:szCs w:val="28"/>
          <w:lang w:eastAsia="ru-RU"/>
        </w:rPr>
      </w:pPr>
      <w:r w:rsidRPr="00307335">
        <w:rPr>
          <w:rFonts w:ascii="PT Astra Serif" w:hAnsi="PT Astra Serif"/>
          <w:szCs w:val="28"/>
        </w:rPr>
        <w:t xml:space="preserve">1 850,6 </w:t>
      </w:r>
      <w:r w:rsidRPr="00307335">
        <w:rPr>
          <w:rFonts w:ascii="PT Astra Serif" w:hAnsi="PT Astra Serif"/>
          <w:szCs w:val="28"/>
          <w:lang w:eastAsia="ru-RU"/>
        </w:rPr>
        <w:t>тыс. рублей – средства областного бюджета;</w:t>
      </w:r>
    </w:p>
    <w:p w14:paraId="1676DF1E" w14:textId="77777777" w:rsidR="006F3DC2" w:rsidRPr="00307335" w:rsidRDefault="006F3DC2" w:rsidP="00373009">
      <w:pPr>
        <w:widowControl w:val="0"/>
        <w:rPr>
          <w:rFonts w:ascii="PT Astra Serif" w:hAnsi="PT Astra Serif"/>
          <w:szCs w:val="28"/>
          <w:lang w:eastAsia="ru-RU"/>
        </w:rPr>
      </w:pPr>
      <w:r w:rsidRPr="00307335">
        <w:rPr>
          <w:rFonts w:ascii="PT Astra Serif" w:hAnsi="PT Astra Serif"/>
          <w:szCs w:val="28"/>
        </w:rPr>
        <w:lastRenderedPageBreak/>
        <w:t xml:space="preserve">3 587,4 </w:t>
      </w:r>
      <w:r w:rsidRPr="00307335">
        <w:rPr>
          <w:rFonts w:ascii="PT Astra Serif" w:hAnsi="PT Astra Serif"/>
          <w:szCs w:val="28"/>
          <w:lang w:eastAsia="ru-RU"/>
        </w:rPr>
        <w:t>тыс. рублей – средства муниципальных бюджетов.</w:t>
      </w:r>
      <w:bookmarkEnd w:id="23"/>
    </w:p>
    <w:bookmarkEnd w:id="22"/>
    <w:p w14:paraId="695A451B" w14:textId="77777777" w:rsidR="006F3DC2" w:rsidRPr="00307335" w:rsidRDefault="006F3DC2" w:rsidP="00373009">
      <w:pPr>
        <w:widowControl w:val="0"/>
        <w:rPr>
          <w:rFonts w:ascii="PT Astra Serif" w:hAnsi="PT Astra Serif"/>
          <w:bCs/>
          <w:szCs w:val="28"/>
        </w:rPr>
      </w:pPr>
      <w:r w:rsidRPr="00307335">
        <w:rPr>
          <w:rFonts w:ascii="PT Astra Serif" w:hAnsi="PT Astra Serif"/>
          <w:bCs/>
          <w:szCs w:val="28"/>
        </w:rPr>
        <w:t>В 2025 году в рамках регионального проекта «Семейный ценности инфраструктура культуры» реализованы мероприятия:</w:t>
      </w:r>
    </w:p>
    <w:p w14:paraId="471A1A63" w14:textId="77777777" w:rsidR="006F3DC2" w:rsidRDefault="006F3DC2" w:rsidP="00373009">
      <w:pPr>
        <w:widowControl w:val="0"/>
        <w:rPr>
          <w:rFonts w:ascii="PT Astra Serif" w:hAnsi="PT Astra Serif"/>
          <w:b/>
          <w:szCs w:val="28"/>
          <w:lang w:eastAsia="ru-RU"/>
        </w:rPr>
      </w:pPr>
      <w:r w:rsidRPr="00307335">
        <w:rPr>
          <w:rFonts w:ascii="PT Astra Serif" w:hAnsi="PT Astra Serif"/>
          <w:b/>
          <w:szCs w:val="28"/>
        </w:rPr>
        <w:t>С</w:t>
      </w:r>
      <w:r w:rsidRPr="00307335">
        <w:rPr>
          <w:rFonts w:ascii="PT Astra Serif" w:hAnsi="PT Astra Serif"/>
          <w:b/>
          <w:szCs w:val="28"/>
          <w:lang w:eastAsia="ru-RU"/>
        </w:rPr>
        <w:t>озданы 5 модельных библиотек</w:t>
      </w:r>
      <w:r>
        <w:rPr>
          <w:rFonts w:ascii="PT Astra Serif" w:hAnsi="PT Astra Serif"/>
          <w:b/>
          <w:szCs w:val="28"/>
          <w:lang w:eastAsia="ru-RU"/>
        </w:rPr>
        <w:t>:</w:t>
      </w:r>
    </w:p>
    <w:p w14:paraId="4F73324A" w14:textId="0B9F57F3" w:rsidR="006F3DC2" w:rsidRPr="00307335" w:rsidRDefault="006F3DC2" w:rsidP="00373009">
      <w:pPr>
        <w:widowControl w:val="0"/>
        <w:rPr>
          <w:rFonts w:ascii="PT Astra Serif" w:hAnsi="PT Astra Serif" w:cs="PT Astra Serif"/>
          <w:i/>
          <w:iCs/>
          <w:color w:val="000000"/>
          <w:szCs w:val="28"/>
        </w:rPr>
      </w:pPr>
      <w:r w:rsidRPr="00307335">
        <w:rPr>
          <w:rFonts w:ascii="PT Astra Serif" w:hAnsi="PT Astra Serif" w:cs="PT Astra Serif"/>
          <w:i/>
          <w:iCs/>
          <w:color w:val="000000"/>
          <w:szCs w:val="28"/>
        </w:rPr>
        <w:t>Библиотека «Информационно-экологический центр имени В.В.</w:t>
      </w:r>
      <w:r w:rsidR="00F20E95">
        <w:rPr>
          <w:rFonts w:ascii="PT Astra Serif" w:hAnsi="PT Astra Serif" w:cs="PT Astra Serif"/>
          <w:i/>
          <w:iCs/>
          <w:color w:val="000000"/>
          <w:szCs w:val="28"/>
        </w:rPr>
        <w:t> </w:t>
      </w:r>
      <w:r w:rsidRPr="00307335">
        <w:rPr>
          <w:rFonts w:ascii="PT Astra Serif" w:hAnsi="PT Astra Serif" w:cs="PT Astra Serif"/>
          <w:i/>
          <w:iCs/>
          <w:color w:val="000000"/>
          <w:szCs w:val="28"/>
        </w:rPr>
        <w:t xml:space="preserve">Бианки» МБУК «Централизованная библиотечная система </w:t>
      </w:r>
      <w:proofErr w:type="spellStart"/>
      <w:r w:rsidRPr="00307335">
        <w:rPr>
          <w:rFonts w:ascii="PT Astra Serif" w:hAnsi="PT Astra Serif" w:cs="PT Astra Serif"/>
          <w:i/>
          <w:iCs/>
          <w:color w:val="000000"/>
          <w:szCs w:val="28"/>
        </w:rPr>
        <w:t>г.Димитровграда</w:t>
      </w:r>
      <w:proofErr w:type="spellEnd"/>
      <w:r w:rsidRPr="00307335">
        <w:rPr>
          <w:rFonts w:ascii="PT Astra Serif" w:hAnsi="PT Astra Serif" w:cs="PT Astra Serif"/>
          <w:i/>
          <w:iCs/>
          <w:color w:val="000000"/>
          <w:szCs w:val="28"/>
        </w:rPr>
        <w:t>»</w:t>
      </w:r>
      <w:r>
        <w:rPr>
          <w:rFonts w:ascii="PT Astra Serif" w:hAnsi="PT Astra Serif" w:cs="PT Astra Serif"/>
          <w:i/>
          <w:iCs/>
          <w:color w:val="000000"/>
          <w:szCs w:val="28"/>
        </w:rPr>
        <w:t>;</w:t>
      </w:r>
    </w:p>
    <w:p w14:paraId="115D110F" w14:textId="001DA3E2" w:rsidR="006F3DC2" w:rsidRPr="00307335" w:rsidRDefault="006F3DC2" w:rsidP="00373009">
      <w:pPr>
        <w:widowControl w:val="0"/>
        <w:rPr>
          <w:rFonts w:ascii="PT Astra Serif" w:eastAsia="PT Astra Serif" w:hAnsi="PT Astra Serif" w:cs="PT Astra Serif"/>
          <w:i/>
          <w:iCs/>
          <w:szCs w:val="28"/>
        </w:rPr>
      </w:pPr>
      <w:r w:rsidRPr="00307335">
        <w:rPr>
          <w:rFonts w:ascii="PT Astra Serif" w:hAnsi="PT Astra Serif" w:cs="PT Astra Serif"/>
          <w:i/>
          <w:iCs/>
          <w:szCs w:val="28"/>
        </w:rPr>
        <w:t>Детская библиотека МКУК «</w:t>
      </w:r>
      <w:proofErr w:type="spellStart"/>
      <w:r w:rsidRPr="00307335">
        <w:rPr>
          <w:rFonts w:ascii="PT Astra Serif" w:hAnsi="PT Astra Serif" w:cs="PT Astra Serif"/>
          <w:i/>
          <w:iCs/>
          <w:szCs w:val="28"/>
        </w:rPr>
        <w:t>Межпоселенческая</w:t>
      </w:r>
      <w:proofErr w:type="spellEnd"/>
      <w:r w:rsidRPr="00307335">
        <w:rPr>
          <w:rFonts w:ascii="PT Astra Serif" w:hAnsi="PT Astra Serif" w:cs="PT Astra Serif"/>
          <w:i/>
          <w:iCs/>
          <w:szCs w:val="28"/>
        </w:rPr>
        <w:t xml:space="preserve"> библиотека имени К.Г.</w:t>
      </w:r>
      <w:r w:rsidR="00F20E95">
        <w:rPr>
          <w:rFonts w:ascii="PT Astra Serif" w:hAnsi="PT Astra Serif" w:cs="PT Astra Serif"/>
          <w:i/>
          <w:iCs/>
          <w:szCs w:val="28"/>
        </w:rPr>
        <w:t> </w:t>
      </w:r>
      <w:r w:rsidRPr="00307335">
        <w:rPr>
          <w:rFonts w:ascii="PT Astra Serif" w:hAnsi="PT Astra Serif" w:cs="PT Astra Serif"/>
          <w:i/>
          <w:iCs/>
          <w:szCs w:val="28"/>
        </w:rPr>
        <w:t>Паустовского» МО «Базарносызганский район»</w:t>
      </w:r>
      <w:r>
        <w:rPr>
          <w:rFonts w:ascii="PT Astra Serif" w:hAnsi="PT Astra Serif" w:cs="PT Astra Serif"/>
          <w:i/>
          <w:iCs/>
          <w:szCs w:val="28"/>
        </w:rPr>
        <w:t>;</w:t>
      </w:r>
    </w:p>
    <w:p w14:paraId="3A642D90" w14:textId="65337480" w:rsidR="006F3DC2" w:rsidRPr="00307335" w:rsidRDefault="006F3DC2" w:rsidP="00373009">
      <w:pPr>
        <w:widowControl w:val="0"/>
        <w:rPr>
          <w:rFonts w:ascii="PT Astra Serif" w:hAnsi="PT Astra Serif" w:cs="PT Astra Serif"/>
          <w:i/>
          <w:iCs/>
          <w:color w:val="000000"/>
          <w:szCs w:val="28"/>
        </w:rPr>
      </w:pPr>
      <w:r w:rsidRPr="00307335">
        <w:rPr>
          <w:rFonts w:ascii="PT Astra Serif" w:hAnsi="PT Astra Serif" w:cs="PT Astra Serif"/>
          <w:i/>
          <w:iCs/>
          <w:color w:val="000000"/>
          <w:szCs w:val="28"/>
        </w:rPr>
        <w:t xml:space="preserve">Специализированная библиотека №1 «Мир искусств» МБУК «ЦБС» </w:t>
      </w:r>
      <w:proofErr w:type="spellStart"/>
      <w:r w:rsidRPr="00307335">
        <w:rPr>
          <w:rFonts w:ascii="PT Astra Serif" w:hAnsi="PT Astra Serif" w:cs="PT Astra Serif"/>
          <w:i/>
          <w:iCs/>
          <w:color w:val="000000"/>
          <w:szCs w:val="28"/>
        </w:rPr>
        <w:t>г.Ульяновска</w:t>
      </w:r>
      <w:proofErr w:type="spellEnd"/>
      <w:r>
        <w:rPr>
          <w:rFonts w:ascii="PT Astra Serif" w:hAnsi="PT Astra Serif" w:cs="PT Astra Serif"/>
          <w:i/>
          <w:iCs/>
          <w:color w:val="000000"/>
          <w:szCs w:val="28"/>
        </w:rPr>
        <w:t>;</w:t>
      </w:r>
    </w:p>
    <w:p w14:paraId="3034C13C" w14:textId="039EBF24" w:rsidR="006F3DC2" w:rsidRPr="00307335" w:rsidRDefault="006F3DC2" w:rsidP="00373009">
      <w:pPr>
        <w:widowControl w:val="0"/>
        <w:rPr>
          <w:rFonts w:ascii="PT Astra Serif" w:hAnsi="PT Astra Serif" w:cs="PT Astra Serif"/>
          <w:i/>
          <w:iCs/>
          <w:szCs w:val="28"/>
        </w:rPr>
      </w:pPr>
      <w:r w:rsidRPr="00307335">
        <w:rPr>
          <w:rFonts w:ascii="PT Astra Serif" w:hAnsi="PT Astra Serif" w:cs="PT Astra Serif"/>
          <w:i/>
          <w:iCs/>
          <w:szCs w:val="28"/>
        </w:rPr>
        <w:t xml:space="preserve">Центральная библиотека </w:t>
      </w:r>
      <w:proofErr w:type="spellStart"/>
      <w:r w:rsidRPr="00307335">
        <w:rPr>
          <w:rFonts w:ascii="PT Astra Serif" w:hAnsi="PT Astra Serif" w:cs="PT Astra Serif"/>
          <w:i/>
          <w:iCs/>
          <w:szCs w:val="28"/>
        </w:rPr>
        <w:t>им.А.С.Грина</w:t>
      </w:r>
      <w:proofErr w:type="spellEnd"/>
      <w:r w:rsidRPr="00307335">
        <w:rPr>
          <w:rFonts w:ascii="PT Astra Serif" w:hAnsi="PT Astra Serif" w:cs="PT Astra Serif"/>
          <w:i/>
          <w:iCs/>
          <w:szCs w:val="28"/>
        </w:rPr>
        <w:t xml:space="preserve"> МУК «</w:t>
      </w:r>
      <w:proofErr w:type="spellStart"/>
      <w:r w:rsidRPr="00307335">
        <w:rPr>
          <w:rFonts w:ascii="PT Astra Serif" w:hAnsi="PT Astra Serif" w:cs="PT Astra Serif"/>
          <w:i/>
          <w:iCs/>
          <w:szCs w:val="28"/>
        </w:rPr>
        <w:t>Кузоватовская</w:t>
      </w:r>
      <w:proofErr w:type="spellEnd"/>
      <w:r w:rsidRPr="00307335">
        <w:rPr>
          <w:rFonts w:ascii="PT Astra Serif" w:hAnsi="PT Astra Serif" w:cs="PT Astra Serif"/>
          <w:i/>
          <w:iCs/>
          <w:szCs w:val="28"/>
        </w:rPr>
        <w:t xml:space="preserve"> </w:t>
      </w:r>
      <w:proofErr w:type="spellStart"/>
      <w:r w:rsidRPr="00307335">
        <w:rPr>
          <w:rFonts w:ascii="PT Astra Serif" w:hAnsi="PT Astra Serif" w:cs="PT Astra Serif"/>
          <w:i/>
          <w:iCs/>
          <w:szCs w:val="28"/>
        </w:rPr>
        <w:t>межпоселенческая</w:t>
      </w:r>
      <w:proofErr w:type="spellEnd"/>
      <w:r w:rsidRPr="00307335">
        <w:rPr>
          <w:rFonts w:ascii="PT Astra Serif" w:hAnsi="PT Astra Serif" w:cs="PT Astra Serif"/>
          <w:i/>
          <w:iCs/>
          <w:szCs w:val="28"/>
        </w:rPr>
        <w:t xml:space="preserve"> библиотечная система»</w:t>
      </w:r>
      <w:r>
        <w:rPr>
          <w:rFonts w:ascii="PT Astra Serif" w:hAnsi="PT Astra Serif" w:cs="PT Astra Serif"/>
          <w:i/>
          <w:iCs/>
          <w:szCs w:val="28"/>
        </w:rPr>
        <w:t>;</w:t>
      </w:r>
    </w:p>
    <w:p w14:paraId="72E5DF0E" w14:textId="09B87035" w:rsidR="006F3DC2" w:rsidRPr="00307335" w:rsidRDefault="006F3DC2" w:rsidP="00373009">
      <w:pPr>
        <w:widowControl w:val="0"/>
        <w:rPr>
          <w:rFonts w:ascii="PT Astra Serif" w:hAnsi="PT Astra Serif" w:cs="PT Astra Serif"/>
          <w:i/>
          <w:iCs/>
          <w:color w:val="000000"/>
          <w:szCs w:val="28"/>
        </w:rPr>
      </w:pPr>
      <w:r w:rsidRPr="00307335">
        <w:rPr>
          <w:rFonts w:ascii="PT Astra Serif" w:hAnsi="PT Astra Serif" w:cs="PT Astra Serif"/>
          <w:i/>
          <w:iCs/>
          <w:szCs w:val="28"/>
        </w:rPr>
        <w:t xml:space="preserve">Центральная библиотека </w:t>
      </w:r>
      <w:proofErr w:type="spellStart"/>
      <w:r w:rsidRPr="00307335">
        <w:rPr>
          <w:rFonts w:ascii="PT Astra Serif" w:hAnsi="PT Astra Serif" w:cs="PT Astra Serif"/>
          <w:i/>
          <w:iCs/>
          <w:szCs w:val="28"/>
        </w:rPr>
        <w:t>им.Н.Гарина</w:t>
      </w:r>
      <w:proofErr w:type="spellEnd"/>
      <w:r w:rsidRPr="00307335">
        <w:rPr>
          <w:rFonts w:ascii="PT Astra Serif" w:hAnsi="PT Astra Serif" w:cs="PT Astra Serif"/>
          <w:i/>
          <w:iCs/>
          <w:szCs w:val="28"/>
        </w:rPr>
        <w:t>-Михайловского МКУК «</w:t>
      </w:r>
      <w:proofErr w:type="spellStart"/>
      <w:r w:rsidRPr="00307335">
        <w:rPr>
          <w:rFonts w:ascii="PT Astra Serif" w:hAnsi="PT Astra Serif" w:cs="PT Astra Serif"/>
          <w:i/>
          <w:iCs/>
          <w:szCs w:val="28"/>
        </w:rPr>
        <w:t>Вешкаймская</w:t>
      </w:r>
      <w:proofErr w:type="spellEnd"/>
      <w:r w:rsidRPr="00307335">
        <w:rPr>
          <w:rFonts w:ascii="PT Astra Serif" w:hAnsi="PT Astra Serif" w:cs="PT Astra Serif"/>
          <w:i/>
          <w:iCs/>
          <w:szCs w:val="28"/>
        </w:rPr>
        <w:t xml:space="preserve"> </w:t>
      </w:r>
      <w:proofErr w:type="spellStart"/>
      <w:r w:rsidRPr="00307335">
        <w:rPr>
          <w:rFonts w:ascii="PT Astra Serif" w:hAnsi="PT Astra Serif" w:cs="PT Astra Serif"/>
          <w:i/>
          <w:iCs/>
          <w:szCs w:val="28"/>
        </w:rPr>
        <w:t>межпоселенческая</w:t>
      </w:r>
      <w:proofErr w:type="spellEnd"/>
      <w:r w:rsidRPr="00307335">
        <w:rPr>
          <w:rFonts w:ascii="PT Astra Serif" w:hAnsi="PT Astra Serif" w:cs="PT Astra Serif"/>
          <w:i/>
          <w:iCs/>
          <w:szCs w:val="28"/>
        </w:rPr>
        <w:t xml:space="preserve"> библиотечная система»</w:t>
      </w:r>
      <w:r>
        <w:rPr>
          <w:rFonts w:ascii="PT Astra Serif" w:hAnsi="PT Astra Serif" w:cs="PT Astra Serif"/>
          <w:i/>
          <w:iCs/>
          <w:szCs w:val="28"/>
        </w:rPr>
        <w:t>.</w:t>
      </w:r>
    </w:p>
    <w:p w14:paraId="77AB0821" w14:textId="77777777" w:rsidR="006F3DC2" w:rsidRDefault="006F3DC2" w:rsidP="00373009">
      <w:pPr>
        <w:widowControl w:val="0"/>
        <w:rPr>
          <w:rFonts w:ascii="PT Astra Serif" w:hAnsi="PT Astra Serif" w:cs="PT Astra Serif"/>
          <w:bCs/>
          <w:i/>
          <w:iCs/>
          <w:color w:val="000000"/>
          <w:szCs w:val="28"/>
          <w:shd w:val="clear" w:color="auto" w:fill="FFFFFF"/>
        </w:rPr>
      </w:pPr>
      <w:r w:rsidRPr="00307335">
        <w:rPr>
          <w:rFonts w:ascii="PT Astra Serif" w:hAnsi="PT Astra Serif"/>
          <w:b/>
          <w:szCs w:val="28"/>
          <w:shd w:val="clear" w:color="auto" w:fill="FFFFFF"/>
        </w:rPr>
        <w:t>Технически переоснащён</w:t>
      </w:r>
      <w:r w:rsidRPr="00307335">
        <w:rPr>
          <w:rFonts w:ascii="PT Astra Serif" w:hAnsi="PT Astra Serif"/>
          <w:bCs/>
          <w:szCs w:val="28"/>
          <w:shd w:val="clear" w:color="auto" w:fill="FFFFFF"/>
        </w:rPr>
        <w:t xml:space="preserve"> </w:t>
      </w:r>
      <w:r w:rsidRPr="00307335">
        <w:rPr>
          <w:rFonts w:ascii="PT Astra Serif" w:hAnsi="PT Astra Serif" w:cs="PT Astra Serif"/>
          <w:bCs/>
          <w:i/>
          <w:iCs/>
          <w:color w:val="000000"/>
          <w:szCs w:val="28"/>
          <w:shd w:val="clear" w:color="auto" w:fill="FFFFFF"/>
        </w:rPr>
        <w:t>Карсунский художественно-краеведческий музей</w:t>
      </w:r>
      <w:r>
        <w:rPr>
          <w:rFonts w:ascii="PT Astra Serif" w:hAnsi="PT Astra Serif" w:cs="PT Astra Serif"/>
          <w:bCs/>
          <w:i/>
          <w:iCs/>
          <w:color w:val="000000"/>
          <w:szCs w:val="28"/>
          <w:shd w:val="clear" w:color="auto" w:fill="FFFFFF"/>
        </w:rPr>
        <w:t>.</w:t>
      </w:r>
    </w:p>
    <w:p w14:paraId="7763D77D" w14:textId="77777777" w:rsidR="006F3DC2" w:rsidRDefault="006F3DC2" w:rsidP="00373009">
      <w:pPr>
        <w:widowControl w:val="0"/>
        <w:rPr>
          <w:rFonts w:ascii="PT Astra Serif" w:hAnsi="PT Astra Serif" w:cs="PT Astra Serif"/>
          <w:bCs/>
          <w:i/>
          <w:iCs/>
          <w:color w:val="000000"/>
          <w:szCs w:val="28"/>
          <w:shd w:val="clear" w:color="auto" w:fill="FFFFFF"/>
        </w:rPr>
      </w:pPr>
    </w:p>
    <w:p w14:paraId="3E63209A" w14:textId="18592406" w:rsidR="00FE7050" w:rsidRDefault="00FE7050" w:rsidP="00373009">
      <w:pPr>
        <w:pStyle w:val="a7"/>
        <w:widowControl w:val="0"/>
        <w:ind w:left="0" w:firstLine="0"/>
        <w:jc w:val="center"/>
        <w:rPr>
          <w:rFonts w:ascii="PT Astra Serif" w:hAnsi="PT Astra Serif"/>
          <w:b/>
          <w:bCs/>
          <w:szCs w:val="28"/>
        </w:rPr>
      </w:pPr>
      <w:r w:rsidRPr="00F75DF8">
        <w:rPr>
          <w:rFonts w:ascii="PT Astra Serif" w:hAnsi="PT Astra Serif"/>
          <w:b/>
          <w:bCs/>
          <w:szCs w:val="28"/>
        </w:rPr>
        <w:t>Итоги 202</w:t>
      </w:r>
      <w:r>
        <w:rPr>
          <w:rFonts w:ascii="PT Astra Serif" w:hAnsi="PT Astra Serif"/>
          <w:b/>
          <w:bCs/>
          <w:szCs w:val="28"/>
        </w:rPr>
        <w:t>5</w:t>
      </w:r>
      <w:r w:rsidRPr="00F75DF8">
        <w:rPr>
          <w:rFonts w:ascii="PT Astra Serif" w:hAnsi="PT Astra Serif"/>
          <w:b/>
          <w:bCs/>
          <w:szCs w:val="28"/>
        </w:rPr>
        <w:t xml:space="preserve"> года</w:t>
      </w:r>
    </w:p>
    <w:p w14:paraId="2EC7C004" w14:textId="77777777" w:rsidR="00FE7050" w:rsidRPr="00F75DF8" w:rsidRDefault="00FE7050" w:rsidP="00373009">
      <w:pPr>
        <w:pStyle w:val="a7"/>
        <w:widowControl w:val="0"/>
        <w:ind w:left="0" w:firstLine="0"/>
        <w:jc w:val="center"/>
        <w:rPr>
          <w:rFonts w:ascii="PT Astra Serif" w:hAnsi="PT Astra Serif"/>
          <w:b/>
          <w:bCs/>
          <w:szCs w:val="28"/>
        </w:rPr>
      </w:pPr>
    </w:p>
    <w:p w14:paraId="7BE68610" w14:textId="5B1916B1" w:rsidR="00FE7050" w:rsidRPr="00AD57CC" w:rsidRDefault="00FE7050" w:rsidP="00373009">
      <w:pPr>
        <w:widowControl w:val="0"/>
        <w:rPr>
          <w:rFonts w:ascii="PT Astra Serif" w:hAnsi="PT Astra Serif"/>
          <w:bCs/>
          <w:szCs w:val="28"/>
        </w:rPr>
      </w:pPr>
      <w:r w:rsidRPr="00AD57CC">
        <w:rPr>
          <w:rFonts w:ascii="PT Astra Serif" w:hAnsi="PT Astra Serif"/>
          <w:bCs/>
          <w:szCs w:val="28"/>
        </w:rPr>
        <w:t xml:space="preserve">Основными </w:t>
      </w:r>
      <w:r w:rsidRPr="00AD57CC">
        <w:rPr>
          <w:rFonts w:ascii="PT Astra Serif" w:hAnsi="PT Astra Serif"/>
          <w:b/>
          <w:szCs w:val="28"/>
        </w:rPr>
        <w:t>законодательными основами</w:t>
      </w:r>
      <w:r w:rsidRPr="00AD57CC">
        <w:rPr>
          <w:rFonts w:ascii="PT Astra Serif" w:hAnsi="PT Astra Serif"/>
          <w:bCs/>
          <w:szCs w:val="28"/>
        </w:rPr>
        <w:t xml:space="preserve"> для постановки целей </w:t>
      </w:r>
      <w:r>
        <w:rPr>
          <w:rFonts w:ascii="PT Astra Serif" w:hAnsi="PT Astra Serif"/>
          <w:bCs/>
          <w:szCs w:val="28"/>
        </w:rPr>
        <w:br/>
      </w:r>
      <w:r w:rsidRPr="00AD57CC">
        <w:rPr>
          <w:rFonts w:ascii="PT Astra Serif" w:hAnsi="PT Astra Serif"/>
          <w:bCs/>
          <w:szCs w:val="28"/>
        </w:rPr>
        <w:t xml:space="preserve">и задач на </w:t>
      </w:r>
      <w:r>
        <w:rPr>
          <w:rFonts w:ascii="PT Astra Serif" w:hAnsi="PT Astra Serif"/>
          <w:bCs/>
          <w:szCs w:val="28"/>
        </w:rPr>
        <w:t>2025</w:t>
      </w:r>
      <w:r w:rsidRPr="00AD57CC">
        <w:rPr>
          <w:rFonts w:ascii="PT Astra Serif" w:hAnsi="PT Astra Serif"/>
          <w:bCs/>
          <w:szCs w:val="28"/>
        </w:rPr>
        <w:t xml:space="preserve"> год явля</w:t>
      </w:r>
      <w:r>
        <w:rPr>
          <w:rFonts w:ascii="PT Astra Serif" w:hAnsi="PT Astra Serif"/>
          <w:bCs/>
          <w:szCs w:val="28"/>
        </w:rPr>
        <w:t>лись</w:t>
      </w:r>
      <w:r w:rsidRPr="00AD57CC">
        <w:rPr>
          <w:rFonts w:ascii="PT Astra Serif" w:hAnsi="PT Astra Serif"/>
          <w:bCs/>
          <w:szCs w:val="28"/>
        </w:rPr>
        <w:t>:</w:t>
      </w:r>
    </w:p>
    <w:p w14:paraId="55B21703" w14:textId="2FCB9279" w:rsidR="00FE7050" w:rsidRPr="00453C02" w:rsidRDefault="00FE7050" w:rsidP="00373009">
      <w:pPr>
        <w:widowControl w:val="0"/>
        <w:rPr>
          <w:rFonts w:ascii="PT Astra Serif" w:eastAsia="Times New Roman" w:hAnsi="PT Astra Serif"/>
          <w:bCs/>
          <w:szCs w:val="28"/>
        </w:rPr>
      </w:pPr>
      <w:r w:rsidRPr="00453C02">
        <w:rPr>
          <w:rFonts w:ascii="PT Astra Serif" w:eastAsia="Times New Roman" w:hAnsi="PT Astra Serif"/>
          <w:bCs/>
          <w:szCs w:val="28"/>
        </w:rPr>
        <w:t>Федеральный Закон от 20.10.2022 №</w:t>
      </w:r>
      <w:r>
        <w:rPr>
          <w:rFonts w:ascii="PT Astra Serif" w:eastAsia="Times New Roman" w:hAnsi="PT Astra Serif"/>
          <w:bCs/>
          <w:szCs w:val="28"/>
        </w:rPr>
        <w:t> </w:t>
      </w:r>
      <w:r w:rsidRPr="00453C02">
        <w:rPr>
          <w:rFonts w:ascii="PT Astra Serif" w:eastAsia="Times New Roman" w:hAnsi="PT Astra Serif"/>
          <w:bCs/>
          <w:szCs w:val="28"/>
        </w:rPr>
        <w:t>402-ФЗ «О нематериальном этнокультурном достоянии Российской Федерации»;</w:t>
      </w:r>
    </w:p>
    <w:p w14:paraId="2C29AA07" w14:textId="2FDDB3EE" w:rsidR="00FE7050" w:rsidRPr="00453C02" w:rsidRDefault="00FE7050" w:rsidP="00373009">
      <w:pPr>
        <w:widowControl w:val="0"/>
        <w:rPr>
          <w:rFonts w:ascii="PT Astra Serif" w:eastAsia="Times New Roman" w:hAnsi="PT Astra Serif"/>
          <w:szCs w:val="28"/>
        </w:rPr>
      </w:pPr>
      <w:r w:rsidRPr="00453C02">
        <w:rPr>
          <w:rFonts w:ascii="PT Astra Serif" w:eastAsia="Times New Roman" w:hAnsi="PT Astra Serif"/>
          <w:szCs w:val="28"/>
        </w:rPr>
        <w:t>Указ Президента РФ</w:t>
      </w:r>
      <w:r w:rsidR="00F20E95">
        <w:rPr>
          <w:rFonts w:ascii="PT Astra Serif" w:eastAsia="Times New Roman" w:hAnsi="PT Astra Serif"/>
          <w:szCs w:val="28"/>
        </w:rPr>
        <w:t xml:space="preserve"> </w:t>
      </w:r>
      <w:r w:rsidRPr="00453C02">
        <w:rPr>
          <w:rFonts w:ascii="PT Astra Serif" w:eastAsia="Times New Roman" w:hAnsi="PT Astra Serif"/>
          <w:szCs w:val="28"/>
        </w:rPr>
        <w:t>от 21.07.2020 №</w:t>
      </w:r>
      <w:r>
        <w:rPr>
          <w:rFonts w:ascii="PT Astra Serif" w:eastAsia="Times New Roman" w:hAnsi="PT Astra Serif"/>
          <w:szCs w:val="28"/>
        </w:rPr>
        <w:t> </w:t>
      </w:r>
      <w:r w:rsidRPr="00453C02">
        <w:rPr>
          <w:rFonts w:ascii="PT Astra Serif" w:eastAsia="Times New Roman" w:hAnsi="PT Astra Serif"/>
          <w:szCs w:val="28"/>
        </w:rPr>
        <w:t>474 «О национальных целях развития Российской Федерации на период до 2030 года», который скорректировал долгосрочные целевые ориентиры, определенные Указом Президента от 07.05.2018 №</w:t>
      </w:r>
      <w:r>
        <w:rPr>
          <w:rFonts w:ascii="PT Astra Serif" w:eastAsia="Times New Roman" w:hAnsi="PT Astra Serif"/>
          <w:szCs w:val="28"/>
        </w:rPr>
        <w:t> </w:t>
      </w:r>
      <w:r w:rsidRPr="00453C02">
        <w:rPr>
          <w:rFonts w:ascii="PT Astra Serif" w:eastAsia="Times New Roman" w:hAnsi="PT Astra Serif"/>
          <w:szCs w:val="28"/>
        </w:rPr>
        <w:t>204 «О национальных целях и стратегических задачах развития Российской Федерации на период до 2024 года»;</w:t>
      </w:r>
    </w:p>
    <w:p w14:paraId="556CA383" w14:textId="6B6CD17E" w:rsidR="00FE7050" w:rsidRPr="00453C02" w:rsidRDefault="00FE7050" w:rsidP="00373009">
      <w:pPr>
        <w:widowControl w:val="0"/>
        <w:rPr>
          <w:rFonts w:ascii="PT Astra Serif" w:eastAsia="Times New Roman" w:hAnsi="PT Astra Serif"/>
          <w:szCs w:val="28"/>
        </w:rPr>
      </w:pPr>
      <w:r w:rsidRPr="00453C02">
        <w:rPr>
          <w:rFonts w:ascii="PT Astra Serif" w:eastAsia="Times New Roman" w:hAnsi="PT Astra Serif"/>
          <w:szCs w:val="28"/>
        </w:rPr>
        <w:t xml:space="preserve">Указ Президента РФ от 07.05.2012 </w:t>
      </w:r>
      <w:r>
        <w:rPr>
          <w:rFonts w:ascii="PT Astra Serif" w:eastAsia="Times New Roman" w:hAnsi="PT Astra Serif"/>
          <w:szCs w:val="28"/>
        </w:rPr>
        <w:t>№ </w:t>
      </w:r>
      <w:r w:rsidRPr="00453C02">
        <w:rPr>
          <w:rFonts w:ascii="PT Astra Serif" w:eastAsia="Times New Roman" w:hAnsi="PT Astra Serif"/>
          <w:szCs w:val="28"/>
        </w:rPr>
        <w:t>597 «О мероприятиях по реализации государственной социальной политики»;</w:t>
      </w:r>
    </w:p>
    <w:p w14:paraId="43C9B1AE" w14:textId="0AAE76EF" w:rsidR="00FE7050" w:rsidRPr="00307335" w:rsidRDefault="00FE7050" w:rsidP="00373009">
      <w:pPr>
        <w:widowControl w:val="0"/>
        <w:rPr>
          <w:rFonts w:ascii="PT Astra Serif" w:eastAsia="Times New Roman" w:hAnsi="PT Astra Serif"/>
          <w:szCs w:val="28"/>
        </w:rPr>
      </w:pPr>
      <w:r w:rsidRPr="00453C02">
        <w:rPr>
          <w:rFonts w:ascii="PT Astra Serif" w:eastAsia="Times New Roman" w:hAnsi="PT Astra Serif"/>
          <w:szCs w:val="28"/>
        </w:rPr>
        <w:t xml:space="preserve">Указ Президента </w:t>
      </w:r>
      <w:r w:rsidR="00F20E95">
        <w:rPr>
          <w:rFonts w:ascii="PT Astra Serif" w:eastAsia="Times New Roman" w:hAnsi="PT Astra Serif"/>
          <w:szCs w:val="28"/>
        </w:rPr>
        <w:t>РФ</w:t>
      </w:r>
      <w:r w:rsidRPr="00453C02">
        <w:rPr>
          <w:rFonts w:ascii="PT Astra Serif" w:eastAsia="Times New Roman" w:hAnsi="PT Astra Serif"/>
          <w:szCs w:val="28"/>
        </w:rPr>
        <w:t xml:space="preserve"> от 09.11.2022 №</w:t>
      </w:r>
      <w:r>
        <w:rPr>
          <w:rFonts w:ascii="PT Astra Serif" w:eastAsia="Times New Roman" w:hAnsi="PT Astra Serif"/>
          <w:szCs w:val="28"/>
        </w:rPr>
        <w:t> </w:t>
      </w:r>
      <w:r w:rsidRPr="00453C02">
        <w:rPr>
          <w:rFonts w:ascii="PT Astra Serif" w:eastAsia="Times New Roman" w:hAnsi="PT Astra Serif"/>
          <w:szCs w:val="28"/>
        </w:rPr>
        <w:t xml:space="preserve">809 «Об утверждении Основ государственной политики по сохранению и укреплению </w:t>
      </w:r>
      <w:r w:rsidRPr="00307335">
        <w:rPr>
          <w:rFonts w:ascii="PT Astra Serif" w:eastAsia="Times New Roman" w:hAnsi="PT Astra Serif"/>
          <w:szCs w:val="28"/>
        </w:rPr>
        <w:t>традиционных российских духовно-нравственных ценностей»;</w:t>
      </w:r>
    </w:p>
    <w:p w14:paraId="2BB238ED" w14:textId="77777777" w:rsidR="00FE7050" w:rsidRPr="00307335" w:rsidRDefault="00FE7050" w:rsidP="00373009">
      <w:pPr>
        <w:widowControl w:val="0"/>
        <w:rPr>
          <w:rFonts w:ascii="PT Astra Serif" w:hAnsi="PT Astra Serif"/>
          <w:szCs w:val="28"/>
          <w:lang w:eastAsia="ru-RU"/>
        </w:rPr>
      </w:pPr>
      <w:r w:rsidRPr="00307335">
        <w:rPr>
          <w:rFonts w:ascii="PT Astra Serif" w:hAnsi="PT Astra Serif"/>
          <w:szCs w:val="28"/>
          <w:lang w:eastAsia="ru-RU"/>
        </w:rPr>
        <w:t>80-летие Победы в Великой Отечественной войне</w:t>
      </w:r>
      <w:r>
        <w:rPr>
          <w:rFonts w:ascii="PT Astra Serif" w:hAnsi="PT Astra Serif"/>
          <w:szCs w:val="28"/>
          <w:lang w:eastAsia="ru-RU"/>
        </w:rPr>
        <w:t>.</w:t>
      </w:r>
    </w:p>
    <w:p w14:paraId="58EB2503" w14:textId="5C4F628F" w:rsidR="002666A3" w:rsidRDefault="002666A3" w:rsidP="00587C80">
      <w:pPr>
        <w:widowControl w:val="0"/>
        <w:rPr>
          <w:rFonts w:ascii="PT Astra Serif" w:eastAsia="Times New Roman" w:hAnsi="PT Astra Serif"/>
          <w:bCs/>
          <w:szCs w:val="28"/>
        </w:rPr>
      </w:pPr>
    </w:p>
    <w:p w14:paraId="1C55E62B" w14:textId="021887C5" w:rsidR="00373009" w:rsidRPr="0084643D" w:rsidRDefault="00373009" w:rsidP="00F20E95">
      <w:pPr>
        <w:widowControl w:val="0"/>
        <w:ind w:firstLine="0"/>
        <w:jc w:val="center"/>
        <w:rPr>
          <w:rFonts w:ascii="PT Astra Serif" w:hAnsi="PT Astra Serif" w:cs="PT Astra Serif"/>
          <w:b/>
          <w:i/>
          <w:iCs/>
          <w:color w:val="000000"/>
          <w:szCs w:val="28"/>
          <w:shd w:val="clear" w:color="auto" w:fill="FFFFFF"/>
        </w:rPr>
      </w:pPr>
      <w:r w:rsidRPr="0084643D">
        <w:rPr>
          <w:rFonts w:ascii="PT Astra Serif" w:hAnsi="PT Astra Serif" w:cs="PT Astra Serif"/>
          <w:b/>
          <w:i/>
          <w:iCs/>
          <w:color w:val="000000"/>
          <w:szCs w:val="28"/>
          <w:shd w:val="clear" w:color="auto" w:fill="FFFFFF"/>
        </w:rPr>
        <w:t>Инфраструктурные за</w:t>
      </w:r>
      <w:r w:rsidRPr="004E68E8">
        <w:rPr>
          <w:rFonts w:ascii="PT Astra Serif" w:hAnsi="PT Astra Serif" w:cs="PT Astra Serif"/>
          <w:b/>
          <w:i/>
          <w:iCs/>
          <w:color w:val="000000"/>
          <w:szCs w:val="28"/>
          <w:shd w:val="clear" w:color="auto" w:fill="FFFFFF"/>
        </w:rPr>
        <w:t>дачи</w:t>
      </w:r>
    </w:p>
    <w:p w14:paraId="266BB1C0" w14:textId="77777777" w:rsidR="00373009" w:rsidRDefault="00373009" w:rsidP="004E68E8">
      <w:pPr>
        <w:widowControl w:val="0"/>
        <w:rPr>
          <w:rFonts w:ascii="PT Astra Serif" w:hAnsi="PT Astra Serif"/>
          <w:bCs/>
          <w:szCs w:val="28"/>
          <w:lang w:eastAsia="ru-RU"/>
        </w:rPr>
      </w:pPr>
    </w:p>
    <w:p w14:paraId="0C8EDA16" w14:textId="77777777"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t xml:space="preserve">В декабре 2025 года завершилось </w:t>
      </w:r>
      <w:r w:rsidRPr="0084643D">
        <w:rPr>
          <w:rFonts w:ascii="PT Astra Serif" w:hAnsi="PT Astra Serif"/>
          <w:b/>
          <w:szCs w:val="28"/>
          <w:lang w:eastAsia="ru-RU"/>
        </w:rPr>
        <w:t>строительство здания</w:t>
      </w:r>
      <w:r w:rsidRPr="00307335">
        <w:rPr>
          <w:rFonts w:ascii="PT Astra Serif" w:hAnsi="PT Astra Serif"/>
          <w:bCs/>
          <w:szCs w:val="28"/>
          <w:lang w:eastAsia="ru-RU"/>
        </w:rPr>
        <w:t xml:space="preserve"> ОГБУК «</w:t>
      </w:r>
      <w:proofErr w:type="spellStart"/>
      <w:r w:rsidRPr="00307335">
        <w:rPr>
          <w:rFonts w:ascii="PT Astra Serif" w:hAnsi="PT Astra Serif"/>
          <w:bCs/>
          <w:szCs w:val="28"/>
          <w:lang w:eastAsia="ru-RU"/>
        </w:rPr>
        <w:t>Ундоровский</w:t>
      </w:r>
      <w:proofErr w:type="spellEnd"/>
      <w:r w:rsidRPr="00307335">
        <w:rPr>
          <w:rFonts w:ascii="PT Astra Serif" w:hAnsi="PT Astra Serif"/>
          <w:bCs/>
          <w:szCs w:val="28"/>
          <w:lang w:eastAsia="ru-RU"/>
        </w:rPr>
        <w:t xml:space="preserve"> палеонтологический музей» в </w:t>
      </w:r>
      <w:proofErr w:type="spellStart"/>
      <w:r w:rsidRPr="00307335">
        <w:rPr>
          <w:rFonts w:ascii="PT Astra Serif" w:hAnsi="PT Astra Serif"/>
          <w:bCs/>
          <w:szCs w:val="28"/>
          <w:lang w:eastAsia="ru-RU"/>
        </w:rPr>
        <w:t>с.Ундоры</w:t>
      </w:r>
      <w:proofErr w:type="spellEnd"/>
      <w:r w:rsidRPr="00307335">
        <w:rPr>
          <w:rFonts w:ascii="PT Astra Serif" w:hAnsi="PT Astra Serif"/>
          <w:bCs/>
          <w:szCs w:val="28"/>
          <w:lang w:eastAsia="ru-RU"/>
        </w:rPr>
        <w:t xml:space="preserve"> Ульяновского района. 24.12.2025 объект введен в эксплуатацию.</w:t>
      </w:r>
    </w:p>
    <w:p w14:paraId="5F512E78" w14:textId="2FF8B1CF"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t>Общая стоимость реализации проекта строительства 2-х этажного здания общей площадью 1</w:t>
      </w:r>
      <w:r w:rsidR="00F20E95">
        <w:rPr>
          <w:rFonts w:ascii="PT Astra Serif" w:hAnsi="PT Astra Serif"/>
          <w:bCs/>
          <w:szCs w:val="28"/>
          <w:lang w:eastAsia="ru-RU"/>
        </w:rPr>
        <w:t> </w:t>
      </w:r>
      <w:r w:rsidRPr="00307335">
        <w:rPr>
          <w:rFonts w:ascii="PT Astra Serif" w:hAnsi="PT Astra Serif"/>
          <w:bCs/>
          <w:szCs w:val="28"/>
          <w:lang w:eastAsia="ru-RU"/>
        </w:rPr>
        <w:t xml:space="preserve">825,9 </w:t>
      </w:r>
      <w:proofErr w:type="spellStart"/>
      <w:r w:rsidRPr="00307335">
        <w:rPr>
          <w:rFonts w:ascii="PT Astra Serif" w:hAnsi="PT Astra Serif"/>
          <w:bCs/>
          <w:szCs w:val="28"/>
          <w:lang w:eastAsia="ru-RU"/>
        </w:rPr>
        <w:t>кв.м</w:t>
      </w:r>
      <w:proofErr w:type="spellEnd"/>
      <w:r w:rsidRPr="00307335">
        <w:rPr>
          <w:rFonts w:ascii="PT Astra Serif" w:hAnsi="PT Astra Serif"/>
          <w:bCs/>
          <w:szCs w:val="28"/>
          <w:lang w:eastAsia="ru-RU"/>
        </w:rPr>
        <w:t>. составила 302 600,0 тыс. рублей.</w:t>
      </w:r>
    </w:p>
    <w:p w14:paraId="48709F70" w14:textId="743D77F4"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t xml:space="preserve">Объект возведён в соответствии с действующими требования </w:t>
      </w:r>
      <w:r w:rsidR="004E68E8">
        <w:rPr>
          <w:rFonts w:ascii="PT Astra Serif" w:hAnsi="PT Astra Serif"/>
          <w:bCs/>
          <w:szCs w:val="28"/>
          <w:lang w:eastAsia="ru-RU"/>
        </w:rPr>
        <w:br/>
      </w:r>
      <w:r w:rsidRPr="00307335">
        <w:rPr>
          <w:rFonts w:ascii="PT Astra Serif" w:hAnsi="PT Astra Serif"/>
          <w:bCs/>
          <w:szCs w:val="28"/>
          <w:lang w:eastAsia="ru-RU"/>
        </w:rPr>
        <w:t>к безопасной эксплуатации и комфортного пребывания. При строительстве использованы современные инженерные системы и отделочные материалы.</w:t>
      </w:r>
    </w:p>
    <w:p w14:paraId="03646AD6" w14:textId="390D7F2B"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lastRenderedPageBreak/>
        <w:t xml:space="preserve">В рамках государственной программы Ульяновской области «Развитие культуры, туризма и сохранение объектов культурного наследия </w:t>
      </w:r>
      <w:r w:rsidR="00F20E95">
        <w:rPr>
          <w:rFonts w:ascii="PT Astra Serif" w:hAnsi="PT Astra Serif"/>
          <w:bCs/>
          <w:szCs w:val="28"/>
          <w:lang w:eastAsia="ru-RU"/>
        </w:rPr>
        <w:br/>
      </w:r>
      <w:r w:rsidRPr="00307335">
        <w:rPr>
          <w:rFonts w:ascii="PT Astra Serif" w:hAnsi="PT Astra Serif"/>
          <w:bCs/>
          <w:szCs w:val="28"/>
          <w:lang w:eastAsia="ru-RU"/>
        </w:rPr>
        <w:t>в Ульяновской области за счет средств областного бюджета в объёме 117 465,4 тыс. рублей в 2025 году реализуется проект создания новой экспозиции музея. Контракт заключен в январе 2025 года.</w:t>
      </w:r>
    </w:p>
    <w:p w14:paraId="3E6352E8" w14:textId="77777777"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t>В рамках реализации проекта экспозиции выполняется закупка программно-аппаратных комплексов, макетов, моделей, создание контента, монтаж объемно-пространственных комплексов в экспозиционных залах музея, пуско-наладочные работы.</w:t>
      </w:r>
    </w:p>
    <w:p w14:paraId="03706CD8" w14:textId="1395B250" w:rsidR="00373009" w:rsidRPr="00307335" w:rsidRDefault="00373009" w:rsidP="004E68E8">
      <w:pPr>
        <w:widowControl w:val="0"/>
        <w:rPr>
          <w:rFonts w:ascii="PT Astra Serif" w:hAnsi="PT Astra Serif"/>
          <w:bCs/>
          <w:szCs w:val="28"/>
          <w:lang w:eastAsia="ru-RU"/>
        </w:rPr>
      </w:pPr>
      <w:r w:rsidRPr="00307335">
        <w:rPr>
          <w:rFonts w:ascii="PT Astra Serif" w:hAnsi="PT Astra Serif"/>
          <w:bCs/>
          <w:szCs w:val="28"/>
          <w:lang w:eastAsia="ru-RU"/>
        </w:rPr>
        <w:t xml:space="preserve">В первом квартале 2026 года планируется завершение работ по созданию новой экспозиции нового здания музея, оснащение мебелью </w:t>
      </w:r>
      <w:r w:rsidR="004E68E8">
        <w:rPr>
          <w:rFonts w:ascii="PT Astra Serif" w:hAnsi="PT Astra Serif"/>
          <w:bCs/>
          <w:szCs w:val="28"/>
          <w:lang w:eastAsia="ru-RU"/>
        </w:rPr>
        <w:br/>
      </w:r>
      <w:r w:rsidRPr="00307335">
        <w:rPr>
          <w:rFonts w:ascii="PT Astra Serif" w:hAnsi="PT Astra Serif"/>
          <w:bCs/>
          <w:szCs w:val="28"/>
          <w:lang w:eastAsia="ru-RU"/>
        </w:rPr>
        <w:t>и технологическим оборудованием.</w:t>
      </w:r>
    </w:p>
    <w:p w14:paraId="0B0C56CA" w14:textId="77777777" w:rsidR="00373009" w:rsidRPr="008F5B18" w:rsidRDefault="00373009" w:rsidP="004E68E8">
      <w:pPr>
        <w:widowControl w:val="0"/>
        <w:rPr>
          <w:rFonts w:ascii="PT Astra Serif" w:hAnsi="PT Astra Serif"/>
          <w:bCs/>
          <w:szCs w:val="28"/>
          <w:lang w:eastAsia="ru-RU"/>
        </w:rPr>
      </w:pPr>
      <w:r w:rsidRPr="008F5B18">
        <w:rPr>
          <w:rFonts w:ascii="PT Astra Serif" w:hAnsi="PT Astra Serif"/>
          <w:bCs/>
          <w:szCs w:val="28"/>
          <w:lang w:eastAsia="ru-RU"/>
        </w:rPr>
        <w:t>Открытие музея в мае 2026 года.</w:t>
      </w:r>
    </w:p>
    <w:p w14:paraId="4E0C38FB" w14:textId="3AEA1C14" w:rsidR="00373009" w:rsidRPr="008D3A47" w:rsidRDefault="00373009" w:rsidP="004E68E8">
      <w:pPr>
        <w:widowControl w:val="0"/>
        <w:rPr>
          <w:rFonts w:ascii="PT Astra Serif" w:hAnsi="PT Astra Serif"/>
          <w:b/>
          <w:szCs w:val="28"/>
          <w:shd w:val="clear" w:color="auto" w:fill="FFFFFF"/>
        </w:rPr>
      </w:pPr>
      <w:r w:rsidRPr="008D3A47">
        <w:rPr>
          <w:rFonts w:ascii="PT Astra Serif" w:hAnsi="PT Astra Serif"/>
          <w:b/>
          <w:szCs w:val="28"/>
          <w:shd w:val="clear" w:color="auto" w:fill="FFFFFF"/>
        </w:rPr>
        <w:t>Реставрация Мемориального центра, объекта культурного наследия (памятник истории и культуры) федерального значения</w:t>
      </w:r>
      <w:r w:rsidR="004E68E8">
        <w:rPr>
          <w:rFonts w:ascii="PT Astra Serif" w:hAnsi="PT Astra Serif"/>
          <w:b/>
          <w:szCs w:val="28"/>
          <w:shd w:val="clear" w:color="auto" w:fill="FFFFFF"/>
        </w:rPr>
        <w:t>.</w:t>
      </w:r>
    </w:p>
    <w:p w14:paraId="45F2C954"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С 2019 года в здании Мемориального центра ОГАУК «Ленинский мемориал» выполняются мероприятия по сохранению объекта культурного наследия федерального значения «Здание Мемориального центра, сооружённое в честь 100-летия со дня рождения Ленина Владимира Ильича».</w:t>
      </w:r>
    </w:p>
    <w:p w14:paraId="0E2274AF"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В период с 2019 по 2021 годов на объекте выполнен 1 этап работ – противоаварийные.</w:t>
      </w:r>
    </w:p>
    <w:p w14:paraId="5AE316E5"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В период с 2022 по 2027 годы реализуется 2-й этап мероприятий:</w:t>
      </w:r>
    </w:p>
    <w:p w14:paraId="54F2274E" w14:textId="422264DC" w:rsidR="00373009" w:rsidRPr="008D3A47" w:rsidRDefault="00373009" w:rsidP="004E68E8">
      <w:pPr>
        <w:widowControl w:val="0"/>
        <w:rPr>
          <w:rFonts w:ascii="PT Astra Serif" w:hAnsi="PT Astra Serif"/>
          <w:szCs w:val="28"/>
        </w:rPr>
      </w:pPr>
      <w:r w:rsidRPr="008D3A47">
        <w:rPr>
          <w:rFonts w:ascii="PT Astra Serif" w:hAnsi="PT Astra Serif"/>
          <w:szCs w:val="28"/>
        </w:rPr>
        <w:t>завершение модернизации инженерных систем и сетей, в том числе: электроснабжения, водоснабжения, водоотведения, газового и вод. пожаротушения, слаботочных систем.</w:t>
      </w:r>
    </w:p>
    <w:p w14:paraId="68DACC8D" w14:textId="1DCC1FCE" w:rsidR="00373009" w:rsidRPr="008D3A47" w:rsidRDefault="00373009" w:rsidP="004E68E8">
      <w:pPr>
        <w:widowControl w:val="0"/>
        <w:rPr>
          <w:rFonts w:ascii="PT Astra Serif" w:hAnsi="PT Astra Serif"/>
          <w:szCs w:val="28"/>
        </w:rPr>
      </w:pPr>
      <w:r w:rsidRPr="008D3A47">
        <w:rPr>
          <w:rFonts w:ascii="PT Astra Serif" w:hAnsi="PT Astra Serif"/>
          <w:szCs w:val="28"/>
        </w:rPr>
        <w:t>ремонтно-реставрационные работы, в том числе реставрация интерьеров;</w:t>
      </w:r>
    </w:p>
    <w:p w14:paraId="2CE628AC" w14:textId="49987C12" w:rsidR="00373009" w:rsidRPr="008D3A47" w:rsidRDefault="00373009" w:rsidP="004E68E8">
      <w:pPr>
        <w:widowControl w:val="0"/>
        <w:rPr>
          <w:rFonts w:ascii="PT Astra Serif" w:hAnsi="PT Astra Serif"/>
          <w:szCs w:val="28"/>
        </w:rPr>
      </w:pPr>
      <w:proofErr w:type="spellStart"/>
      <w:r w:rsidRPr="008D3A47">
        <w:rPr>
          <w:rFonts w:ascii="PT Astra Serif" w:hAnsi="PT Astra Serif"/>
          <w:szCs w:val="28"/>
        </w:rPr>
        <w:t>реэкспозиция</w:t>
      </w:r>
      <w:proofErr w:type="spellEnd"/>
      <w:r w:rsidRPr="008D3A47">
        <w:rPr>
          <w:rFonts w:ascii="PT Astra Serif" w:hAnsi="PT Astra Serif"/>
          <w:szCs w:val="28"/>
        </w:rPr>
        <w:t xml:space="preserve"> музея.</w:t>
      </w:r>
    </w:p>
    <w:p w14:paraId="14B31419"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В 2025 году:</w:t>
      </w:r>
    </w:p>
    <w:p w14:paraId="3516ACBE" w14:textId="2BE7C6B9" w:rsidR="00373009" w:rsidRPr="008D3A47" w:rsidRDefault="004E68E8" w:rsidP="004E68E8">
      <w:pPr>
        <w:widowControl w:val="0"/>
        <w:rPr>
          <w:rFonts w:ascii="PT Astra Serif" w:hAnsi="PT Astra Serif"/>
          <w:szCs w:val="28"/>
        </w:rPr>
      </w:pPr>
      <w:r>
        <w:rPr>
          <w:rFonts w:ascii="PT Astra Serif" w:hAnsi="PT Astra Serif"/>
          <w:szCs w:val="28"/>
        </w:rPr>
        <w:t xml:space="preserve">в рамках </w:t>
      </w:r>
      <w:proofErr w:type="spellStart"/>
      <w:r>
        <w:rPr>
          <w:rFonts w:ascii="PT Astra Serif" w:hAnsi="PT Astra Serif"/>
          <w:szCs w:val="28"/>
        </w:rPr>
        <w:t>Госконтракта</w:t>
      </w:r>
      <w:proofErr w:type="spellEnd"/>
      <w:r>
        <w:rPr>
          <w:rFonts w:ascii="PT Astra Serif" w:hAnsi="PT Astra Serif"/>
          <w:szCs w:val="28"/>
        </w:rPr>
        <w:t xml:space="preserve"> № </w:t>
      </w:r>
      <w:r w:rsidR="00373009" w:rsidRPr="008D3A47">
        <w:rPr>
          <w:rFonts w:ascii="PT Astra Serif" w:hAnsi="PT Astra Serif"/>
          <w:szCs w:val="28"/>
        </w:rPr>
        <w:t>17-22 от 18.05.2022 завершился 2-й этап ремонтно-реставрационных работ. Общая техническая готовность объекта за период 2019</w:t>
      </w:r>
      <w:r>
        <w:rPr>
          <w:rFonts w:ascii="PT Astra Serif" w:hAnsi="PT Astra Serif"/>
          <w:szCs w:val="28"/>
        </w:rPr>
        <w:t xml:space="preserve"> </w:t>
      </w:r>
      <w:r w:rsidR="00373009" w:rsidRPr="008D3A47">
        <w:rPr>
          <w:rFonts w:ascii="PT Astra Serif" w:hAnsi="PT Astra Serif"/>
          <w:szCs w:val="28"/>
        </w:rPr>
        <w:t>-</w:t>
      </w:r>
      <w:r>
        <w:rPr>
          <w:rFonts w:ascii="PT Astra Serif" w:hAnsi="PT Astra Serif"/>
          <w:szCs w:val="28"/>
        </w:rPr>
        <w:t xml:space="preserve"> </w:t>
      </w:r>
      <w:r w:rsidR="00373009" w:rsidRPr="008D3A47">
        <w:rPr>
          <w:rFonts w:ascii="PT Astra Serif" w:hAnsi="PT Astra Serif"/>
          <w:szCs w:val="28"/>
        </w:rPr>
        <w:t>2025 годов – 92%.</w:t>
      </w:r>
    </w:p>
    <w:p w14:paraId="41EDCE90" w14:textId="6C10C90C" w:rsidR="00373009" w:rsidRDefault="00373009" w:rsidP="004E68E8">
      <w:pPr>
        <w:widowControl w:val="0"/>
        <w:rPr>
          <w:rFonts w:ascii="PT Astra Serif" w:hAnsi="PT Astra Serif"/>
          <w:szCs w:val="28"/>
        </w:rPr>
      </w:pPr>
      <w:r w:rsidRPr="008D3A47">
        <w:rPr>
          <w:rFonts w:ascii="PT Astra Serif" w:hAnsi="PT Astra Serif"/>
          <w:szCs w:val="28"/>
        </w:rPr>
        <w:t xml:space="preserve">В рамках </w:t>
      </w:r>
      <w:proofErr w:type="spellStart"/>
      <w:r w:rsidRPr="008D3A47">
        <w:rPr>
          <w:rFonts w:ascii="PT Astra Serif" w:hAnsi="PT Astra Serif"/>
          <w:szCs w:val="28"/>
        </w:rPr>
        <w:t>Госконтракта</w:t>
      </w:r>
      <w:proofErr w:type="spellEnd"/>
      <w:r w:rsidRPr="008D3A47">
        <w:rPr>
          <w:rFonts w:ascii="PT Astra Serif" w:hAnsi="PT Astra Serif"/>
          <w:szCs w:val="28"/>
        </w:rPr>
        <w:t xml:space="preserve"> № 2025.206008 от 08.09.2025 выполнены работы первого этапа по созданию обновлённой музейной экспозиции Музея-мемориала В.И.</w:t>
      </w:r>
      <w:r w:rsidR="00F20E95">
        <w:rPr>
          <w:rFonts w:ascii="PT Astra Serif" w:hAnsi="PT Astra Serif"/>
          <w:szCs w:val="28"/>
        </w:rPr>
        <w:t> </w:t>
      </w:r>
      <w:r w:rsidRPr="008D3A47">
        <w:rPr>
          <w:rFonts w:ascii="PT Astra Serif" w:hAnsi="PT Astra Serif"/>
          <w:szCs w:val="28"/>
        </w:rPr>
        <w:t>Ленина</w:t>
      </w:r>
      <w:r>
        <w:rPr>
          <w:rFonts w:ascii="PT Astra Serif" w:hAnsi="PT Astra Serif"/>
          <w:szCs w:val="28"/>
        </w:rPr>
        <w:t>.</w:t>
      </w:r>
    </w:p>
    <w:p w14:paraId="5B1A4679"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Завершение полного комплекса мероприятий планируется в 2027 году.</w:t>
      </w:r>
    </w:p>
    <w:p w14:paraId="1A0E79D5" w14:textId="77777777" w:rsidR="00373009" w:rsidRPr="008D3A47" w:rsidRDefault="00373009" w:rsidP="004E68E8">
      <w:pPr>
        <w:widowControl w:val="0"/>
        <w:rPr>
          <w:rFonts w:ascii="PT Astra Serif" w:hAnsi="PT Astra Serif"/>
          <w:szCs w:val="28"/>
        </w:rPr>
      </w:pPr>
      <w:r w:rsidRPr="008D3A47">
        <w:rPr>
          <w:rFonts w:ascii="PT Astra Serif" w:hAnsi="PT Astra Serif"/>
          <w:szCs w:val="28"/>
        </w:rPr>
        <w:t>Общий объем средств бюджета, освоенных на объекте в 2025 году, составил 482 100,0 тыс. рублей в том числе: средства федерального бюджета – 405 000,0 тыс. рублей, средства областного бюджета – 77 100,0 тыс. рублей</w:t>
      </w:r>
    </w:p>
    <w:p w14:paraId="200BB7FB" w14:textId="36B51F2D" w:rsidR="00373009" w:rsidRPr="008D3A47" w:rsidRDefault="00373009" w:rsidP="004E68E8">
      <w:pPr>
        <w:widowControl w:val="0"/>
        <w:rPr>
          <w:rFonts w:ascii="PT Astra Serif" w:hAnsi="PT Astra Serif"/>
          <w:b/>
          <w:szCs w:val="28"/>
          <w:shd w:val="clear" w:color="auto" w:fill="FFFFFF"/>
        </w:rPr>
      </w:pPr>
      <w:r w:rsidRPr="008D3A47">
        <w:rPr>
          <w:rFonts w:ascii="PT Astra Serif" w:hAnsi="PT Astra Serif"/>
          <w:b/>
          <w:szCs w:val="28"/>
        </w:rPr>
        <w:t>Реставрация Литературного музея «Дом Языковых»,</w:t>
      </w:r>
      <w:r w:rsidRPr="008D3A47">
        <w:rPr>
          <w:rFonts w:ascii="PT Astra Serif" w:hAnsi="PT Astra Serif"/>
          <w:b/>
          <w:szCs w:val="28"/>
          <w:shd w:val="clear" w:color="auto" w:fill="FFFFFF"/>
        </w:rPr>
        <w:t xml:space="preserve"> объекта культурного наследия</w:t>
      </w:r>
      <w:r>
        <w:rPr>
          <w:rFonts w:ascii="PT Astra Serif" w:hAnsi="PT Astra Serif"/>
          <w:b/>
          <w:szCs w:val="28"/>
          <w:shd w:val="clear" w:color="auto" w:fill="FFFFFF"/>
        </w:rPr>
        <w:t xml:space="preserve"> </w:t>
      </w:r>
      <w:r w:rsidRPr="008D3A47">
        <w:rPr>
          <w:rFonts w:ascii="PT Astra Serif" w:hAnsi="PT Astra Serif"/>
          <w:b/>
          <w:szCs w:val="28"/>
          <w:shd w:val="clear" w:color="auto" w:fill="FFFFFF"/>
        </w:rPr>
        <w:t>(памятник истории и культуры) федерального значения</w:t>
      </w:r>
      <w:r w:rsidR="004E68E8">
        <w:rPr>
          <w:rFonts w:ascii="PT Astra Serif" w:hAnsi="PT Astra Serif"/>
          <w:b/>
          <w:szCs w:val="28"/>
          <w:shd w:val="clear" w:color="auto" w:fill="FFFFFF"/>
        </w:rPr>
        <w:t>.</w:t>
      </w:r>
    </w:p>
    <w:p w14:paraId="7C9DCB35" w14:textId="133BAE63" w:rsidR="00373009" w:rsidRPr="008D3A47" w:rsidRDefault="00373009" w:rsidP="004E68E8">
      <w:pPr>
        <w:widowControl w:val="0"/>
        <w:rPr>
          <w:rFonts w:ascii="PT Astra Serif" w:hAnsi="PT Astra Serif"/>
          <w:bCs/>
          <w:szCs w:val="28"/>
        </w:rPr>
      </w:pPr>
      <w:r w:rsidRPr="008D3A47">
        <w:rPr>
          <w:rFonts w:ascii="PT Astra Serif" w:hAnsi="PT Astra Serif"/>
          <w:bCs/>
          <w:szCs w:val="28"/>
        </w:rPr>
        <w:t xml:space="preserve">В 2025 году приступили к реализации мероприятий по сохранению объекта культурного наследия федерального значения «Дом Языкова Николая Михайловича, в котором в 1833 году проездом из Петербурга в Оренбург </w:t>
      </w:r>
      <w:r w:rsidRPr="008D3A47">
        <w:rPr>
          <w:rFonts w:ascii="PT Astra Serif" w:hAnsi="PT Astra Serif"/>
          <w:bCs/>
          <w:szCs w:val="28"/>
        </w:rPr>
        <w:lastRenderedPageBreak/>
        <w:t>останавливался А.С.</w:t>
      </w:r>
      <w:r w:rsidR="00F20E95">
        <w:rPr>
          <w:rFonts w:ascii="PT Astra Serif" w:hAnsi="PT Astra Serif"/>
          <w:bCs/>
          <w:szCs w:val="28"/>
        </w:rPr>
        <w:t> </w:t>
      </w:r>
      <w:r w:rsidRPr="008D3A47">
        <w:rPr>
          <w:rFonts w:ascii="PT Astra Serif" w:hAnsi="PT Astra Serif"/>
          <w:bCs/>
          <w:szCs w:val="28"/>
        </w:rPr>
        <w:t>Пушкин», филиал ОГБУК «Ульяновский областной краеведческий музей имени И.А.</w:t>
      </w:r>
      <w:r w:rsidR="00F20E95">
        <w:rPr>
          <w:rFonts w:ascii="PT Astra Serif" w:hAnsi="PT Astra Serif"/>
          <w:bCs/>
          <w:szCs w:val="28"/>
        </w:rPr>
        <w:t> </w:t>
      </w:r>
      <w:r w:rsidRPr="008D3A47">
        <w:rPr>
          <w:rFonts w:ascii="PT Astra Serif" w:hAnsi="PT Astra Serif"/>
          <w:bCs/>
          <w:szCs w:val="28"/>
        </w:rPr>
        <w:t>Гончарова».</w:t>
      </w:r>
    </w:p>
    <w:p w14:paraId="4C89A4D8" w14:textId="7A83EAD4" w:rsidR="00373009" w:rsidRPr="008D3A47" w:rsidRDefault="00373009" w:rsidP="004E68E8">
      <w:pPr>
        <w:widowControl w:val="0"/>
        <w:rPr>
          <w:rFonts w:ascii="PT Astra Serif" w:hAnsi="PT Astra Serif"/>
          <w:bCs/>
          <w:szCs w:val="28"/>
        </w:rPr>
      </w:pPr>
      <w:r w:rsidRPr="008D3A47">
        <w:rPr>
          <w:rFonts w:ascii="PT Astra Serif" w:hAnsi="PT Astra Serif"/>
          <w:bCs/>
          <w:szCs w:val="28"/>
        </w:rPr>
        <w:t>В 2025 году, в</w:t>
      </w:r>
      <w:r w:rsidR="004E68E8">
        <w:rPr>
          <w:rFonts w:ascii="PT Astra Serif" w:hAnsi="PT Astra Serif"/>
          <w:bCs/>
          <w:szCs w:val="28"/>
        </w:rPr>
        <w:t xml:space="preserve"> ходе исполнения трёхлетнего ГК </w:t>
      </w:r>
      <w:r w:rsidRPr="008D3A47">
        <w:rPr>
          <w:rFonts w:ascii="PT Astra Serif" w:hAnsi="PT Astra Serif"/>
          <w:bCs/>
          <w:szCs w:val="28"/>
        </w:rPr>
        <w:t>№</w:t>
      </w:r>
      <w:r w:rsidR="004E68E8">
        <w:rPr>
          <w:rFonts w:ascii="PT Astra Serif" w:hAnsi="PT Astra Serif"/>
          <w:bCs/>
          <w:szCs w:val="28"/>
        </w:rPr>
        <w:t> </w:t>
      </w:r>
      <w:r w:rsidRPr="008D3A47">
        <w:rPr>
          <w:rFonts w:ascii="PT Astra Serif" w:hAnsi="PT Astra Serif"/>
          <w:bCs/>
          <w:szCs w:val="28"/>
        </w:rPr>
        <w:t>6-25, заключенного 06.05.2025, в полном объёме выполнены плановые ремонтно-реставрационные работы 1-го этапа на сумму 45 937,0 тыс. рублей, в том числе:</w:t>
      </w:r>
    </w:p>
    <w:p w14:paraId="5785BE38" w14:textId="77777777" w:rsidR="00373009" w:rsidRPr="008D3A47" w:rsidRDefault="00373009" w:rsidP="004E68E8">
      <w:pPr>
        <w:widowControl w:val="0"/>
        <w:rPr>
          <w:rFonts w:ascii="PT Astra Serif" w:hAnsi="PT Astra Serif"/>
          <w:bCs/>
          <w:szCs w:val="28"/>
        </w:rPr>
      </w:pPr>
      <w:r w:rsidRPr="008D3A47">
        <w:rPr>
          <w:rFonts w:ascii="PT Astra Serif" w:hAnsi="PT Astra Serif"/>
          <w:bCs/>
          <w:szCs w:val="28"/>
        </w:rPr>
        <w:t>средства федерального бюджета – 38 595,0 тыс. рублей,</w:t>
      </w:r>
    </w:p>
    <w:p w14:paraId="40DF5CAF" w14:textId="77777777" w:rsidR="00373009" w:rsidRPr="008D3A47" w:rsidRDefault="00373009" w:rsidP="004E68E8">
      <w:pPr>
        <w:widowControl w:val="0"/>
        <w:rPr>
          <w:rFonts w:ascii="PT Astra Serif" w:hAnsi="PT Astra Serif"/>
          <w:bCs/>
          <w:szCs w:val="28"/>
        </w:rPr>
      </w:pPr>
      <w:r w:rsidRPr="008D3A47">
        <w:rPr>
          <w:rFonts w:ascii="PT Astra Serif" w:hAnsi="PT Astra Serif"/>
          <w:bCs/>
          <w:szCs w:val="28"/>
        </w:rPr>
        <w:t>средства областного бюджета – 7 342,0 тыс. рублей.</w:t>
      </w:r>
    </w:p>
    <w:p w14:paraId="53F38675" w14:textId="77777777" w:rsidR="00373009" w:rsidRPr="008D3A47" w:rsidRDefault="00373009" w:rsidP="004E68E8">
      <w:pPr>
        <w:widowControl w:val="0"/>
        <w:rPr>
          <w:rFonts w:ascii="PT Astra Serif" w:hAnsi="PT Astra Serif"/>
          <w:bCs/>
          <w:szCs w:val="28"/>
        </w:rPr>
      </w:pPr>
      <w:r w:rsidRPr="008D3A47">
        <w:rPr>
          <w:rFonts w:ascii="PT Astra Serif" w:hAnsi="PT Astra Serif"/>
          <w:bCs/>
          <w:szCs w:val="28"/>
        </w:rPr>
        <w:t>Общая строительная готовность – 28%, техническая (КС) - 13,9%.</w:t>
      </w:r>
    </w:p>
    <w:p w14:paraId="407A0B06" w14:textId="77777777" w:rsidR="00373009" w:rsidRPr="008D3A47" w:rsidRDefault="00373009" w:rsidP="004E68E8">
      <w:pPr>
        <w:widowControl w:val="0"/>
        <w:rPr>
          <w:rFonts w:ascii="PT Astra Serif" w:hAnsi="PT Astra Serif"/>
          <w:bCs/>
          <w:szCs w:val="28"/>
        </w:rPr>
      </w:pPr>
      <w:r w:rsidRPr="008D3A47">
        <w:rPr>
          <w:rFonts w:ascii="PT Astra Serif" w:hAnsi="PT Astra Serif"/>
          <w:bCs/>
          <w:szCs w:val="28"/>
        </w:rPr>
        <w:t>Параллельно ведётся работа по созданию новой экспозиции.</w:t>
      </w:r>
    </w:p>
    <w:p w14:paraId="2505BAD3" w14:textId="77777777" w:rsidR="00373009" w:rsidRPr="008D3A47" w:rsidRDefault="00373009" w:rsidP="004E68E8">
      <w:pPr>
        <w:widowControl w:val="0"/>
        <w:rPr>
          <w:rFonts w:ascii="PT Astra Serif" w:hAnsi="PT Astra Serif"/>
          <w:bCs/>
          <w:szCs w:val="28"/>
        </w:rPr>
      </w:pPr>
      <w:r w:rsidRPr="008D3A47">
        <w:rPr>
          <w:rFonts w:ascii="PT Astra Serif" w:hAnsi="PT Astra Serif"/>
          <w:bCs/>
          <w:szCs w:val="28"/>
        </w:rPr>
        <w:t>Открытие обновленного музея планируется в 2027 году.</w:t>
      </w:r>
    </w:p>
    <w:p w14:paraId="1E67FC77" w14:textId="0EEFB8BA" w:rsidR="002666A3" w:rsidRDefault="002666A3" w:rsidP="004E68E8">
      <w:pPr>
        <w:widowControl w:val="0"/>
        <w:rPr>
          <w:rFonts w:ascii="PT Astra Serif" w:eastAsia="Times New Roman" w:hAnsi="PT Astra Serif"/>
          <w:bCs/>
          <w:szCs w:val="28"/>
        </w:rPr>
      </w:pPr>
    </w:p>
    <w:p w14:paraId="1E0C56D3" w14:textId="0C191B99" w:rsidR="00627B39" w:rsidRDefault="00627B39" w:rsidP="00627B39">
      <w:pPr>
        <w:widowControl w:val="0"/>
        <w:ind w:firstLine="0"/>
        <w:jc w:val="center"/>
        <w:rPr>
          <w:rFonts w:ascii="PT Astra Serif" w:hAnsi="PT Astra Serif"/>
          <w:b/>
          <w:bCs/>
          <w:i/>
          <w:iCs/>
          <w:szCs w:val="28"/>
          <w:lang w:eastAsia="ru-RU"/>
        </w:rPr>
      </w:pPr>
      <w:r w:rsidRPr="0084643D">
        <w:rPr>
          <w:rFonts w:ascii="PT Astra Serif" w:hAnsi="PT Astra Serif"/>
          <w:b/>
          <w:bCs/>
          <w:i/>
          <w:iCs/>
          <w:szCs w:val="28"/>
          <w:lang w:eastAsia="ru-RU"/>
        </w:rPr>
        <w:t>Отраслевые проекты</w:t>
      </w:r>
    </w:p>
    <w:p w14:paraId="3A44735B" w14:textId="77777777" w:rsidR="00627B39" w:rsidRPr="0084643D" w:rsidRDefault="00627B39" w:rsidP="00627B39">
      <w:pPr>
        <w:widowControl w:val="0"/>
        <w:jc w:val="center"/>
        <w:rPr>
          <w:rFonts w:ascii="PT Astra Serif" w:hAnsi="PT Astra Serif"/>
          <w:b/>
          <w:bCs/>
          <w:i/>
          <w:iCs/>
          <w:szCs w:val="28"/>
          <w:lang w:eastAsia="ru-RU"/>
        </w:rPr>
      </w:pPr>
    </w:p>
    <w:p w14:paraId="5A6BA7E1" w14:textId="77777777" w:rsidR="00627B39" w:rsidRPr="0067166D" w:rsidRDefault="00627B39" w:rsidP="00627B39">
      <w:pPr>
        <w:pStyle w:val="a7"/>
        <w:widowControl w:val="0"/>
        <w:ind w:left="0"/>
        <w:rPr>
          <w:rFonts w:ascii="PT Astra Serif" w:hAnsi="PT Astra Serif"/>
          <w:szCs w:val="28"/>
          <w:lang w:eastAsia="ru-RU"/>
        </w:rPr>
      </w:pPr>
      <w:r w:rsidRPr="0067166D">
        <w:rPr>
          <w:rFonts w:ascii="PT Astra Serif" w:hAnsi="PT Astra Serif"/>
          <w:szCs w:val="28"/>
          <w:lang w:eastAsia="ru-RU"/>
        </w:rPr>
        <w:t>Продолжает свою работу Ульяновское региональное отделение Всероссийского общественного движения «Волонтеры культуры» На 31.12.202</w:t>
      </w:r>
      <w:r>
        <w:rPr>
          <w:rFonts w:ascii="PT Astra Serif" w:hAnsi="PT Astra Serif"/>
          <w:szCs w:val="28"/>
          <w:lang w:eastAsia="ru-RU"/>
        </w:rPr>
        <w:t>5</w:t>
      </w:r>
      <w:r w:rsidRPr="0067166D">
        <w:rPr>
          <w:rFonts w:ascii="PT Astra Serif" w:hAnsi="PT Astra Serif"/>
          <w:szCs w:val="28"/>
          <w:lang w:eastAsia="ru-RU"/>
        </w:rPr>
        <w:t xml:space="preserve"> в Ульяновской области зарегистрировано </w:t>
      </w:r>
      <w:r>
        <w:rPr>
          <w:rFonts w:ascii="PT Astra Serif" w:hAnsi="PT Astra Serif"/>
          <w:szCs w:val="28"/>
          <w:lang w:eastAsia="ru-RU"/>
        </w:rPr>
        <w:t xml:space="preserve">7 596 </w:t>
      </w:r>
      <w:r w:rsidRPr="0067166D">
        <w:rPr>
          <w:rFonts w:ascii="PT Astra Serif" w:hAnsi="PT Astra Serif"/>
          <w:szCs w:val="28"/>
          <w:lang w:eastAsia="ru-RU"/>
        </w:rPr>
        <w:t>волонтеров в сфере культуры (+</w:t>
      </w:r>
      <w:r>
        <w:rPr>
          <w:rFonts w:ascii="PT Astra Serif" w:hAnsi="PT Astra Serif"/>
          <w:szCs w:val="28"/>
          <w:lang w:eastAsia="ru-RU"/>
        </w:rPr>
        <w:t xml:space="preserve">2 183 </w:t>
      </w:r>
      <w:r w:rsidRPr="0067166D">
        <w:rPr>
          <w:rFonts w:ascii="PT Astra Serif" w:hAnsi="PT Astra Serif"/>
          <w:szCs w:val="28"/>
          <w:lang w:eastAsia="ru-RU"/>
        </w:rPr>
        <w:t>к 202</w:t>
      </w:r>
      <w:r>
        <w:rPr>
          <w:rFonts w:ascii="PT Astra Serif" w:hAnsi="PT Astra Serif"/>
          <w:szCs w:val="28"/>
          <w:lang w:eastAsia="ru-RU"/>
        </w:rPr>
        <w:t>4</w:t>
      </w:r>
      <w:r w:rsidRPr="0067166D">
        <w:rPr>
          <w:rFonts w:ascii="PT Astra Serif" w:hAnsi="PT Astra Serif"/>
          <w:szCs w:val="28"/>
          <w:lang w:eastAsia="ru-RU"/>
        </w:rPr>
        <w:t xml:space="preserve"> году).</w:t>
      </w:r>
    </w:p>
    <w:p w14:paraId="7881331F" w14:textId="77777777" w:rsidR="00627B39" w:rsidRPr="0067166D" w:rsidRDefault="00627B39" w:rsidP="00627B39">
      <w:pPr>
        <w:widowControl w:val="0"/>
        <w:rPr>
          <w:rFonts w:ascii="PT Astra Serif" w:eastAsia="Times New Roman" w:hAnsi="PT Astra Serif"/>
          <w:b/>
          <w:szCs w:val="28"/>
          <w:u w:val="single"/>
        </w:rPr>
      </w:pPr>
      <w:r w:rsidRPr="0067166D">
        <w:rPr>
          <w:rFonts w:ascii="PT Astra Serif" w:eastAsia="Times New Roman" w:hAnsi="PT Astra Serif"/>
          <w:b/>
          <w:szCs w:val="28"/>
        </w:rPr>
        <w:t>В 202</w:t>
      </w:r>
      <w:r>
        <w:rPr>
          <w:rFonts w:ascii="PT Astra Serif" w:eastAsia="Times New Roman" w:hAnsi="PT Astra Serif"/>
          <w:b/>
          <w:szCs w:val="28"/>
        </w:rPr>
        <w:t>5</w:t>
      </w:r>
      <w:r w:rsidRPr="0067166D">
        <w:rPr>
          <w:rFonts w:ascii="PT Astra Serif" w:eastAsia="Times New Roman" w:hAnsi="PT Astra Serif"/>
          <w:b/>
          <w:szCs w:val="28"/>
        </w:rPr>
        <w:t xml:space="preserve"> году продолжилась реализация проекта Министерства культуры РФ «Пушкинская карта».</w:t>
      </w:r>
    </w:p>
    <w:p w14:paraId="0F9324AD" w14:textId="77777777" w:rsidR="00627B39" w:rsidRPr="0067166D" w:rsidRDefault="00627B39" w:rsidP="00627B39">
      <w:pPr>
        <w:widowControl w:val="0"/>
        <w:rPr>
          <w:rFonts w:ascii="PT Astra Serif" w:eastAsia="Times New Roman" w:hAnsi="PT Astra Serif"/>
          <w:szCs w:val="28"/>
        </w:rPr>
      </w:pPr>
      <w:r w:rsidRPr="0067166D">
        <w:rPr>
          <w:rFonts w:ascii="PT Astra Serif" w:eastAsia="Times New Roman" w:hAnsi="PT Astra Serif"/>
          <w:szCs w:val="28"/>
        </w:rPr>
        <w:t>По данным статистики на 01.01.202</w:t>
      </w:r>
      <w:r>
        <w:rPr>
          <w:rFonts w:ascii="PT Astra Serif" w:eastAsia="Times New Roman" w:hAnsi="PT Astra Serif"/>
          <w:szCs w:val="28"/>
        </w:rPr>
        <w:t>6</w:t>
      </w:r>
      <w:r w:rsidRPr="0067166D">
        <w:rPr>
          <w:rFonts w:ascii="PT Astra Serif" w:eastAsia="Times New Roman" w:hAnsi="PT Astra Serif"/>
          <w:szCs w:val="28"/>
        </w:rPr>
        <w:t xml:space="preserve"> на территории Ульяновской области проживает </w:t>
      </w:r>
      <w:r>
        <w:rPr>
          <w:rFonts w:ascii="PT Astra Serif" w:eastAsia="Times New Roman" w:hAnsi="PT Astra Serif"/>
          <w:szCs w:val="28"/>
        </w:rPr>
        <w:t xml:space="preserve">104 782 </w:t>
      </w:r>
      <w:r w:rsidRPr="0067166D">
        <w:rPr>
          <w:rFonts w:ascii="PT Astra Serif" w:eastAsia="Times New Roman" w:hAnsi="PT Astra Serif"/>
          <w:szCs w:val="28"/>
        </w:rPr>
        <w:t xml:space="preserve">человека в возрасте от 14 до 22 лет. Показатель потенциальных обладателей Пушкинской карты вырос практически на 5 тысяч человек с 01.01.2024 (данные Росстата Ульяновской области). Порядка 60 тысяч (61% от общего количества потенциальных владельцев) – это жители городов Ульяновска, Новоульяновска и Димитровграда, остальные 40 тысяч молодых людей проживают на территории сельских поселений региона. </w:t>
      </w:r>
    </w:p>
    <w:p w14:paraId="1AF2B06E" w14:textId="77777777" w:rsidR="00627B39" w:rsidRPr="008D3A47" w:rsidRDefault="00627B39" w:rsidP="00627B39">
      <w:pPr>
        <w:widowControl w:val="0"/>
        <w:rPr>
          <w:rFonts w:ascii="PT Astra Serif" w:hAnsi="PT Astra Serif"/>
          <w:szCs w:val="28"/>
        </w:rPr>
      </w:pPr>
      <w:r w:rsidRPr="008D3A47">
        <w:rPr>
          <w:rFonts w:ascii="PT Astra Serif" w:hAnsi="PT Astra Serif"/>
          <w:szCs w:val="28"/>
        </w:rPr>
        <w:t>Из 120 юридических лиц (учреждений культуры) к программе подключено 77 учреждений (64%)</w:t>
      </w:r>
      <w:r>
        <w:rPr>
          <w:rFonts w:ascii="PT Astra Serif" w:hAnsi="PT Astra Serif"/>
          <w:szCs w:val="28"/>
        </w:rPr>
        <w:t>:</w:t>
      </w:r>
    </w:p>
    <w:p w14:paraId="6B672C8C" w14:textId="77777777" w:rsidR="00627B39" w:rsidRPr="008D3A47" w:rsidRDefault="00627B39" w:rsidP="00627B39">
      <w:pPr>
        <w:widowControl w:val="0"/>
        <w:rPr>
          <w:rFonts w:ascii="PT Astra Serif" w:hAnsi="PT Astra Serif"/>
          <w:szCs w:val="28"/>
        </w:rPr>
      </w:pPr>
      <w:r w:rsidRPr="008D3A47">
        <w:rPr>
          <w:rFonts w:ascii="PT Astra Serif" w:hAnsi="PT Astra Serif"/>
          <w:szCs w:val="28"/>
        </w:rPr>
        <w:t xml:space="preserve">1 – федеральное учреждение 100%, </w:t>
      </w:r>
    </w:p>
    <w:p w14:paraId="7024E6BA" w14:textId="77777777" w:rsidR="00627B39" w:rsidRPr="008D3A47" w:rsidRDefault="00627B39" w:rsidP="00627B39">
      <w:pPr>
        <w:widowControl w:val="0"/>
        <w:rPr>
          <w:rFonts w:ascii="PT Astra Serif" w:hAnsi="PT Astra Serif"/>
          <w:szCs w:val="28"/>
        </w:rPr>
      </w:pPr>
      <w:r w:rsidRPr="008D3A47">
        <w:rPr>
          <w:rFonts w:ascii="PT Astra Serif" w:hAnsi="PT Astra Serif"/>
          <w:szCs w:val="28"/>
        </w:rPr>
        <w:t xml:space="preserve">20 – государственных учреждений культуры 100%, </w:t>
      </w:r>
    </w:p>
    <w:p w14:paraId="52B44EC0" w14:textId="77777777" w:rsidR="00627B39" w:rsidRPr="008D3A47" w:rsidRDefault="00627B39" w:rsidP="00627B39">
      <w:pPr>
        <w:widowControl w:val="0"/>
        <w:rPr>
          <w:rFonts w:ascii="PT Astra Serif" w:eastAsia="Times New Roman" w:hAnsi="PT Astra Serif"/>
          <w:szCs w:val="28"/>
        </w:rPr>
      </w:pPr>
      <w:r w:rsidRPr="008D3A47">
        <w:rPr>
          <w:rFonts w:ascii="PT Astra Serif" w:hAnsi="PT Astra Serif"/>
          <w:szCs w:val="28"/>
        </w:rPr>
        <w:t>55 – муниципальных учреждений культуры и дополнительного образования.</w:t>
      </w:r>
    </w:p>
    <w:p w14:paraId="6A3E0C37" w14:textId="146299B4" w:rsidR="00627B39" w:rsidRPr="0067166D" w:rsidRDefault="00627B39" w:rsidP="00627B39">
      <w:pPr>
        <w:widowControl w:val="0"/>
        <w:rPr>
          <w:rFonts w:ascii="PT Astra Serif" w:eastAsia="Times New Roman" w:hAnsi="PT Astra Serif"/>
          <w:szCs w:val="28"/>
        </w:rPr>
      </w:pPr>
      <w:r w:rsidRPr="0067166D">
        <w:rPr>
          <w:rFonts w:ascii="PT Astra Serif" w:eastAsia="Times New Roman" w:hAnsi="PT Astra Serif"/>
          <w:szCs w:val="28"/>
        </w:rPr>
        <w:t>На 01.01.202</w:t>
      </w:r>
      <w:r>
        <w:rPr>
          <w:rFonts w:ascii="PT Astra Serif" w:eastAsia="Times New Roman" w:hAnsi="PT Astra Serif"/>
          <w:szCs w:val="28"/>
        </w:rPr>
        <w:t>6</w:t>
      </w:r>
      <w:r w:rsidRPr="0067166D">
        <w:rPr>
          <w:rFonts w:ascii="PT Astra Serif" w:eastAsia="Times New Roman" w:hAnsi="PT Astra Serif"/>
          <w:szCs w:val="28"/>
        </w:rPr>
        <w:t xml:space="preserve"> подключено к программе </w:t>
      </w:r>
      <w:r>
        <w:rPr>
          <w:rFonts w:ascii="PT Astra Serif" w:eastAsia="Times New Roman" w:hAnsi="PT Astra Serif"/>
          <w:szCs w:val="28"/>
        </w:rPr>
        <w:t xml:space="preserve">85 544 </w:t>
      </w:r>
      <w:r w:rsidRPr="0067166D">
        <w:rPr>
          <w:rFonts w:ascii="PT Astra Serif" w:eastAsia="Times New Roman" w:hAnsi="PT Astra Serif"/>
          <w:szCs w:val="28"/>
        </w:rPr>
        <w:t>человек</w:t>
      </w:r>
      <w:r>
        <w:rPr>
          <w:rFonts w:ascii="PT Astra Serif" w:eastAsia="Times New Roman" w:hAnsi="PT Astra Serif"/>
          <w:szCs w:val="28"/>
        </w:rPr>
        <w:t>а</w:t>
      </w:r>
      <w:r w:rsidRPr="0067166D">
        <w:rPr>
          <w:rFonts w:ascii="PT Astra Serif" w:eastAsia="Times New Roman" w:hAnsi="PT Astra Serif"/>
          <w:szCs w:val="28"/>
        </w:rPr>
        <w:t xml:space="preserve"> или </w:t>
      </w:r>
      <w:r>
        <w:rPr>
          <w:rFonts w:ascii="PT Astra Serif" w:eastAsia="Times New Roman" w:hAnsi="PT Astra Serif"/>
          <w:szCs w:val="28"/>
        </w:rPr>
        <w:t>82</w:t>
      </w:r>
      <w:r w:rsidRPr="0067166D">
        <w:rPr>
          <w:rFonts w:ascii="PT Astra Serif" w:eastAsia="Times New Roman" w:hAnsi="PT Astra Serif"/>
          <w:szCs w:val="28"/>
        </w:rPr>
        <w:t>% (+1</w:t>
      </w:r>
      <w:r>
        <w:rPr>
          <w:rFonts w:ascii="PT Astra Serif" w:eastAsia="Times New Roman" w:hAnsi="PT Astra Serif"/>
          <w:szCs w:val="28"/>
        </w:rPr>
        <w:t xml:space="preserve">3 258 </w:t>
      </w:r>
      <w:r w:rsidRPr="0067166D">
        <w:rPr>
          <w:rFonts w:ascii="PT Astra Serif" w:eastAsia="Times New Roman" w:hAnsi="PT Astra Serif"/>
          <w:szCs w:val="28"/>
        </w:rPr>
        <w:t>человек за 202</w:t>
      </w:r>
      <w:r>
        <w:rPr>
          <w:rFonts w:ascii="PT Astra Serif" w:eastAsia="Times New Roman" w:hAnsi="PT Astra Serif"/>
          <w:szCs w:val="28"/>
        </w:rPr>
        <w:t>5</w:t>
      </w:r>
      <w:r w:rsidRPr="0067166D">
        <w:rPr>
          <w:rFonts w:ascii="PT Astra Serif" w:eastAsia="Times New Roman" w:hAnsi="PT Astra Serif"/>
          <w:szCs w:val="28"/>
        </w:rPr>
        <w:t xml:space="preserve"> год). Наибольший процент (около 80%) подключенных к программе – это обучающиеся общеобразовательных </w:t>
      </w:r>
      <w:r>
        <w:rPr>
          <w:rFonts w:ascii="PT Astra Serif" w:eastAsia="Times New Roman" w:hAnsi="PT Astra Serif"/>
          <w:szCs w:val="28"/>
        </w:rPr>
        <w:br/>
      </w:r>
      <w:r w:rsidRPr="0067166D">
        <w:rPr>
          <w:rFonts w:ascii="PT Astra Serif" w:eastAsia="Times New Roman" w:hAnsi="PT Astra Serif"/>
          <w:szCs w:val="28"/>
        </w:rPr>
        <w:t>и профессиональных образовательных учреждений в муниципальных образованиях Ульяновской области.</w:t>
      </w:r>
    </w:p>
    <w:p w14:paraId="69678C78" w14:textId="77777777" w:rsidR="00627B39" w:rsidRPr="0067166D" w:rsidRDefault="00627B39" w:rsidP="00627B39">
      <w:pPr>
        <w:widowControl w:val="0"/>
        <w:rPr>
          <w:rFonts w:ascii="PT Astra Serif" w:eastAsia="Times New Roman" w:hAnsi="PT Astra Serif"/>
          <w:szCs w:val="28"/>
        </w:rPr>
      </w:pPr>
      <w:r w:rsidRPr="0067166D">
        <w:rPr>
          <w:rFonts w:ascii="PT Astra Serif" w:eastAsia="Times New Roman" w:hAnsi="PT Astra Serif"/>
          <w:szCs w:val="28"/>
        </w:rPr>
        <w:t xml:space="preserve">В денежном выражении сумма потенциально доступных средств по программе «Пушкинская карта» для региона с учетом количества проживающих </w:t>
      </w:r>
      <w:r>
        <w:rPr>
          <w:rFonts w:ascii="PT Astra Serif" w:eastAsia="Times New Roman" w:hAnsi="PT Astra Serif"/>
          <w:szCs w:val="28"/>
        </w:rPr>
        <w:t>427,7</w:t>
      </w:r>
      <w:r w:rsidRPr="0067166D">
        <w:rPr>
          <w:rFonts w:ascii="PT Astra Serif" w:eastAsia="Times New Roman" w:hAnsi="PT Astra Serif"/>
          <w:szCs w:val="28"/>
        </w:rPr>
        <w:t xml:space="preserve"> млн рублей.</w:t>
      </w:r>
    </w:p>
    <w:p w14:paraId="4484C66A" w14:textId="77777777" w:rsidR="00627B39" w:rsidRDefault="00627B39" w:rsidP="00627B39">
      <w:pPr>
        <w:widowControl w:val="0"/>
        <w:rPr>
          <w:rFonts w:ascii="PT Astra Serif" w:eastAsia="Times New Roman" w:hAnsi="PT Astra Serif"/>
          <w:szCs w:val="28"/>
        </w:rPr>
      </w:pPr>
      <w:r w:rsidRPr="0067166D">
        <w:rPr>
          <w:rFonts w:ascii="PT Astra Serif" w:eastAsia="Times New Roman" w:hAnsi="PT Astra Serif"/>
          <w:szCs w:val="28"/>
        </w:rPr>
        <w:t>За 202</w:t>
      </w:r>
      <w:r>
        <w:rPr>
          <w:rFonts w:ascii="PT Astra Serif" w:eastAsia="Times New Roman" w:hAnsi="PT Astra Serif"/>
          <w:szCs w:val="28"/>
        </w:rPr>
        <w:t>5</w:t>
      </w:r>
      <w:r w:rsidRPr="0067166D">
        <w:rPr>
          <w:rFonts w:ascii="PT Astra Serif" w:eastAsia="Times New Roman" w:hAnsi="PT Astra Serif"/>
          <w:szCs w:val="28"/>
        </w:rPr>
        <w:t xml:space="preserve"> год по Пушкинской карте в регионе было реализовано </w:t>
      </w:r>
      <w:r>
        <w:rPr>
          <w:rFonts w:ascii="PT Astra Serif" w:eastAsia="Times New Roman" w:hAnsi="PT Astra Serif"/>
          <w:szCs w:val="28"/>
        </w:rPr>
        <w:t xml:space="preserve">109 527 </w:t>
      </w:r>
      <w:r w:rsidRPr="0067166D">
        <w:rPr>
          <w:rFonts w:ascii="PT Astra Serif" w:eastAsia="Times New Roman" w:hAnsi="PT Astra Serif"/>
          <w:szCs w:val="28"/>
        </w:rPr>
        <w:t>билетов на сумму 37 млн рублей</w:t>
      </w:r>
      <w:r>
        <w:rPr>
          <w:rFonts w:ascii="PT Astra Serif" w:eastAsia="Times New Roman" w:hAnsi="PT Astra Serif"/>
          <w:szCs w:val="28"/>
        </w:rPr>
        <w:t>.</w:t>
      </w:r>
    </w:p>
    <w:p w14:paraId="34BC9CC9" w14:textId="68E871F7" w:rsidR="00627B39" w:rsidRDefault="00627B39" w:rsidP="00627B39">
      <w:pPr>
        <w:rPr>
          <w:rFonts w:ascii="PT Astra Serif" w:hAnsi="PT Astra Serif"/>
          <w:szCs w:val="28"/>
        </w:rPr>
      </w:pPr>
    </w:p>
    <w:p w14:paraId="38690DA3" w14:textId="77777777" w:rsidR="008D5740" w:rsidRDefault="008D5740" w:rsidP="00627B39">
      <w:pPr>
        <w:rPr>
          <w:rFonts w:ascii="PT Astra Serif" w:hAnsi="PT Astra Serif"/>
          <w:szCs w:val="28"/>
        </w:rPr>
      </w:pPr>
    </w:p>
    <w:p w14:paraId="6D6DF0AE" w14:textId="30A72869" w:rsidR="00813A35" w:rsidRDefault="00813A35" w:rsidP="00813A35">
      <w:pPr>
        <w:pStyle w:val="a7"/>
        <w:widowControl w:val="0"/>
        <w:ind w:left="0" w:firstLine="0"/>
        <w:jc w:val="center"/>
        <w:rPr>
          <w:rFonts w:ascii="PT Astra Serif" w:hAnsi="PT Astra Serif"/>
          <w:b/>
          <w:bCs/>
          <w:i/>
          <w:iCs/>
          <w:szCs w:val="28"/>
        </w:rPr>
      </w:pPr>
      <w:r w:rsidRPr="00BE5152">
        <w:rPr>
          <w:rFonts w:ascii="PT Astra Serif" w:hAnsi="PT Astra Serif"/>
          <w:b/>
          <w:bCs/>
          <w:i/>
          <w:iCs/>
          <w:szCs w:val="28"/>
        </w:rPr>
        <w:lastRenderedPageBreak/>
        <w:t>Повышение уровня благосостояния работников отрасли</w:t>
      </w:r>
    </w:p>
    <w:p w14:paraId="17C60B7B" w14:textId="77777777" w:rsidR="00813A35" w:rsidRPr="00BE5152" w:rsidRDefault="00813A35" w:rsidP="00813A35">
      <w:pPr>
        <w:pStyle w:val="a7"/>
        <w:widowControl w:val="0"/>
        <w:ind w:left="0" w:firstLine="0"/>
        <w:jc w:val="center"/>
        <w:rPr>
          <w:rFonts w:ascii="PT Astra Serif" w:hAnsi="PT Astra Serif"/>
          <w:b/>
          <w:bCs/>
          <w:i/>
          <w:iCs/>
          <w:szCs w:val="28"/>
        </w:rPr>
      </w:pPr>
    </w:p>
    <w:p w14:paraId="2DB72F1D" w14:textId="77777777" w:rsidR="00813A35" w:rsidRPr="003A38DB" w:rsidRDefault="00813A35" w:rsidP="00813A35">
      <w:pPr>
        <w:widowControl w:val="0"/>
        <w:rPr>
          <w:rFonts w:ascii="PT Astra Serif" w:hAnsi="PT Astra Serif"/>
          <w:szCs w:val="28"/>
        </w:rPr>
      </w:pPr>
      <w:r w:rsidRPr="0066100C">
        <w:rPr>
          <w:rFonts w:ascii="PT Astra Serif" w:hAnsi="PT Astra Serif"/>
          <w:szCs w:val="28"/>
        </w:rPr>
        <w:t>П</w:t>
      </w:r>
      <w:r w:rsidRPr="0066100C">
        <w:rPr>
          <w:rFonts w:ascii="PT Astra Serif" w:eastAsia="Times New Roman" w:hAnsi="PT Astra Serif"/>
          <w:bCs/>
          <w:color w:val="000000"/>
          <w:szCs w:val="28"/>
          <w:lang w:eastAsia="ru-RU"/>
        </w:rPr>
        <w:t xml:space="preserve">о оперативным данным, </w:t>
      </w:r>
      <w:r w:rsidRPr="0066100C">
        <w:rPr>
          <w:rFonts w:ascii="PT Astra Serif" w:eastAsia="Times New Roman" w:hAnsi="PT Astra Serif"/>
          <w:b/>
          <w:bCs/>
          <w:color w:val="000000"/>
          <w:szCs w:val="28"/>
          <w:lang w:eastAsia="ru-RU"/>
        </w:rPr>
        <w:t>средняя заработная плата</w:t>
      </w:r>
      <w:r w:rsidRPr="0066100C">
        <w:rPr>
          <w:rFonts w:ascii="PT Astra Serif" w:eastAsia="Times New Roman" w:hAnsi="PT Astra Serif"/>
          <w:bCs/>
          <w:color w:val="000000"/>
          <w:szCs w:val="28"/>
          <w:lang w:eastAsia="ru-RU"/>
        </w:rPr>
        <w:t xml:space="preserve"> работников учреждений культуры</w:t>
      </w:r>
      <w:r w:rsidRPr="0066100C">
        <w:rPr>
          <w:rFonts w:ascii="PT Astra Serif" w:eastAsia="Times New Roman" w:hAnsi="PT Astra Serif"/>
          <w:b/>
          <w:bCs/>
          <w:color w:val="000000"/>
          <w:szCs w:val="28"/>
          <w:lang w:eastAsia="ru-RU"/>
        </w:rPr>
        <w:t xml:space="preserve"> </w:t>
      </w:r>
      <w:r w:rsidRPr="0066100C">
        <w:rPr>
          <w:rFonts w:ascii="PT Astra Serif" w:eastAsia="Times New Roman" w:hAnsi="PT Astra Serif"/>
          <w:bCs/>
          <w:color w:val="000000"/>
          <w:szCs w:val="28"/>
          <w:lang w:eastAsia="ru-RU"/>
        </w:rPr>
        <w:t xml:space="preserve">всех форм собственности за </w:t>
      </w:r>
      <w:r w:rsidRPr="0066100C">
        <w:rPr>
          <w:rFonts w:ascii="PT Astra Serif" w:eastAsia="Times New Roman" w:hAnsi="PT Astra Serif"/>
          <w:b/>
          <w:bCs/>
          <w:color w:val="000000"/>
          <w:szCs w:val="28"/>
          <w:lang w:eastAsia="ru-RU"/>
        </w:rPr>
        <w:t>202</w:t>
      </w:r>
      <w:r>
        <w:rPr>
          <w:rFonts w:ascii="PT Astra Serif" w:eastAsia="Times New Roman" w:hAnsi="PT Astra Serif"/>
          <w:b/>
          <w:bCs/>
          <w:color w:val="000000"/>
          <w:szCs w:val="28"/>
          <w:lang w:eastAsia="ru-RU"/>
        </w:rPr>
        <w:t>5</w:t>
      </w:r>
      <w:r w:rsidRPr="0066100C">
        <w:rPr>
          <w:rFonts w:ascii="PT Astra Serif" w:eastAsia="Times New Roman" w:hAnsi="PT Astra Serif"/>
          <w:b/>
          <w:bCs/>
          <w:color w:val="000000"/>
          <w:szCs w:val="28"/>
          <w:lang w:eastAsia="ru-RU"/>
        </w:rPr>
        <w:t xml:space="preserve"> год </w:t>
      </w:r>
      <w:r w:rsidRPr="0066100C">
        <w:rPr>
          <w:rFonts w:ascii="PT Astra Serif" w:eastAsia="Times New Roman" w:hAnsi="PT Astra Serif"/>
          <w:bCs/>
          <w:color w:val="000000"/>
          <w:szCs w:val="28"/>
          <w:lang w:eastAsia="ru-RU"/>
        </w:rPr>
        <w:t xml:space="preserve">составила </w:t>
      </w:r>
      <w:r>
        <w:rPr>
          <w:rFonts w:ascii="PT Astra Serif" w:eastAsia="Times New Roman" w:hAnsi="PT Astra Serif"/>
          <w:b/>
          <w:bCs/>
          <w:color w:val="000000"/>
          <w:szCs w:val="28"/>
          <w:lang w:eastAsia="ru-RU"/>
        </w:rPr>
        <w:t xml:space="preserve">48 053,6 </w:t>
      </w:r>
      <w:r w:rsidRPr="0066100C">
        <w:rPr>
          <w:rFonts w:ascii="PT Astra Serif" w:eastAsia="Times New Roman" w:hAnsi="PT Astra Serif"/>
          <w:b/>
          <w:bCs/>
          <w:color w:val="000000"/>
          <w:szCs w:val="28"/>
          <w:lang w:eastAsia="ru-RU"/>
        </w:rPr>
        <w:t xml:space="preserve">рублей </w:t>
      </w:r>
      <w:r w:rsidRPr="0066100C">
        <w:rPr>
          <w:rFonts w:ascii="PT Astra Serif" w:eastAsia="Times New Roman" w:hAnsi="PT Astra Serif"/>
          <w:bCs/>
          <w:color w:val="000000"/>
          <w:szCs w:val="28"/>
          <w:lang w:eastAsia="ru-RU"/>
        </w:rPr>
        <w:t xml:space="preserve">или </w:t>
      </w:r>
      <w:r>
        <w:rPr>
          <w:rFonts w:ascii="PT Astra Serif" w:eastAsia="Times New Roman" w:hAnsi="PT Astra Serif"/>
          <w:b/>
          <w:bCs/>
          <w:color w:val="000000"/>
          <w:szCs w:val="28"/>
          <w:lang w:eastAsia="ru-RU"/>
        </w:rPr>
        <w:t>93,9</w:t>
      </w:r>
      <w:r w:rsidRPr="0066100C">
        <w:rPr>
          <w:rFonts w:ascii="PT Astra Serif" w:eastAsia="Times New Roman" w:hAnsi="PT Astra Serif"/>
          <w:b/>
          <w:bCs/>
          <w:szCs w:val="28"/>
          <w:lang w:eastAsia="ru-RU"/>
        </w:rPr>
        <w:t xml:space="preserve">% </w:t>
      </w:r>
      <w:r w:rsidRPr="0066100C">
        <w:rPr>
          <w:rFonts w:ascii="PT Astra Serif" w:eastAsia="Times New Roman" w:hAnsi="PT Astra Serif"/>
          <w:szCs w:val="28"/>
          <w:lang w:eastAsia="ru-RU"/>
        </w:rPr>
        <w:t xml:space="preserve">от целевого </w:t>
      </w:r>
      <w:r w:rsidRPr="00813A35">
        <w:rPr>
          <w:rFonts w:ascii="PT Astra Serif" w:eastAsia="Times New Roman" w:hAnsi="PT Astra Serif"/>
          <w:szCs w:val="28"/>
          <w:lang w:eastAsia="ru-RU"/>
        </w:rPr>
        <w:t>показателя</w:t>
      </w:r>
      <w:r w:rsidRPr="00813A35">
        <w:rPr>
          <w:rFonts w:ascii="PT Astra Serif" w:eastAsia="Times New Roman" w:hAnsi="PT Astra Serif"/>
          <w:bCs/>
          <w:szCs w:val="28"/>
          <w:lang w:eastAsia="ru-RU"/>
        </w:rPr>
        <w:t xml:space="preserve"> 51 172</w:t>
      </w:r>
      <w:r>
        <w:rPr>
          <w:rFonts w:ascii="PT Astra Serif" w:eastAsia="Times New Roman" w:hAnsi="PT Astra Serif"/>
          <w:bCs/>
          <w:szCs w:val="28"/>
          <w:lang w:eastAsia="ru-RU"/>
        </w:rPr>
        <w:t xml:space="preserve"> </w:t>
      </w:r>
      <w:r w:rsidRPr="0066100C">
        <w:rPr>
          <w:rFonts w:ascii="PT Astra Serif" w:eastAsia="Times New Roman" w:hAnsi="PT Astra Serif"/>
          <w:bCs/>
          <w:szCs w:val="28"/>
          <w:lang w:eastAsia="ru-RU"/>
        </w:rPr>
        <w:t>рубл</w:t>
      </w:r>
      <w:r>
        <w:rPr>
          <w:rFonts w:ascii="PT Astra Serif" w:eastAsia="Times New Roman" w:hAnsi="PT Astra Serif"/>
          <w:bCs/>
          <w:szCs w:val="28"/>
          <w:lang w:eastAsia="ru-RU"/>
        </w:rPr>
        <w:t>я</w:t>
      </w:r>
      <w:r w:rsidRPr="0066100C">
        <w:rPr>
          <w:rFonts w:ascii="PT Astra Serif" w:eastAsia="Times New Roman" w:hAnsi="PT Astra Serif"/>
          <w:bCs/>
          <w:szCs w:val="28"/>
          <w:lang w:eastAsia="ru-RU"/>
        </w:rPr>
        <w:t>.</w:t>
      </w:r>
      <w:r>
        <w:rPr>
          <w:rFonts w:ascii="PT Astra Serif" w:eastAsia="Times New Roman" w:hAnsi="PT Astra Serif"/>
          <w:bCs/>
          <w:szCs w:val="28"/>
          <w:lang w:eastAsia="ru-RU"/>
        </w:rPr>
        <w:t xml:space="preserve"> </w:t>
      </w:r>
      <w:r w:rsidRPr="0066100C">
        <w:rPr>
          <w:rFonts w:ascii="PT Astra Serif" w:eastAsia="Times New Roman" w:hAnsi="PT Astra Serif"/>
          <w:bCs/>
          <w:szCs w:val="28"/>
          <w:lang w:eastAsia="ru-RU"/>
        </w:rPr>
        <w:t xml:space="preserve">Целевой показатель по </w:t>
      </w:r>
      <w:r>
        <w:rPr>
          <w:rFonts w:ascii="PT Astra Serif" w:eastAsia="Times New Roman" w:hAnsi="PT Astra Serif"/>
          <w:bCs/>
          <w:szCs w:val="28"/>
          <w:lang w:eastAsia="ru-RU"/>
        </w:rPr>
        <w:t xml:space="preserve">средней </w:t>
      </w:r>
      <w:r w:rsidRPr="0066100C">
        <w:rPr>
          <w:rFonts w:ascii="PT Astra Serif" w:eastAsia="Times New Roman" w:hAnsi="PT Astra Serif"/>
          <w:bCs/>
          <w:szCs w:val="28"/>
          <w:lang w:eastAsia="ru-RU"/>
        </w:rPr>
        <w:t>заработной плате работников учреждений культуры в 202</w:t>
      </w:r>
      <w:r>
        <w:rPr>
          <w:rFonts w:ascii="PT Astra Serif" w:eastAsia="Times New Roman" w:hAnsi="PT Astra Serif"/>
          <w:bCs/>
          <w:szCs w:val="28"/>
          <w:lang w:eastAsia="ru-RU"/>
        </w:rPr>
        <w:t xml:space="preserve">5 </w:t>
      </w:r>
      <w:r w:rsidRPr="0066100C">
        <w:rPr>
          <w:rFonts w:ascii="PT Astra Serif" w:eastAsia="Times New Roman" w:hAnsi="PT Astra Serif"/>
          <w:bCs/>
          <w:szCs w:val="28"/>
          <w:lang w:eastAsia="ru-RU"/>
        </w:rPr>
        <w:t xml:space="preserve">году </w:t>
      </w:r>
      <w:r>
        <w:rPr>
          <w:rFonts w:ascii="PT Astra Serif" w:eastAsia="Times New Roman" w:hAnsi="PT Astra Serif"/>
          <w:bCs/>
          <w:szCs w:val="28"/>
          <w:lang w:eastAsia="ru-RU"/>
        </w:rPr>
        <w:t xml:space="preserve">не </w:t>
      </w:r>
      <w:r w:rsidRPr="0066100C">
        <w:rPr>
          <w:rFonts w:ascii="PT Astra Serif" w:eastAsia="Times New Roman" w:hAnsi="PT Astra Serif"/>
          <w:bCs/>
          <w:szCs w:val="28"/>
          <w:lang w:eastAsia="ru-RU"/>
        </w:rPr>
        <w:t>достигнут в полном объёме</w:t>
      </w:r>
      <w:r>
        <w:rPr>
          <w:rFonts w:ascii="PT Astra Serif" w:eastAsia="Times New Roman" w:hAnsi="PT Astra Serif"/>
          <w:bCs/>
          <w:szCs w:val="28"/>
          <w:lang w:eastAsia="ru-RU"/>
        </w:rPr>
        <w:t xml:space="preserve"> из-за низких заработных план в муниципальных учреждениях культуры</w:t>
      </w:r>
      <w:r w:rsidRPr="0066100C">
        <w:rPr>
          <w:rFonts w:ascii="PT Astra Serif" w:eastAsia="Times New Roman" w:hAnsi="PT Astra Serif"/>
          <w:bCs/>
          <w:szCs w:val="28"/>
          <w:lang w:eastAsia="ru-RU"/>
        </w:rPr>
        <w:t xml:space="preserve">. </w:t>
      </w:r>
      <w:r w:rsidRPr="0043345E">
        <w:rPr>
          <w:rFonts w:ascii="PT Astra Serif" w:eastAsia="Times New Roman" w:hAnsi="PT Astra Serif"/>
          <w:bCs/>
          <w:szCs w:val="28"/>
          <w:lang w:eastAsia="ru-RU"/>
        </w:rPr>
        <w:t xml:space="preserve">При этом, </w:t>
      </w:r>
      <w:proofErr w:type="spellStart"/>
      <w:r w:rsidRPr="0043345E">
        <w:rPr>
          <w:rFonts w:ascii="PT Astra Serif" w:hAnsi="PT Astra Serif"/>
          <w:b/>
          <w:bCs/>
          <w:szCs w:val="28"/>
        </w:rPr>
        <w:t>медианая</w:t>
      </w:r>
      <w:proofErr w:type="spellEnd"/>
      <w:r w:rsidRPr="0043345E">
        <w:rPr>
          <w:rFonts w:ascii="PT Astra Serif" w:hAnsi="PT Astra Serif"/>
          <w:b/>
          <w:bCs/>
          <w:szCs w:val="28"/>
        </w:rPr>
        <w:t xml:space="preserve"> заработная плата в</w:t>
      </w:r>
      <w:r w:rsidRPr="0043345E">
        <w:rPr>
          <w:rFonts w:ascii="PT Astra Serif" w:hAnsi="PT Astra Serif"/>
          <w:szCs w:val="28"/>
        </w:rPr>
        <w:t xml:space="preserve"> 202</w:t>
      </w:r>
      <w:r>
        <w:rPr>
          <w:rFonts w:ascii="PT Astra Serif" w:hAnsi="PT Astra Serif"/>
          <w:szCs w:val="28"/>
        </w:rPr>
        <w:t>5</w:t>
      </w:r>
      <w:r w:rsidRPr="0043345E">
        <w:rPr>
          <w:rFonts w:ascii="PT Astra Serif" w:hAnsi="PT Astra Serif"/>
          <w:szCs w:val="28"/>
        </w:rPr>
        <w:t xml:space="preserve"> году </w:t>
      </w:r>
      <w:r>
        <w:rPr>
          <w:rFonts w:ascii="PT Astra Serif" w:hAnsi="PT Astra Serif"/>
          <w:szCs w:val="28"/>
        </w:rPr>
        <w:t xml:space="preserve">40 521,5. Рост к уровню 2024 года </w:t>
      </w:r>
      <w:r w:rsidRPr="006843ED">
        <w:rPr>
          <w:rFonts w:ascii="PT Astra Serif" w:hAnsi="PT Astra Serif"/>
          <w:szCs w:val="28"/>
        </w:rPr>
        <w:t>(35 605 рублей) 113</w:t>
      </w:r>
      <w:r>
        <w:rPr>
          <w:rFonts w:ascii="PT Astra Serif" w:hAnsi="PT Astra Serif"/>
          <w:szCs w:val="28"/>
        </w:rPr>
        <w:t>,8% или 4 916,5 рублей</w:t>
      </w:r>
      <w:r w:rsidRPr="0043345E">
        <w:rPr>
          <w:rFonts w:ascii="PT Astra Serif" w:hAnsi="PT Astra Serif"/>
          <w:szCs w:val="28"/>
        </w:rPr>
        <w:t>.</w:t>
      </w:r>
    </w:p>
    <w:p w14:paraId="6797254E" w14:textId="77777777" w:rsidR="00813A35" w:rsidRPr="008D3A47" w:rsidRDefault="00813A35" w:rsidP="00813A35">
      <w:pPr>
        <w:widowControl w:val="0"/>
        <w:shd w:val="clear" w:color="auto" w:fill="FFFFFF"/>
        <w:rPr>
          <w:rFonts w:ascii="PT Astra Serif" w:hAnsi="PT Astra Serif"/>
          <w:szCs w:val="28"/>
        </w:rPr>
      </w:pPr>
      <w:r w:rsidRPr="0066100C">
        <w:rPr>
          <w:rFonts w:ascii="PT Astra Serif" w:hAnsi="PT Astra Serif"/>
          <w:szCs w:val="28"/>
        </w:rPr>
        <w:t xml:space="preserve">Рост средней заработной платы работников учреждений культуры по </w:t>
      </w:r>
      <w:r w:rsidRPr="008D3A47">
        <w:rPr>
          <w:rFonts w:ascii="PT Astra Serif" w:hAnsi="PT Astra Serif"/>
          <w:szCs w:val="28"/>
        </w:rPr>
        <w:t>сравнению с 2024 годом (41 125,0 рублей) составил 116,8% или 6 928,6 рублей.</w:t>
      </w:r>
    </w:p>
    <w:p w14:paraId="1D8E63EE" w14:textId="0D945B52" w:rsidR="002666A3" w:rsidRDefault="00B31E39" w:rsidP="00F20E95">
      <w:pPr>
        <w:widowControl w:val="0"/>
        <w:ind w:firstLine="0"/>
        <w:jc w:val="center"/>
        <w:rPr>
          <w:rFonts w:ascii="PT Astra Serif" w:eastAsia="Times New Roman" w:hAnsi="PT Astra Serif"/>
          <w:bCs/>
          <w:szCs w:val="28"/>
        </w:rPr>
      </w:pPr>
      <w:r w:rsidRPr="00E466D3">
        <w:rPr>
          <w:rFonts w:ascii="PT Astra Serif" w:eastAsia="Times New Roman" w:hAnsi="PT Astra Serif"/>
          <w:b/>
          <w:noProof/>
          <w:szCs w:val="28"/>
          <w:lang w:eastAsia="ru-RU"/>
        </w:rPr>
        <w:drawing>
          <wp:inline distT="0" distB="0" distL="0" distR="0" wp14:anchorId="0F800B72" wp14:editId="76E7E423">
            <wp:extent cx="5880786" cy="3116275"/>
            <wp:effectExtent l="0" t="0" r="0" b="0"/>
            <wp:docPr id="19" name="Объект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F13E94A" w14:textId="161CA110" w:rsidR="002666A3" w:rsidRPr="008D5740" w:rsidRDefault="002666A3" w:rsidP="00813A35">
      <w:pPr>
        <w:widowControl w:val="0"/>
        <w:rPr>
          <w:rFonts w:ascii="PT Astra Serif" w:eastAsia="Times New Roman" w:hAnsi="PT Astra Serif"/>
          <w:bCs/>
          <w:sz w:val="20"/>
          <w:szCs w:val="20"/>
        </w:rPr>
      </w:pPr>
    </w:p>
    <w:p w14:paraId="29E7D12C" w14:textId="77777777" w:rsidR="00840A63" w:rsidRPr="00F4544B" w:rsidRDefault="00840A63" w:rsidP="00840A63">
      <w:pPr>
        <w:widowControl w:val="0"/>
        <w:rPr>
          <w:rFonts w:ascii="PT Astra Serif" w:eastAsia="Times New Roman" w:hAnsi="PT Astra Serif"/>
          <w:bCs/>
          <w:color w:val="000000"/>
          <w:szCs w:val="28"/>
          <w:lang w:eastAsia="ru-RU"/>
        </w:rPr>
      </w:pPr>
      <w:bookmarkStart w:id="24" w:name="_Hlk159497410"/>
      <w:r w:rsidRPr="00F4544B">
        <w:rPr>
          <w:rFonts w:ascii="PT Astra Serif" w:eastAsia="Times New Roman" w:hAnsi="PT Astra Serif"/>
          <w:bCs/>
          <w:color w:val="000000"/>
          <w:szCs w:val="28"/>
          <w:lang w:eastAsia="ru-RU"/>
        </w:rPr>
        <w:t>По формам собственности учреждений культуры средняя заработная плата за 2025 год составила:</w:t>
      </w:r>
    </w:p>
    <w:p w14:paraId="3D5049D8" w14:textId="7B7CC2B7"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федеральному учреждению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72 148,6 рублей (141% к средней по региону);</w:t>
      </w:r>
    </w:p>
    <w:p w14:paraId="4C2DBA89" w14:textId="423B9556"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государственным учреждениям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55 106,9 рублей (107,7% к средней по региону);</w:t>
      </w:r>
    </w:p>
    <w:p w14:paraId="1159F629" w14:textId="4C6D70AD"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муниципальным учреждениям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39 740,2 рублей (77,7% к средней по региону);</w:t>
      </w:r>
    </w:p>
    <w:p w14:paraId="434534F2" w14:textId="252B2FF8"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негосударственным организациям</w:t>
      </w:r>
      <w:r>
        <w:rPr>
          <w:rFonts w:ascii="PT Astra Serif" w:eastAsia="Times New Roman" w:hAnsi="PT Astra Serif"/>
          <w:bCs/>
          <w:color w:val="000000"/>
          <w:szCs w:val="28"/>
          <w:lang w:eastAsia="ru-RU"/>
        </w:rPr>
        <w:t xml:space="preserve"> - </w:t>
      </w:r>
      <w:r w:rsidRPr="00F4544B">
        <w:rPr>
          <w:rFonts w:ascii="PT Astra Serif" w:eastAsia="Times New Roman" w:hAnsi="PT Astra Serif"/>
          <w:bCs/>
          <w:color w:val="000000"/>
          <w:szCs w:val="28"/>
          <w:lang w:eastAsia="ru-RU"/>
        </w:rPr>
        <w:t>32 841,0 рублей (64,2% к средней по региону).</w:t>
      </w:r>
    </w:p>
    <w:p w14:paraId="510D0EA4" w14:textId="77777777"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категориям государственных и муниципальных учреждений заработная плата составила:</w:t>
      </w:r>
    </w:p>
    <w:p w14:paraId="7CF7848A" w14:textId="5D08F075"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библиотеки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42 457,1 рублей (83,0% к средней по региону);</w:t>
      </w:r>
    </w:p>
    <w:p w14:paraId="3EA48F9A" w14:textId="133A5A38"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клубы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41 827,6 рублей (81,7% к средней по региону);</w:t>
      </w:r>
    </w:p>
    <w:p w14:paraId="4A25EF52" w14:textId="0D5A92A2"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парки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58 662,2 рубля (114,6% к средней по региону);</w:t>
      </w:r>
    </w:p>
    <w:p w14:paraId="2C5AF79B" w14:textId="0B8FBD1A"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музеи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54 168,5 рублей (105,9% к средней по региону);</w:t>
      </w:r>
    </w:p>
    <w:p w14:paraId="38D9AE7B" w14:textId="6B20631B"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театры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57 303,3 рубля (112,0% к средней по региону);</w:t>
      </w:r>
    </w:p>
    <w:p w14:paraId="12076EDE" w14:textId="50A67094" w:rsidR="00840A63" w:rsidRPr="00F4544B" w:rsidRDefault="00840A63" w:rsidP="00840A63">
      <w:pPr>
        <w:widowControl w:val="0"/>
        <w:rPr>
          <w:rFonts w:ascii="PT Astra Serif" w:eastAsia="Times New Roman" w:hAnsi="PT Astra Serif"/>
          <w:bCs/>
          <w:color w:val="000000"/>
          <w:szCs w:val="28"/>
          <w:lang w:eastAsia="ru-RU"/>
        </w:rPr>
      </w:pPr>
      <w:r>
        <w:rPr>
          <w:rFonts w:ascii="PT Astra Serif" w:eastAsia="Times New Roman" w:hAnsi="PT Astra Serif"/>
          <w:bCs/>
          <w:color w:val="000000"/>
          <w:szCs w:val="28"/>
          <w:lang w:eastAsia="ru-RU"/>
        </w:rPr>
        <w:t xml:space="preserve">архивы – </w:t>
      </w:r>
      <w:r w:rsidRPr="00F4544B">
        <w:rPr>
          <w:rFonts w:ascii="PT Astra Serif" w:eastAsia="Times New Roman" w:hAnsi="PT Astra Serif"/>
          <w:bCs/>
          <w:color w:val="000000"/>
          <w:szCs w:val="28"/>
          <w:lang w:eastAsia="ru-RU"/>
        </w:rPr>
        <w:t>52 987,3 рублей (103,5% к средней по региону);</w:t>
      </w:r>
    </w:p>
    <w:p w14:paraId="4234E761" w14:textId="1E9EFC80"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lastRenderedPageBreak/>
        <w:t>прочие и радиовещание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52 927,8 рублей (103,4% к средней по региону);</w:t>
      </w:r>
    </w:p>
    <w:p w14:paraId="029D5EF1" w14:textId="4BC9F8E7"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концертные организации –</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55 548,1 рублей (108,6% к средней по региону);</w:t>
      </w:r>
    </w:p>
    <w:p w14:paraId="6A4FE9D6" w14:textId="5E5D4FCF" w:rsidR="00840A63" w:rsidRPr="00F4544B" w:rsidRDefault="00840A63" w:rsidP="00840A63">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учреждения кинематографии –56 957,7 рублей (111,3% к средней по региону).</w:t>
      </w:r>
    </w:p>
    <w:bookmarkEnd w:id="24"/>
    <w:p w14:paraId="16CAAFFB" w14:textId="77777777" w:rsidR="00840A63" w:rsidRPr="00286460" w:rsidRDefault="00840A63" w:rsidP="00840A63">
      <w:pPr>
        <w:widowControl w:val="0"/>
        <w:shd w:val="clear" w:color="auto" w:fill="FFFFFF"/>
        <w:rPr>
          <w:rFonts w:ascii="PT Astra Serif" w:eastAsia="Times New Roman" w:hAnsi="PT Astra Serif"/>
          <w:bCs/>
          <w:szCs w:val="28"/>
          <w:lang w:eastAsia="ru-RU"/>
        </w:rPr>
      </w:pPr>
      <w:r w:rsidRPr="00286460">
        <w:rPr>
          <w:rFonts w:ascii="PT Astra Serif" w:eastAsia="Times New Roman" w:hAnsi="PT Astra Serif"/>
          <w:szCs w:val="28"/>
          <w:lang w:eastAsia="ru-RU"/>
        </w:rPr>
        <w:t>В 202</w:t>
      </w:r>
      <w:r>
        <w:rPr>
          <w:rFonts w:ascii="PT Astra Serif" w:eastAsia="Times New Roman" w:hAnsi="PT Astra Serif"/>
          <w:szCs w:val="28"/>
          <w:lang w:eastAsia="ru-RU"/>
        </w:rPr>
        <w:t>5 в</w:t>
      </w:r>
      <w:r w:rsidRPr="00286460">
        <w:rPr>
          <w:rFonts w:ascii="PT Astra Serif" w:eastAsia="Times New Roman" w:hAnsi="PT Astra Serif"/>
          <w:szCs w:val="28"/>
          <w:lang w:eastAsia="ru-RU"/>
        </w:rPr>
        <w:t xml:space="preserve"> году </w:t>
      </w:r>
      <w:r>
        <w:rPr>
          <w:rFonts w:ascii="PT Astra Serif" w:eastAsia="Times New Roman" w:hAnsi="PT Astra Serif"/>
          <w:szCs w:val="28"/>
          <w:lang w:eastAsia="ru-RU"/>
        </w:rPr>
        <w:t>д</w:t>
      </w:r>
      <w:r w:rsidRPr="00286460">
        <w:rPr>
          <w:rFonts w:ascii="PT Astra Serif" w:eastAsia="Times New Roman" w:hAnsi="PT Astra Serif"/>
          <w:bCs/>
          <w:szCs w:val="28"/>
          <w:lang w:eastAsia="ru-RU"/>
        </w:rPr>
        <w:t xml:space="preserve">испропорция в заработных платах </w:t>
      </w:r>
      <w:r w:rsidRPr="00286460">
        <w:rPr>
          <w:rFonts w:ascii="PT Astra Serif" w:eastAsia="Times New Roman" w:hAnsi="PT Astra Serif"/>
          <w:szCs w:val="28"/>
          <w:lang w:eastAsia="ru-RU"/>
        </w:rPr>
        <w:t xml:space="preserve">в муниципальных образованиях </w:t>
      </w:r>
      <w:r>
        <w:rPr>
          <w:rFonts w:ascii="PT Astra Serif" w:eastAsia="Times New Roman" w:hAnsi="PT Astra Serif"/>
          <w:szCs w:val="28"/>
          <w:lang w:eastAsia="ru-RU"/>
        </w:rPr>
        <w:t>увеличилась</w:t>
      </w:r>
      <w:r w:rsidRPr="00286460">
        <w:rPr>
          <w:rFonts w:ascii="PT Astra Serif" w:eastAsia="Times New Roman" w:hAnsi="PT Astra Serif"/>
          <w:bCs/>
          <w:szCs w:val="28"/>
          <w:lang w:eastAsia="ru-RU"/>
        </w:rPr>
        <w:t xml:space="preserve"> на </w:t>
      </w:r>
      <w:r>
        <w:rPr>
          <w:rFonts w:ascii="PT Astra Serif" w:eastAsia="Times New Roman" w:hAnsi="PT Astra Serif"/>
          <w:bCs/>
          <w:szCs w:val="28"/>
          <w:lang w:eastAsia="ru-RU"/>
        </w:rPr>
        <w:t>6 676,1</w:t>
      </w:r>
      <w:r w:rsidRPr="00286460">
        <w:rPr>
          <w:rFonts w:ascii="PT Astra Serif" w:eastAsia="Times New Roman" w:hAnsi="PT Astra Serif"/>
          <w:bCs/>
          <w:szCs w:val="28"/>
          <w:lang w:eastAsia="ru-RU"/>
        </w:rPr>
        <w:t xml:space="preserve"> ру</w:t>
      </w:r>
      <w:r>
        <w:rPr>
          <w:rFonts w:ascii="PT Astra Serif" w:eastAsia="Times New Roman" w:hAnsi="PT Astra Serif"/>
          <w:bCs/>
          <w:szCs w:val="28"/>
          <w:lang w:eastAsia="ru-RU"/>
        </w:rPr>
        <w:t xml:space="preserve">блей по сравнению с 2024 годом до 26 282,3 </w:t>
      </w:r>
      <w:r w:rsidRPr="00286460">
        <w:rPr>
          <w:rFonts w:ascii="PT Astra Serif" w:eastAsia="Times New Roman" w:hAnsi="PT Astra Serif"/>
          <w:bCs/>
          <w:szCs w:val="28"/>
          <w:lang w:eastAsia="ru-RU"/>
        </w:rPr>
        <w:t>рублей.</w:t>
      </w:r>
    </w:p>
    <w:p w14:paraId="78CDF69D" w14:textId="77777777" w:rsidR="00840A63" w:rsidRPr="008D5740" w:rsidRDefault="00840A63" w:rsidP="00840A63">
      <w:pPr>
        <w:shd w:val="clear" w:color="auto" w:fill="FFFFFF"/>
        <w:rPr>
          <w:rFonts w:ascii="PT Astra Serif" w:eastAsia="Times New Roman" w:hAnsi="PT Astra Serif"/>
          <w:bCs/>
          <w:color w:val="000000"/>
          <w:sz w:val="20"/>
          <w:szCs w:val="20"/>
          <w:lang w:eastAsia="ru-RU"/>
        </w:rPr>
      </w:pPr>
    </w:p>
    <w:p w14:paraId="22DFE323" w14:textId="2361C201" w:rsidR="0021143C" w:rsidRPr="00AF2355" w:rsidRDefault="0021143C" w:rsidP="0021143C">
      <w:pPr>
        <w:widowControl w:val="0"/>
        <w:ind w:firstLine="0"/>
        <w:jc w:val="center"/>
        <w:rPr>
          <w:rFonts w:ascii="PT Astra Serif" w:eastAsia="Times New Roman" w:hAnsi="PT Astra Serif"/>
          <w:b/>
          <w:bCs/>
          <w:sz w:val="20"/>
          <w:szCs w:val="20"/>
        </w:rPr>
      </w:pPr>
      <w:r w:rsidRPr="0021143C">
        <w:rPr>
          <w:rFonts w:ascii="PT Astra Serif" w:eastAsia="Times New Roman" w:hAnsi="PT Astra Serif"/>
          <w:b/>
          <w:bCs/>
          <w:sz w:val="20"/>
          <w:szCs w:val="20"/>
        </w:rPr>
        <w:t>Информация о средней</w:t>
      </w:r>
      <w:r w:rsidRPr="00AF2355">
        <w:rPr>
          <w:rFonts w:ascii="PT Astra Serif" w:eastAsia="Times New Roman" w:hAnsi="PT Astra Serif"/>
          <w:b/>
          <w:bCs/>
          <w:sz w:val="20"/>
          <w:szCs w:val="20"/>
        </w:rPr>
        <w:t xml:space="preserve"> заработной плате в муниципальных учреждениях культуры за 202</w:t>
      </w:r>
      <w:r>
        <w:rPr>
          <w:rFonts w:ascii="PT Astra Serif" w:eastAsia="Times New Roman" w:hAnsi="PT Astra Serif"/>
          <w:b/>
          <w:bCs/>
          <w:sz w:val="20"/>
          <w:szCs w:val="20"/>
        </w:rPr>
        <w:t>5</w:t>
      </w:r>
      <w:r w:rsidRPr="00AF2355">
        <w:rPr>
          <w:rFonts w:ascii="PT Astra Serif" w:eastAsia="Times New Roman" w:hAnsi="PT Astra Serif"/>
          <w:b/>
          <w:bCs/>
          <w:sz w:val="20"/>
          <w:szCs w:val="20"/>
        </w:rPr>
        <w:t xml:space="preserve"> год</w:t>
      </w:r>
    </w:p>
    <w:bookmarkEnd w:id="21"/>
    <w:p w14:paraId="248283D1" w14:textId="77777777" w:rsidR="00587C80" w:rsidRPr="00AF2355" w:rsidRDefault="00587C80" w:rsidP="00587C80">
      <w:pPr>
        <w:widowControl w:val="0"/>
        <w:rPr>
          <w:rFonts w:ascii="PT Astra Serif" w:eastAsia="Times New Roman" w:hAnsi="PT Astra Serif"/>
          <w:b/>
          <w:bCs/>
          <w:sz w:val="20"/>
          <w:szCs w:val="20"/>
        </w:rPr>
      </w:pPr>
    </w:p>
    <w:tbl>
      <w:tblPr>
        <w:tblW w:w="9213"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3402"/>
        <w:gridCol w:w="3685"/>
        <w:gridCol w:w="1559"/>
      </w:tblGrid>
      <w:tr w:rsidR="00587C80" w:rsidRPr="00AF2355" w14:paraId="520D5819" w14:textId="77777777" w:rsidTr="006D56FE">
        <w:trPr>
          <w:trHeight w:val="359"/>
          <w:tblHeader/>
        </w:trPr>
        <w:tc>
          <w:tcPr>
            <w:tcW w:w="567" w:type="dxa"/>
            <w:shd w:val="clear" w:color="auto" w:fill="FFFFFF"/>
            <w:noWrap/>
            <w:vAlign w:val="center"/>
            <w:hideMark/>
          </w:tcPr>
          <w:p w14:paraId="3E07A9AA" w14:textId="77777777" w:rsidR="00587C80" w:rsidRPr="00AF2355" w:rsidRDefault="00587C80" w:rsidP="00AF2355">
            <w:pPr>
              <w:widowControl w:val="0"/>
              <w:ind w:firstLine="0"/>
              <w:jc w:val="center"/>
              <w:rPr>
                <w:rFonts w:ascii="PT Astra Serif" w:eastAsia="Times New Roman" w:hAnsi="PT Astra Serif"/>
                <w:b/>
                <w:bCs/>
                <w:sz w:val="20"/>
                <w:szCs w:val="20"/>
              </w:rPr>
            </w:pPr>
            <w:r w:rsidRPr="00AF2355">
              <w:rPr>
                <w:rFonts w:ascii="PT Astra Serif" w:eastAsia="Times New Roman" w:hAnsi="PT Astra Serif"/>
                <w:b/>
                <w:bCs/>
                <w:sz w:val="20"/>
                <w:szCs w:val="20"/>
              </w:rPr>
              <w:t>№</w:t>
            </w:r>
          </w:p>
        </w:tc>
        <w:tc>
          <w:tcPr>
            <w:tcW w:w="3402" w:type="dxa"/>
            <w:shd w:val="clear" w:color="auto" w:fill="FFFFFF"/>
            <w:vAlign w:val="center"/>
            <w:hideMark/>
          </w:tcPr>
          <w:p w14:paraId="4704B633" w14:textId="77777777" w:rsidR="00587C80" w:rsidRPr="00AF2355" w:rsidRDefault="00587C80" w:rsidP="00AF2355">
            <w:pPr>
              <w:widowControl w:val="0"/>
              <w:ind w:firstLine="0"/>
              <w:jc w:val="center"/>
              <w:rPr>
                <w:rFonts w:ascii="PT Astra Serif" w:eastAsia="Times New Roman" w:hAnsi="PT Astra Serif"/>
                <w:b/>
                <w:bCs/>
                <w:sz w:val="20"/>
                <w:szCs w:val="20"/>
              </w:rPr>
            </w:pPr>
            <w:r w:rsidRPr="00AF2355">
              <w:rPr>
                <w:rFonts w:ascii="PT Astra Serif" w:eastAsia="Times New Roman" w:hAnsi="PT Astra Serif"/>
                <w:b/>
                <w:bCs/>
                <w:sz w:val="20"/>
                <w:szCs w:val="20"/>
              </w:rPr>
              <w:t>Наименование районов</w:t>
            </w:r>
          </w:p>
        </w:tc>
        <w:tc>
          <w:tcPr>
            <w:tcW w:w="3685" w:type="dxa"/>
            <w:shd w:val="clear" w:color="auto" w:fill="FFFFFF"/>
            <w:vAlign w:val="center"/>
            <w:hideMark/>
          </w:tcPr>
          <w:p w14:paraId="1ACE9B65" w14:textId="77777777" w:rsidR="00587C80" w:rsidRPr="00AF2355" w:rsidRDefault="00587C80" w:rsidP="00AF2355">
            <w:pPr>
              <w:widowControl w:val="0"/>
              <w:ind w:firstLine="0"/>
              <w:jc w:val="center"/>
              <w:rPr>
                <w:rFonts w:ascii="PT Astra Serif" w:eastAsia="Times New Roman" w:hAnsi="PT Astra Serif"/>
                <w:b/>
                <w:bCs/>
                <w:sz w:val="20"/>
                <w:szCs w:val="20"/>
              </w:rPr>
            </w:pPr>
            <w:r w:rsidRPr="00AF2355">
              <w:rPr>
                <w:rFonts w:ascii="PT Astra Serif" w:eastAsia="Times New Roman" w:hAnsi="PT Astra Serif"/>
                <w:b/>
                <w:bCs/>
                <w:sz w:val="20"/>
                <w:szCs w:val="20"/>
              </w:rPr>
              <w:t>Размер средней заработной платы, руб.</w:t>
            </w:r>
          </w:p>
        </w:tc>
        <w:tc>
          <w:tcPr>
            <w:tcW w:w="1559" w:type="dxa"/>
            <w:shd w:val="clear" w:color="auto" w:fill="FFFFFF"/>
            <w:vAlign w:val="center"/>
            <w:hideMark/>
          </w:tcPr>
          <w:p w14:paraId="032C3581" w14:textId="77777777" w:rsidR="00587C80" w:rsidRPr="00AF2355" w:rsidRDefault="00587C80" w:rsidP="00AF2355">
            <w:pPr>
              <w:widowControl w:val="0"/>
              <w:ind w:firstLine="0"/>
              <w:jc w:val="center"/>
              <w:rPr>
                <w:rFonts w:ascii="PT Astra Serif" w:eastAsia="Times New Roman" w:hAnsi="PT Astra Serif"/>
                <w:b/>
                <w:bCs/>
                <w:sz w:val="20"/>
                <w:szCs w:val="20"/>
              </w:rPr>
            </w:pPr>
            <w:r w:rsidRPr="00AF2355">
              <w:rPr>
                <w:rFonts w:ascii="PT Astra Serif" w:eastAsia="Times New Roman" w:hAnsi="PT Astra Serif"/>
                <w:b/>
                <w:bCs/>
                <w:sz w:val="20"/>
                <w:szCs w:val="20"/>
              </w:rPr>
              <w:t>Выполнение, %</w:t>
            </w:r>
          </w:p>
        </w:tc>
      </w:tr>
      <w:tr w:rsidR="00EE3DF2" w:rsidRPr="00AF2355" w14:paraId="30DC695E" w14:textId="77777777" w:rsidTr="006D56FE">
        <w:trPr>
          <w:trHeight w:val="60"/>
        </w:trPr>
        <w:tc>
          <w:tcPr>
            <w:tcW w:w="567" w:type="dxa"/>
            <w:shd w:val="clear" w:color="auto" w:fill="FFFFFF"/>
            <w:noWrap/>
            <w:hideMark/>
          </w:tcPr>
          <w:p w14:paraId="64F9A6CD"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w:t>
            </w:r>
          </w:p>
        </w:tc>
        <w:tc>
          <w:tcPr>
            <w:tcW w:w="3402" w:type="dxa"/>
            <w:shd w:val="clear" w:color="auto" w:fill="FFFFFF"/>
            <w:noWrap/>
            <w:vAlign w:val="center"/>
            <w:hideMark/>
          </w:tcPr>
          <w:p w14:paraId="5880F0A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Базарносызганский район</w:t>
            </w:r>
          </w:p>
        </w:tc>
        <w:tc>
          <w:tcPr>
            <w:tcW w:w="3685" w:type="dxa"/>
            <w:shd w:val="clear" w:color="auto" w:fill="auto"/>
            <w:noWrap/>
          </w:tcPr>
          <w:p w14:paraId="659CD28A" w14:textId="3C29328C"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31 398,6</w:t>
            </w:r>
          </w:p>
        </w:tc>
        <w:tc>
          <w:tcPr>
            <w:tcW w:w="1559" w:type="dxa"/>
            <w:shd w:val="clear" w:color="auto" w:fill="auto"/>
            <w:noWrap/>
          </w:tcPr>
          <w:p w14:paraId="4C45E7DA" w14:textId="138504FF"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61,4</w:t>
            </w:r>
          </w:p>
        </w:tc>
      </w:tr>
      <w:tr w:rsidR="00EE3DF2" w:rsidRPr="00AF2355" w14:paraId="3F4706AA" w14:textId="77777777" w:rsidTr="006D56FE">
        <w:trPr>
          <w:trHeight w:val="122"/>
        </w:trPr>
        <w:tc>
          <w:tcPr>
            <w:tcW w:w="567" w:type="dxa"/>
            <w:shd w:val="clear" w:color="auto" w:fill="FFFFFF"/>
            <w:noWrap/>
            <w:hideMark/>
          </w:tcPr>
          <w:p w14:paraId="12C30674"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w:t>
            </w:r>
          </w:p>
        </w:tc>
        <w:tc>
          <w:tcPr>
            <w:tcW w:w="3402" w:type="dxa"/>
            <w:shd w:val="clear" w:color="auto" w:fill="FFFFFF"/>
            <w:noWrap/>
            <w:vAlign w:val="center"/>
            <w:hideMark/>
          </w:tcPr>
          <w:p w14:paraId="5EDB58AB"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Барышский район</w:t>
            </w:r>
          </w:p>
        </w:tc>
        <w:tc>
          <w:tcPr>
            <w:tcW w:w="3685" w:type="dxa"/>
            <w:shd w:val="clear" w:color="auto" w:fill="auto"/>
            <w:noWrap/>
          </w:tcPr>
          <w:p w14:paraId="1FE591BB" w14:textId="711D5FD5"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33 673,3</w:t>
            </w:r>
          </w:p>
        </w:tc>
        <w:tc>
          <w:tcPr>
            <w:tcW w:w="1559" w:type="dxa"/>
            <w:shd w:val="clear" w:color="auto" w:fill="auto"/>
            <w:noWrap/>
          </w:tcPr>
          <w:p w14:paraId="45148534" w14:textId="0EF26D3C"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65,8</w:t>
            </w:r>
          </w:p>
        </w:tc>
      </w:tr>
      <w:tr w:rsidR="00EE3DF2" w:rsidRPr="00AF2355" w14:paraId="78E3D7FA" w14:textId="77777777" w:rsidTr="006D56FE">
        <w:trPr>
          <w:trHeight w:val="70"/>
        </w:trPr>
        <w:tc>
          <w:tcPr>
            <w:tcW w:w="567" w:type="dxa"/>
            <w:shd w:val="clear" w:color="auto" w:fill="FFFFFF"/>
            <w:noWrap/>
            <w:hideMark/>
          </w:tcPr>
          <w:p w14:paraId="22D77B61"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3</w:t>
            </w:r>
          </w:p>
        </w:tc>
        <w:tc>
          <w:tcPr>
            <w:tcW w:w="3402" w:type="dxa"/>
            <w:shd w:val="clear" w:color="auto" w:fill="FFFFFF"/>
            <w:noWrap/>
            <w:vAlign w:val="center"/>
            <w:hideMark/>
          </w:tcPr>
          <w:p w14:paraId="3FA506FD"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Вешкаймский район</w:t>
            </w:r>
          </w:p>
        </w:tc>
        <w:tc>
          <w:tcPr>
            <w:tcW w:w="3685" w:type="dxa"/>
            <w:shd w:val="clear" w:color="auto" w:fill="auto"/>
            <w:noWrap/>
          </w:tcPr>
          <w:p w14:paraId="3909EE14" w14:textId="05555E35"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28 983,9</w:t>
            </w:r>
          </w:p>
        </w:tc>
        <w:tc>
          <w:tcPr>
            <w:tcW w:w="1559" w:type="dxa"/>
            <w:shd w:val="clear" w:color="auto" w:fill="auto"/>
            <w:noWrap/>
          </w:tcPr>
          <w:p w14:paraId="4CFF4AC2" w14:textId="370BCEB4"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56,6</w:t>
            </w:r>
          </w:p>
        </w:tc>
      </w:tr>
      <w:tr w:rsidR="00EE3DF2" w:rsidRPr="00AF2355" w14:paraId="5EA77920" w14:textId="77777777" w:rsidTr="006D56FE">
        <w:trPr>
          <w:trHeight w:val="70"/>
        </w:trPr>
        <w:tc>
          <w:tcPr>
            <w:tcW w:w="567" w:type="dxa"/>
            <w:shd w:val="clear" w:color="auto" w:fill="FFFFFF"/>
            <w:noWrap/>
            <w:hideMark/>
          </w:tcPr>
          <w:p w14:paraId="57E19A6A"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4</w:t>
            </w:r>
          </w:p>
        </w:tc>
        <w:tc>
          <w:tcPr>
            <w:tcW w:w="3402" w:type="dxa"/>
            <w:shd w:val="clear" w:color="auto" w:fill="FFFFFF"/>
            <w:noWrap/>
            <w:vAlign w:val="center"/>
            <w:hideMark/>
          </w:tcPr>
          <w:p w14:paraId="04EDB372"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Инзенский район</w:t>
            </w:r>
          </w:p>
        </w:tc>
        <w:tc>
          <w:tcPr>
            <w:tcW w:w="3685" w:type="dxa"/>
            <w:shd w:val="clear" w:color="auto" w:fill="auto"/>
            <w:noWrap/>
          </w:tcPr>
          <w:p w14:paraId="2E09D536" w14:textId="5B0592C0"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30 300,1</w:t>
            </w:r>
          </w:p>
        </w:tc>
        <w:tc>
          <w:tcPr>
            <w:tcW w:w="1559" w:type="dxa"/>
            <w:shd w:val="clear" w:color="auto" w:fill="auto"/>
            <w:noWrap/>
          </w:tcPr>
          <w:p w14:paraId="4A454651" w14:textId="7FDBB4E6"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59,2</w:t>
            </w:r>
          </w:p>
        </w:tc>
      </w:tr>
      <w:tr w:rsidR="00EE3DF2" w:rsidRPr="00AF2355" w14:paraId="6F3E8CA6" w14:textId="77777777" w:rsidTr="006D56FE">
        <w:trPr>
          <w:trHeight w:val="70"/>
        </w:trPr>
        <w:tc>
          <w:tcPr>
            <w:tcW w:w="567" w:type="dxa"/>
            <w:shd w:val="clear" w:color="auto" w:fill="FFFFFF"/>
            <w:noWrap/>
            <w:hideMark/>
          </w:tcPr>
          <w:p w14:paraId="59DEA973"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5</w:t>
            </w:r>
          </w:p>
        </w:tc>
        <w:tc>
          <w:tcPr>
            <w:tcW w:w="3402" w:type="dxa"/>
            <w:shd w:val="clear" w:color="auto" w:fill="FFFFFF"/>
            <w:noWrap/>
            <w:vAlign w:val="center"/>
            <w:hideMark/>
          </w:tcPr>
          <w:p w14:paraId="4E177F09"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Карсунский район</w:t>
            </w:r>
          </w:p>
        </w:tc>
        <w:tc>
          <w:tcPr>
            <w:tcW w:w="3685" w:type="dxa"/>
            <w:shd w:val="clear" w:color="auto" w:fill="auto"/>
            <w:noWrap/>
          </w:tcPr>
          <w:p w14:paraId="76716970" w14:textId="2AB7E400"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31 876,5</w:t>
            </w:r>
          </w:p>
        </w:tc>
        <w:tc>
          <w:tcPr>
            <w:tcW w:w="1559" w:type="dxa"/>
            <w:shd w:val="clear" w:color="auto" w:fill="auto"/>
            <w:noWrap/>
          </w:tcPr>
          <w:p w14:paraId="77E6E079" w14:textId="6BB2A4FF"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62,3</w:t>
            </w:r>
          </w:p>
        </w:tc>
      </w:tr>
      <w:tr w:rsidR="00EE3DF2" w:rsidRPr="00AF2355" w14:paraId="44884F6F" w14:textId="77777777" w:rsidTr="006D56FE">
        <w:trPr>
          <w:trHeight w:val="70"/>
        </w:trPr>
        <w:tc>
          <w:tcPr>
            <w:tcW w:w="567" w:type="dxa"/>
            <w:shd w:val="clear" w:color="auto" w:fill="FFFFFF"/>
            <w:noWrap/>
            <w:hideMark/>
          </w:tcPr>
          <w:p w14:paraId="4DA69E89"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6</w:t>
            </w:r>
          </w:p>
        </w:tc>
        <w:tc>
          <w:tcPr>
            <w:tcW w:w="3402" w:type="dxa"/>
            <w:shd w:val="clear" w:color="auto" w:fill="FFFFFF"/>
            <w:noWrap/>
            <w:vAlign w:val="center"/>
            <w:hideMark/>
          </w:tcPr>
          <w:p w14:paraId="0C1CCCB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Кузоватовский район</w:t>
            </w:r>
          </w:p>
        </w:tc>
        <w:tc>
          <w:tcPr>
            <w:tcW w:w="3685" w:type="dxa"/>
            <w:shd w:val="clear" w:color="auto" w:fill="auto"/>
            <w:noWrap/>
          </w:tcPr>
          <w:p w14:paraId="47E5F48D" w14:textId="3F70B20A"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37 228,2</w:t>
            </w:r>
          </w:p>
        </w:tc>
        <w:tc>
          <w:tcPr>
            <w:tcW w:w="1559" w:type="dxa"/>
            <w:shd w:val="clear" w:color="auto" w:fill="auto"/>
            <w:noWrap/>
          </w:tcPr>
          <w:p w14:paraId="5BE392EC" w14:textId="616AF695"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72,8</w:t>
            </w:r>
          </w:p>
        </w:tc>
      </w:tr>
      <w:tr w:rsidR="00EE3DF2" w:rsidRPr="00AF2355" w14:paraId="1678F7CA" w14:textId="77777777" w:rsidTr="006D56FE">
        <w:trPr>
          <w:trHeight w:val="70"/>
        </w:trPr>
        <w:tc>
          <w:tcPr>
            <w:tcW w:w="567" w:type="dxa"/>
            <w:shd w:val="clear" w:color="auto" w:fill="FFFFFF"/>
            <w:noWrap/>
            <w:hideMark/>
          </w:tcPr>
          <w:p w14:paraId="3C5C3E26"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7</w:t>
            </w:r>
          </w:p>
        </w:tc>
        <w:tc>
          <w:tcPr>
            <w:tcW w:w="3402" w:type="dxa"/>
            <w:shd w:val="clear" w:color="auto" w:fill="FFFFFF"/>
            <w:noWrap/>
            <w:vAlign w:val="center"/>
            <w:hideMark/>
          </w:tcPr>
          <w:p w14:paraId="39C91611"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Майнский район</w:t>
            </w:r>
          </w:p>
        </w:tc>
        <w:tc>
          <w:tcPr>
            <w:tcW w:w="3685" w:type="dxa"/>
            <w:shd w:val="clear" w:color="auto" w:fill="auto"/>
            <w:noWrap/>
          </w:tcPr>
          <w:p w14:paraId="726050FB" w14:textId="5F82A0DF"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35 403,3</w:t>
            </w:r>
          </w:p>
        </w:tc>
        <w:tc>
          <w:tcPr>
            <w:tcW w:w="1559" w:type="dxa"/>
            <w:shd w:val="clear" w:color="auto" w:fill="auto"/>
            <w:noWrap/>
          </w:tcPr>
          <w:p w14:paraId="740F9FF9" w14:textId="316276AF"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69,2</w:t>
            </w:r>
          </w:p>
        </w:tc>
      </w:tr>
      <w:tr w:rsidR="00EE3DF2" w:rsidRPr="00AF2355" w14:paraId="2DC8E2A3" w14:textId="77777777" w:rsidTr="006D56FE">
        <w:trPr>
          <w:trHeight w:val="70"/>
        </w:trPr>
        <w:tc>
          <w:tcPr>
            <w:tcW w:w="567" w:type="dxa"/>
            <w:shd w:val="clear" w:color="auto" w:fill="FFFFFF"/>
            <w:noWrap/>
            <w:hideMark/>
          </w:tcPr>
          <w:p w14:paraId="39C6BC40"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8</w:t>
            </w:r>
          </w:p>
        </w:tc>
        <w:tc>
          <w:tcPr>
            <w:tcW w:w="3402" w:type="dxa"/>
            <w:shd w:val="clear" w:color="auto" w:fill="FFFFFF"/>
            <w:noWrap/>
            <w:vAlign w:val="center"/>
            <w:hideMark/>
          </w:tcPr>
          <w:p w14:paraId="1830C21D"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Мелекесский район</w:t>
            </w:r>
          </w:p>
        </w:tc>
        <w:tc>
          <w:tcPr>
            <w:tcW w:w="3685" w:type="dxa"/>
            <w:shd w:val="clear" w:color="auto" w:fill="auto"/>
            <w:noWrap/>
          </w:tcPr>
          <w:p w14:paraId="2193845D" w14:textId="296FF217"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38 030,9</w:t>
            </w:r>
          </w:p>
        </w:tc>
        <w:tc>
          <w:tcPr>
            <w:tcW w:w="1559" w:type="dxa"/>
            <w:shd w:val="clear" w:color="auto" w:fill="auto"/>
            <w:noWrap/>
          </w:tcPr>
          <w:p w14:paraId="3349B59C" w14:textId="46A72004"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74,3</w:t>
            </w:r>
          </w:p>
        </w:tc>
      </w:tr>
      <w:tr w:rsidR="00EE3DF2" w:rsidRPr="00AF2355" w14:paraId="2A8C3C58" w14:textId="77777777" w:rsidTr="006D56FE">
        <w:trPr>
          <w:trHeight w:val="70"/>
        </w:trPr>
        <w:tc>
          <w:tcPr>
            <w:tcW w:w="567" w:type="dxa"/>
            <w:shd w:val="clear" w:color="auto" w:fill="FFFFFF"/>
            <w:noWrap/>
            <w:hideMark/>
          </w:tcPr>
          <w:p w14:paraId="0EAB4D34"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9</w:t>
            </w:r>
          </w:p>
        </w:tc>
        <w:tc>
          <w:tcPr>
            <w:tcW w:w="3402" w:type="dxa"/>
            <w:shd w:val="clear" w:color="auto" w:fill="FFFFFF"/>
            <w:noWrap/>
            <w:vAlign w:val="center"/>
            <w:hideMark/>
          </w:tcPr>
          <w:p w14:paraId="5CBD6A07"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Николаевский район</w:t>
            </w:r>
          </w:p>
        </w:tc>
        <w:tc>
          <w:tcPr>
            <w:tcW w:w="3685" w:type="dxa"/>
            <w:shd w:val="clear" w:color="auto" w:fill="auto"/>
            <w:noWrap/>
          </w:tcPr>
          <w:p w14:paraId="699979D7" w14:textId="1484141F"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33 187,1</w:t>
            </w:r>
          </w:p>
        </w:tc>
        <w:tc>
          <w:tcPr>
            <w:tcW w:w="1559" w:type="dxa"/>
            <w:shd w:val="clear" w:color="auto" w:fill="auto"/>
            <w:noWrap/>
          </w:tcPr>
          <w:p w14:paraId="3FE40B24" w14:textId="2A04947F"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64,9</w:t>
            </w:r>
          </w:p>
        </w:tc>
      </w:tr>
      <w:tr w:rsidR="00EE3DF2" w:rsidRPr="00AF2355" w14:paraId="0F005E89" w14:textId="77777777" w:rsidTr="006D56FE">
        <w:trPr>
          <w:trHeight w:val="70"/>
        </w:trPr>
        <w:tc>
          <w:tcPr>
            <w:tcW w:w="567" w:type="dxa"/>
            <w:shd w:val="clear" w:color="auto" w:fill="FFFFFF"/>
            <w:noWrap/>
            <w:hideMark/>
          </w:tcPr>
          <w:p w14:paraId="60F3D4C2"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10</w:t>
            </w:r>
          </w:p>
        </w:tc>
        <w:tc>
          <w:tcPr>
            <w:tcW w:w="3402" w:type="dxa"/>
            <w:shd w:val="clear" w:color="auto" w:fill="FFFFFF"/>
            <w:noWrap/>
            <w:vAlign w:val="center"/>
            <w:hideMark/>
          </w:tcPr>
          <w:p w14:paraId="0535F9AF"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Новомалыклинский район</w:t>
            </w:r>
          </w:p>
        </w:tc>
        <w:tc>
          <w:tcPr>
            <w:tcW w:w="3685" w:type="dxa"/>
            <w:shd w:val="clear" w:color="auto" w:fill="auto"/>
            <w:noWrap/>
          </w:tcPr>
          <w:p w14:paraId="02B874F0" w14:textId="0CC19E90"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31 088,6</w:t>
            </w:r>
          </w:p>
        </w:tc>
        <w:tc>
          <w:tcPr>
            <w:tcW w:w="1559" w:type="dxa"/>
            <w:shd w:val="clear" w:color="auto" w:fill="auto"/>
            <w:noWrap/>
          </w:tcPr>
          <w:p w14:paraId="796ABDCD" w14:textId="7AECA64B"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60,8</w:t>
            </w:r>
          </w:p>
        </w:tc>
      </w:tr>
      <w:tr w:rsidR="00EE3DF2" w:rsidRPr="00AF2355" w14:paraId="6B22BA60" w14:textId="77777777" w:rsidTr="006D56FE">
        <w:trPr>
          <w:trHeight w:val="70"/>
        </w:trPr>
        <w:tc>
          <w:tcPr>
            <w:tcW w:w="567" w:type="dxa"/>
            <w:shd w:val="clear" w:color="auto" w:fill="FFFFFF"/>
            <w:noWrap/>
            <w:hideMark/>
          </w:tcPr>
          <w:p w14:paraId="1C3757F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11</w:t>
            </w:r>
          </w:p>
        </w:tc>
        <w:tc>
          <w:tcPr>
            <w:tcW w:w="3402" w:type="dxa"/>
            <w:shd w:val="clear" w:color="auto" w:fill="FFFFFF"/>
            <w:noWrap/>
            <w:vAlign w:val="center"/>
            <w:hideMark/>
          </w:tcPr>
          <w:p w14:paraId="12360F99"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Новоспасский район</w:t>
            </w:r>
          </w:p>
        </w:tc>
        <w:tc>
          <w:tcPr>
            <w:tcW w:w="3685" w:type="dxa"/>
            <w:shd w:val="clear" w:color="auto" w:fill="auto"/>
            <w:noWrap/>
          </w:tcPr>
          <w:p w14:paraId="3F011FE6" w14:textId="63B47CFC"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38 057,7</w:t>
            </w:r>
          </w:p>
        </w:tc>
        <w:tc>
          <w:tcPr>
            <w:tcW w:w="1559" w:type="dxa"/>
            <w:shd w:val="clear" w:color="auto" w:fill="auto"/>
            <w:noWrap/>
          </w:tcPr>
          <w:p w14:paraId="293180B0" w14:textId="1E2BC590"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74,4</w:t>
            </w:r>
          </w:p>
        </w:tc>
      </w:tr>
      <w:tr w:rsidR="00EE3DF2" w:rsidRPr="00AF2355" w14:paraId="22FCCDE5" w14:textId="77777777" w:rsidTr="006D56FE">
        <w:trPr>
          <w:trHeight w:val="70"/>
        </w:trPr>
        <w:tc>
          <w:tcPr>
            <w:tcW w:w="567" w:type="dxa"/>
            <w:shd w:val="clear" w:color="auto" w:fill="FFFFFF"/>
            <w:noWrap/>
            <w:hideMark/>
          </w:tcPr>
          <w:p w14:paraId="2E54D7EE"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12</w:t>
            </w:r>
          </w:p>
        </w:tc>
        <w:tc>
          <w:tcPr>
            <w:tcW w:w="3402" w:type="dxa"/>
            <w:shd w:val="clear" w:color="auto" w:fill="FFFFFF"/>
            <w:noWrap/>
            <w:vAlign w:val="center"/>
            <w:hideMark/>
          </w:tcPr>
          <w:p w14:paraId="07ECA466"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Павловский район</w:t>
            </w:r>
          </w:p>
        </w:tc>
        <w:tc>
          <w:tcPr>
            <w:tcW w:w="3685" w:type="dxa"/>
            <w:shd w:val="clear" w:color="auto" w:fill="auto"/>
            <w:noWrap/>
          </w:tcPr>
          <w:p w14:paraId="1C6B95DA" w14:textId="1046DC03"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29 932,8</w:t>
            </w:r>
          </w:p>
        </w:tc>
        <w:tc>
          <w:tcPr>
            <w:tcW w:w="1559" w:type="dxa"/>
            <w:shd w:val="clear" w:color="auto" w:fill="auto"/>
            <w:noWrap/>
          </w:tcPr>
          <w:p w14:paraId="666099E5" w14:textId="0973297F"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58,5</w:t>
            </w:r>
          </w:p>
        </w:tc>
      </w:tr>
      <w:tr w:rsidR="00EE3DF2" w:rsidRPr="00AF2355" w14:paraId="3DB5F61A" w14:textId="77777777" w:rsidTr="006D56FE">
        <w:trPr>
          <w:trHeight w:val="70"/>
        </w:trPr>
        <w:tc>
          <w:tcPr>
            <w:tcW w:w="567" w:type="dxa"/>
            <w:shd w:val="clear" w:color="auto" w:fill="FFFFFF"/>
            <w:noWrap/>
            <w:hideMark/>
          </w:tcPr>
          <w:p w14:paraId="57738CA7"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13</w:t>
            </w:r>
          </w:p>
        </w:tc>
        <w:tc>
          <w:tcPr>
            <w:tcW w:w="3402" w:type="dxa"/>
            <w:shd w:val="clear" w:color="auto" w:fill="FFFFFF"/>
            <w:noWrap/>
            <w:vAlign w:val="center"/>
            <w:hideMark/>
          </w:tcPr>
          <w:p w14:paraId="06E7C0EE"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Радищевский район</w:t>
            </w:r>
          </w:p>
        </w:tc>
        <w:tc>
          <w:tcPr>
            <w:tcW w:w="3685" w:type="dxa"/>
            <w:shd w:val="clear" w:color="auto" w:fill="auto"/>
            <w:noWrap/>
          </w:tcPr>
          <w:p w14:paraId="03E13146" w14:textId="220BAEC7"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31 172,3</w:t>
            </w:r>
          </w:p>
        </w:tc>
        <w:tc>
          <w:tcPr>
            <w:tcW w:w="1559" w:type="dxa"/>
            <w:shd w:val="clear" w:color="auto" w:fill="auto"/>
            <w:noWrap/>
          </w:tcPr>
          <w:p w14:paraId="712BF07E" w14:textId="353CC044"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60,9</w:t>
            </w:r>
          </w:p>
        </w:tc>
      </w:tr>
      <w:tr w:rsidR="00EE3DF2" w:rsidRPr="00AF2355" w14:paraId="3811CFA0" w14:textId="77777777" w:rsidTr="006D56FE">
        <w:trPr>
          <w:trHeight w:val="132"/>
        </w:trPr>
        <w:tc>
          <w:tcPr>
            <w:tcW w:w="567" w:type="dxa"/>
            <w:shd w:val="clear" w:color="auto" w:fill="FFFFFF"/>
            <w:noWrap/>
            <w:hideMark/>
          </w:tcPr>
          <w:p w14:paraId="08AF25AE"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14</w:t>
            </w:r>
          </w:p>
        </w:tc>
        <w:tc>
          <w:tcPr>
            <w:tcW w:w="3402" w:type="dxa"/>
            <w:shd w:val="clear" w:color="auto" w:fill="FFFFFF"/>
            <w:noWrap/>
            <w:vAlign w:val="center"/>
            <w:hideMark/>
          </w:tcPr>
          <w:p w14:paraId="42453CB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Сенгилеевский район</w:t>
            </w:r>
          </w:p>
        </w:tc>
        <w:tc>
          <w:tcPr>
            <w:tcW w:w="3685" w:type="dxa"/>
            <w:shd w:val="clear" w:color="auto" w:fill="auto"/>
            <w:noWrap/>
          </w:tcPr>
          <w:p w14:paraId="7536C3F1" w14:textId="76A8BE7A"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35 433,3</w:t>
            </w:r>
          </w:p>
        </w:tc>
        <w:tc>
          <w:tcPr>
            <w:tcW w:w="1559" w:type="dxa"/>
            <w:shd w:val="clear" w:color="auto" w:fill="auto"/>
            <w:noWrap/>
          </w:tcPr>
          <w:p w14:paraId="5107ECBC" w14:textId="42A03CFD"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69,2</w:t>
            </w:r>
          </w:p>
        </w:tc>
      </w:tr>
      <w:tr w:rsidR="00EE3DF2" w:rsidRPr="00AF2355" w14:paraId="0F0F6E92" w14:textId="77777777" w:rsidTr="006D56FE">
        <w:trPr>
          <w:trHeight w:val="136"/>
        </w:trPr>
        <w:tc>
          <w:tcPr>
            <w:tcW w:w="567" w:type="dxa"/>
            <w:shd w:val="clear" w:color="auto" w:fill="FFFFFF"/>
            <w:noWrap/>
            <w:hideMark/>
          </w:tcPr>
          <w:p w14:paraId="1E56F31C"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15</w:t>
            </w:r>
          </w:p>
        </w:tc>
        <w:tc>
          <w:tcPr>
            <w:tcW w:w="3402" w:type="dxa"/>
            <w:shd w:val="clear" w:color="auto" w:fill="FFFFFF"/>
            <w:noWrap/>
            <w:vAlign w:val="center"/>
            <w:hideMark/>
          </w:tcPr>
          <w:p w14:paraId="08B945AD"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Старокулаткинский район</w:t>
            </w:r>
          </w:p>
        </w:tc>
        <w:tc>
          <w:tcPr>
            <w:tcW w:w="3685" w:type="dxa"/>
            <w:shd w:val="clear" w:color="auto" w:fill="auto"/>
            <w:noWrap/>
          </w:tcPr>
          <w:p w14:paraId="46B2C2C8" w14:textId="18509AB1"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28 901,9</w:t>
            </w:r>
          </w:p>
        </w:tc>
        <w:tc>
          <w:tcPr>
            <w:tcW w:w="1559" w:type="dxa"/>
            <w:shd w:val="clear" w:color="auto" w:fill="auto"/>
            <w:noWrap/>
          </w:tcPr>
          <w:p w14:paraId="52E750B1" w14:textId="674B378A"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56,5</w:t>
            </w:r>
          </w:p>
        </w:tc>
      </w:tr>
      <w:tr w:rsidR="00EE3DF2" w:rsidRPr="00AF2355" w14:paraId="1115B94D" w14:textId="77777777" w:rsidTr="006D56FE">
        <w:trPr>
          <w:trHeight w:val="126"/>
        </w:trPr>
        <w:tc>
          <w:tcPr>
            <w:tcW w:w="567" w:type="dxa"/>
            <w:shd w:val="clear" w:color="auto" w:fill="FFFFFF"/>
            <w:noWrap/>
            <w:hideMark/>
          </w:tcPr>
          <w:p w14:paraId="5E118977"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16</w:t>
            </w:r>
          </w:p>
        </w:tc>
        <w:tc>
          <w:tcPr>
            <w:tcW w:w="3402" w:type="dxa"/>
            <w:shd w:val="clear" w:color="auto" w:fill="FFFFFF"/>
            <w:noWrap/>
            <w:vAlign w:val="center"/>
            <w:hideMark/>
          </w:tcPr>
          <w:p w14:paraId="61D37D6F"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Старомайнский район</w:t>
            </w:r>
          </w:p>
        </w:tc>
        <w:tc>
          <w:tcPr>
            <w:tcW w:w="3685" w:type="dxa"/>
            <w:shd w:val="clear" w:color="auto" w:fill="auto"/>
            <w:noWrap/>
          </w:tcPr>
          <w:p w14:paraId="097FF80C" w14:textId="4B9E8EA9"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29 475,6</w:t>
            </w:r>
          </w:p>
        </w:tc>
        <w:tc>
          <w:tcPr>
            <w:tcW w:w="1559" w:type="dxa"/>
            <w:shd w:val="clear" w:color="auto" w:fill="auto"/>
            <w:noWrap/>
          </w:tcPr>
          <w:p w14:paraId="0D5BAD58" w14:textId="1CD3C7F5"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57,6</w:t>
            </w:r>
          </w:p>
        </w:tc>
      </w:tr>
      <w:tr w:rsidR="00EE3DF2" w:rsidRPr="00AF2355" w14:paraId="4B942879" w14:textId="77777777" w:rsidTr="006D56FE">
        <w:trPr>
          <w:trHeight w:val="130"/>
        </w:trPr>
        <w:tc>
          <w:tcPr>
            <w:tcW w:w="567" w:type="dxa"/>
            <w:shd w:val="clear" w:color="auto" w:fill="FFFFFF"/>
            <w:noWrap/>
            <w:hideMark/>
          </w:tcPr>
          <w:p w14:paraId="0972788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17</w:t>
            </w:r>
          </w:p>
        </w:tc>
        <w:tc>
          <w:tcPr>
            <w:tcW w:w="3402" w:type="dxa"/>
            <w:shd w:val="clear" w:color="auto" w:fill="FFFFFF"/>
            <w:noWrap/>
            <w:vAlign w:val="center"/>
            <w:hideMark/>
          </w:tcPr>
          <w:p w14:paraId="07864CFA"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Сурский район</w:t>
            </w:r>
          </w:p>
        </w:tc>
        <w:tc>
          <w:tcPr>
            <w:tcW w:w="3685" w:type="dxa"/>
            <w:shd w:val="clear" w:color="auto" w:fill="auto"/>
            <w:noWrap/>
          </w:tcPr>
          <w:p w14:paraId="4643D14F" w14:textId="5C12C457"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33 930,8</w:t>
            </w:r>
          </w:p>
        </w:tc>
        <w:tc>
          <w:tcPr>
            <w:tcW w:w="1559" w:type="dxa"/>
            <w:shd w:val="clear" w:color="auto" w:fill="auto"/>
            <w:noWrap/>
          </w:tcPr>
          <w:p w14:paraId="32C1B045" w14:textId="57032BF9"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66,3</w:t>
            </w:r>
          </w:p>
        </w:tc>
      </w:tr>
      <w:tr w:rsidR="00EE3DF2" w:rsidRPr="00AF2355" w14:paraId="73B13155" w14:textId="77777777" w:rsidTr="006D56FE">
        <w:trPr>
          <w:trHeight w:val="70"/>
        </w:trPr>
        <w:tc>
          <w:tcPr>
            <w:tcW w:w="567" w:type="dxa"/>
            <w:shd w:val="clear" w:color="auto" w:fill="FFFFFF"/>
            <w:noWrap/>
            <w:hideMark/>
          </w:tcPr>
          <w:p w14:paraId="0DE188E5"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18</w:t>
            </w:r>
          </w:p>
        </w:tc>
        <w:tc>
          <w:tcPr>
            <w:tcW w:w="3402" w:type="dxa"/>
            <w:shd w:val="clear" w:color="auto" w:fill="FFFFFF"/>
            <w:noWrap/>
            <w:vAlign w:val="center"/>
            <w:hideMark/>
          </w:tcPr>
          <w:p w14:paraId="204D71FD"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Тереньгульский район</w:t>
            </w:r>
          </w:p>
        </w:tc>
        <w:tc>
          <w:tcPr>
            <w:tcW w:w="3685" w:type="dxa"/>
            <w:shd w:val="clear" w:color="auto" w:fill="auto"/>
            <w:noWrap/>
          </w:tcPr>
          <w:p w14:paraId="561AC49C" w14:textId="2FBADEA7"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36 751,6</w:t>
            </w:r>
          </w:p>
        </w:tc>
        <w:tc>
          <w:tcPr>
            <w:tcW w:w="1559" w:type="dxa"/>
            <w:shd w:val="clear" w:color="auto" w:fill="auto"/>
            <w:noWrap/>
          </w:tcPr>
          <w:p w14:paraId="5BF57C5F" w14:textId="2EFC756D"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71,8</w:t>
            </w:r>
          </w:p>
        </w:tc>
      </w:tr>
      <w:tr w:rsidR="00EE3DF2" w:rsidRPr="00AF2355" w14:paraId="458509C8" w14:textId="77777777" w:rsidTr="006D56FE">
        <w:trPr>
          <w:trHeight w:val="70"/>
        </w:trPr>
        <w:tc>
          <w:tcPr>
            <w:tcW w:w="567" w:type="dxa"/>
            <w:shd w:val="clear" w:color="auto" w:fill="FFFFFF"/>
            <w:noWrap/>
            <w:hideMark/>
          </w:tcPr>
          <w:p w14:paraId="6FBE8E80"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19</w:t>
            </w:r>
          </w:p>
        </w:tc>
        <w:tc>
          <w:tcPr>
            <w:tcW w:w="3402" w:type="dxa"/>
            <w:shd w:val="clear" w:color="auto" w:fill="FFFFFF"/>
            <w:noWrap/>
            <w:vAlign w:val="center"/>
            <w:hideMark/>
          </w:tcPr>
          <w:p w14:paraId="7C6DB1D1"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Ульяновский район</w:t>
            </w:r>
          </w:p>
        </w:tc>
        <w:tc>
          <w:tcPr>
            <w:tcW w:w="3685" w:type="dxa"/>
            <w:shd w:val="clear" w:color="auto" w:fill="auto"/>
            <w:noWrap/>
          </w:tcPr>
          <w:p w14:paraId="174B9FBB" w14:textId="26319863"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36 116,6</w:t>
            </w:r>
          </w:p>
        </w:tc>
        <w:tc>
          <w:tcPr>
            <w:tcW w:w="1559" w:type="dxa"/>
            <w:shd w:val="clear" w:color="auto" w:fill="auto"/>
            <w:noWrap/>
          </w:tcPr>
          <w:p w14:paraId="4B3B85B3" w14:textId="57AFD3DF"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70,6</w:t>
            </w:r>
          </w:p>
        </w:tc>
      </w:tr>
      <w:tr w:rsidR="00EE3DF2" w:rsidRPr="00AF2355" w14:paraId="465191A7" w14:textId="77777777" w:rsidTr="006D56FE">
        <w:trPr>
          <w:trHeight w:val="114"/>
        </w:trPr>
        <w:tc>
          <w:tcPr>
            <w:tcW w:w="567" w:type="dxa"/>
            <w:shd w:val="clear" w:color="auto" w:fill="FFFFFF"/>
            <w:noWrap/>
            <w:hideMark/>
          </w:tcPr>
          <w:p w14:paraId="1BD50AC3"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20</w:t>
            </w:r>
          </w:p>
        </w:tc>
        <w:tc>
          <w:tcPr>
            <w:tcW w:w="3402" w:type="dxa"/>
            <w:shd w:val="clear" w:color="auto" w:fill="FFFFFF"/>
            <w:noWrap/>
            <w:vAlign w:val="center"/>
            <w:hideMark/>
          </w:tcPr>
          <w:p w14:paraId="570A8ACB"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Цильнинский район</w:t>
            </w:r>
          </w:p>
        </w:tc>
        <w:tc>
          <w:tcPr>
            <w:tcW w:w="3685" w:type="dxa"/>
            <w:shd w:val="clear" w:color="auto" w:fill="auto"/>
            <w:noWrap/>
          </w:tcPr>
          <w:p w14:paraId="4A7B712D" w14:textId="0F5FFDE9"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30 003,5</w:t>
            </w:r>
          </w:p>
        </w:tc>
        <w:tc>
          <w:tcPr>
            <w:tcW w:w="1559" w:type="dxa"/>
            <w:shd w:val="clear" w:color="auto" w:fill="auto"/>
            <w:noWrap/>
          </w:tcPr>
          <w:p w14:paraId="7CB1A69B" w14:textId="709C9CB2"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58,6</w:t>
            </w:r>
          </w:p>
        </w:tc>
      </w:tr>
      <w:tr w:rsidR="00EE3DF2" w:rsidRPr="00AF2355" w14:paraId="6A7E443C" w14:textId="77777777" w:rsidTr="006D56FE">
        <w:trPr>
          <w:trHeight w:val="70"/>
        </w:trPr>
        <w:tc>
          <w:tcPr>
            <w:tcW w:w="567" w:type="dxa"/>
            <w:shd w:val="clear" w:color="auto" w:fill="FFFFFF"/>
            <w:noWrap/>
            <w:hideMark/>
          </w:tcPr>
          <w:p w14:paraId="424D8B8F"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21</w:t>
            </w:r>
          </w:p>
        </w:tc>
        <w:tc>
          <w:tcPr>
            <w:tcW w:w="3402" w:type="dxa"/>
            <w:shd w:val="clear" w:color="auto" w:fill="FFFFFF"/>
            <w:noWrap/>
            <w:vAlign w:val="center"/>
            <w:hideMark/>
          </w:tcPr>
          <w:p w14:paraId="33EFC943"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Чердаклинский район</w:t>
            </w:r>
          </w:p>
        </w:tc>
        <w:tc>
          <w:tcPr>
            <w:tcW w:w="3685" w:type="dxa"/>
            <w:shd w:val="clear" w:color="auto" w:fill="auto"/>
            <w:noWrap/>
          </w:tcPr>
          <w:p w14:paraId="1108E0CA" w14:textId="43345CB0"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40 521,5</w:t>
            </w:r>
          </w:p>
        </w:tc>
        <w:tc>
          <w:tcPr>
            <w:tcW w:w="1559" w:type="dxa"/>
            <w:shd w:val="clear" w:color="auto" w:fill="auto"/>
            <w:noWrap/>
          </w:tcPr>
          <w:p w14:paraId="1CA469DF" w14:textId="4AD4A7E0"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79,2</w:t>
            </w:r>
          </w:p>
        </w:tc>
      </w:tr>
      <w:tr w:rsidR="00EE3DF2" w:rsidRPr="00AF2355" w14:paraId="1DC4D8CB" w14:textId="77777777" w:rsidTr="006D56FE">
        <w:trPr>
          <w:trHeight w:val="70"/>
        </w:trPr>
        <w:tc>
          <w:tcPr>
            <w:tcW w:w="567" w:type="dxa"/>
            <w:shd w:val="clear" w:color="auto" w:fill="FFFFFF"/>
            <w:noWrap/>
            <w:hideMark/>
          </w:tcPr>
          <w:p w14:paraId="090CA2CB"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22</w:t>
            </w:r>
          </w:p>
        </w:tc>
        <w:tc>
          <w:tcPr>
            <w:tcW w:w="3402" w:type="dxa"/>
            <w:shd w:val="clear" w:color="auto" w:fill="FFFFFF"/>
            <w:noWrap/>
            <w:vAlign w:val="center"/>
            <w:hideMark/>
          </w:tcPr>
          <w:p w14:paraId="44CDF5ED" w14:textId="77777777" w:rsidR="00EE3DF2" w:rsidRPr="00AF2355" w:rsidRDefault="00EE3DF2" w:rsidP="00EE3DF2">
            <w:pPr>
              <w:widowControl w:val="0"/>
              <w:ind w:firstLine="0"/>
              <w:rPr>
                <w:rFonts w:ascii="PT Astra Serif" w:eastAsia="Times New Roman" w:hAnsi="PT Astra Serif"/>
                <w:bCs/>
                <w:sz w:val="20"/>
                <w:szCs w:val="20"/>
              </w:rPr>
            </w:pPr>
            <w:proofErr w:type="spellStart"/>
            <w:r w:rsidRPr="00AF2355">
              <w:rPr>
                <w:rFonts w:ascii="PT Astra Serif" w:eastAsia="Times New Roman" w:hAnsi="PT Astra Serif"/>
                <w:bCs/>
                <w:sz w:val="20"/>
                <w:szCs w:val="20"/>
              </w:rPr>
              <w:t>г.Димитровград</w:t>
            </w:r>
            <w:proofErr w:type="spellEnd"/>
          </w:p>
        </w:tc>
        <w:tc>
          <w:tcPr>
            <w:tcW w:w="3685" w:type="dxa"/>
            <w:shd w:val="clear" w:color="auto" w:fill="auto"/>
            <w:noWrap/>
          </w:tcPr>
          <w:p w14:paraId="2C605712" w14:textId="5B391158"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53 457,2</w:t>
            </w:r>
          </w:p>
        </w:tc>
        <w:tc>
          <w:tcPr>
            <w:tcW w:w="1559" w:type="dxa"/>
            <w:shd w:val="clear" w:color="auto" w:fill="auto"/>
            <w:noWrap/>
          </w:tcPr>
          <w:p w14:paraId="06F91C71" w14:textId="375B360F"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104,5</w:t>
            </w:r>
          </w:p>
        </w:tc>
      </w:tr>
      <w:tr w:rsidR="00EE3DF2" w:rsidRPr="00AF2355" w14:paraId="59B61A2B" w14:textId="77777777" w:rsidTr="006D56FE">
        <w:trPr>
          <w:trHeight w:val="70"/>
        </w:trPr>
        <w:tc>
          <w:tcPr>
            <w:tcW w:w="567" w:type="dxa"/>
            <w:shd w:val="clear" w:color="auto" w:fill="FFFFFF"/>
            <w:noWrap/>
            <w:hideMark/>
          </w:tcPr>
          <w:p w14:paraId="23BDB100"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23</w:t>
            </w:r>
          </w:p>
        </w:tc>
        <w:tc>
          <w:tcPr>
            <w:tcW w:w="3402" w:type="dxa"/>
            <w:shd w:val="clear" w:color="auto" w:fill="FFFFFF"/>
            <w:noWrap/>
            <w:vAlign w:val="center"/>
            <w:hideMark/>
          </w:tcPr>
          <w:p w14:paraId="3F3C0AE4" w14:textId="77777777" w:rsidR="00EE3DF2" w:rsidRPr="00AF2355" w:rsidRDefault="00EE3DF2" w:rsidP="00EE3DF2">
            <w:pPr>
              <w:widowControl w:val="0"/>
              <w:ind w:firstLine="0"/>
              <w:rPr>
                <w:rFonts w:ascii="PT Astra Serif" w:eastAsia="Times New Roman" w:hAnsi="PT Astra Serif"/>
                <w:bCs/>
                <w:sz w:val="20"/>
                <w:szCs w:val="20"/>
              </w:rPr>
            </w:pPr>
            <w:proofErr w:type="spellStart"/>
            <w:r w:rsidRPr="00AF2355">
              <w:rPr>
                <w:rFonts w:ascii="PT Astra Serif" w:eastAsia="Times New Roman" w:hAnsi="PT Astra Serif"/>
                <w:bCs/>
                <w:sz w:val="20"/>
                <w:szCs w:val="20"/>
              </w:rPr>
              <w:t>г.Ульяновск</w:t>
            </w:r>
            <w:proofErr w:type="spellEnd"/>
          </w:p>
        </w:tc>
        <w:tc>
          <w:tcPr>
            <w:tcW w:w="3685" w:type="dxa"/>
            <w:shd w:val="clear" w:color="auto" w:fill="auto"/>
            <w:noWrap/>
          </w:tcPr>
          <w:p w14:paraId="7D7AA803" w14:textId="4135B62A"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53 297,2</w:t>
            </w:r>
          </w:p>
        </w:tc>
        <w:tc>
          <w:tcPr>
            <w:tcW w:w="1559" w:type="dxa"/>
            <w:shd w:val="clear" w:color="auto" w:fill="auto"/>
            <w:noWrap/>
          </w:tcPr>
          <w:p w14:paraId="658C7D77" w14:textId="449A457F"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104,2</w:t>
            </w:r>
          </w:p>
        </w:tc>
      </w:tr>
      <w:tr w:rsidR="00EE3DF2" w:rsidRPr="00AF2355" w14:paraId="7E08C70C" w14:textId="77777777" w:rsidTr="006D56FE">
        <w:trPr>
          <w:trHeight w:val="70"/>
        </w:trPr>
        <w:tc>
          <w:tcPr>
            <w:tcW w:w="567" w:type="dxa"/>
            <w:shd w:val="clear" w:color="auto" w:fill="FFFFFF"/>
            <w:noWrap/>
            <w:hideMark/>
          </w:tcPr>
          <w:p w14:paraId="3A16B897"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24</w:t>
            </w:r>
          </w:p>
        </w:tc>
        <w:tc>
          <w:tcPr>
            <w:tcW w:w="3402" w:type="dxa"/>
            <w:shd w:val="clear" w:color="auto" w:fill="FFFFFF"/>
            <w:noWrap/>
            <w:vAlign w:val="center"/>
            <w:hideMark/>
          </w:tcPr>
          <w:p w14:paraId="14B451F3" w14:textId="77777777" w:rsidR="00EE3DF2" w:rsidRPr="00AF2355" w:rsidRDefault="00EE3DF2" w:rsidP="00EE3DF2">
            <w:pPr>
              <w:widowControl w:val="0"/>
              <w:ind w:firstLine="0"/>
              <w:rPr>
                <w:rFonts w:ascii="PT Astra Serif" w:eastAsia="Times New Roman" w:hAnsi="PT Astra Serif"/>
                <w:bCs/>
                <w:sz w:val="20"/>
                <w:szCs w:val="20"/>
              </w:rPr>
            </w:pPr>
            <w:r w:rsidRPr="00AF2355">
              <w:rPr>
                <w:rFonts w:ascii="PT Astra Serif" w:eastAsia="Times New Roman" w:hAnsi="PT Astra Serif"/>
                <w:bCs/>
                <w:sz w:val="20"/>
                <w:szCs w:val="20"/>
              </w:rPr>
              <w:t>г. Новоульяновск</w:t>
            </w:r>
          </w:p>
        </w:tc>
        <w:tc>
          <w:tcPr>
            <w:tcW w:w="3685" w:type="dxa"/>
            <w:shd w:val="clear" w:color="auto" w:fill="auto"/>
            <w:noWrap/>
          </w:tcPr>
          <w:p w14:paraId="64B889A1" w14:textId="6D68E39D" w:rsidR="00EE3DF2" w:rsidRPr="00AF2355" w:rsidRDefault="00EE3DF2" w:rsidP="00EE3DF2">
            <w:pPr>
              <w:widowControl w:val="0"/>
              <w:ind w:firstLine="0"/>
              <w:jc w:val="center"/>
              <w:rPr>
                <w:rFonts w:ascii="PT Astra Serif" w:eastAsia="Times New Roman" w:hAnsi="PT Astra Serif"/>
                <w:bCs/>
                <w:sz w:val="20"/>
                <w:szCs w:val="20"/>
              </w:rPr>
            </w:pPr>
            <w:r w:rsidRPr="00721448">
              <w:rPr>
                <w:rFonts w:ascii="PT Astra Serif" w:hAnsi="PT Astra Serif"/>
                <w:sz w:val="20"/>
                <w:szCs w:val="20"/>
              </w:rPr>
              <w:t>55 184,2</w:t>
            </w:r>
          </w:p>
        </w:tc>
        <w:tc>
          <w:tcPr>
            <w:tcW w:w="1559" w:type="dxa"/>
            <w:shd w:val="clear" w:color="auto" w:fill="auto"/>
            <w:noWrap/>
          </w:tcPr>
          <w:p w14:paraId="1684C1BA" w14:textId="6BF0ED00" w:rsidR="00EE3DF2" w:rsidRPr="00AF2355" w:rsidRDefault="00EE3DF2" w:rsidP="00EE3DF2">
            <w:pPr>
              <w:widowControl w:val="0"/>
              <w:ind w:firstLine="0"/>
              <w:jc w:val="center"/>
              <w:rPr>
                <w:rFonts w:ascii="PT Astra Serif" w:eastAsia="Times New Roman" w:hAnsi="PT Astra Serif"/>
                <w:sz w:val="20"/>
                <w:szCs w:val="20"/>
              </w:rPr>
            </w:pPr>
            <w:r w:rsidRPr="00721448">
              <w:rPr>
                <w:rFonts w:ascii="PT Astra Serif" w:hAnsi="PT Astra Serif"/>
                <w:sz w:val="20"/>
                <w:szCs w:val="20"/>
              </w:rPr>
              <w:t>107,8</w:t>
            </w:r>
          </w:p>
        </w:tc>
      </w:tr>
      <w:tr w:rsidR="00EE3DF2" w:rsidRPr="00AF2355" w14:paraId="76C64C97" w14:textId="77777777" w:rsidTr="006D56FE">
        <w:trPr>
          <w:trHeight w:val="70"/>
        </w:trPr>
        <w:tc>
          <w:tcPr>
            <w:tcW w:w="3969" w:type="dxa"/>
            <w:gridSpan w:val="2"/>
            <w:shd w:val="clear" w:color="auto" w:fill="auto"/>
            <w:noWrap/>
            <w:hideMark/>
          </w:tcPr>
          <w:p w14:paraId="08049ECF" w14:textId="77777777" w:rsidR="00EE3DF2" w:rsidRPr="00AF2355" w:rsidRDefault="00EE3DF2" w:rsidP="00EE3DF2">
            <w:pPr>
              <w:widowControl w:val="0"/>
              <w:ind w:firstLine="0"/>
              <w:rPr>
                <w:rFonts w:ascii="PT Astra Serif" w:eastAsia="Times New Roman" w:hAnsi="PT Astra Serif"/>
                <w:b/>
                <w:bCs/>
                <w:sz w:val="20"/>
                <w:szCs w:val="20"/>
              </w:rPr>
            </w:pPr>
            <w:r w:rsidRPr="00AF2355">
              <w:rPr>
                <w:rFonts w:ascii="PT Astra Serif" w:eastAsia="Times New Roman" w:hAnsi="PT Astra Serif"/>
                <w:b/>
                <w:bCs/>
                <w:sz w:val="20"/>
                <w:szCs w:val="20"/>
              </w:rPr>
              <w:t>Всего</w:t>
            </w:r>
          </w:p>
        </w:tc>
        <w:tc>
          <w:tcPr>
            <w:tcW w:w="3685" w:type="dxa"/>
            <w:shd w:val="clear" w:color="auto" w:fill="auto"/>
            <w:noWrap/>
            <w:vAlign w:val="center"/>
          </w:tcPr>
          <w:p w14:paraId="344D19F5" w14:textId="7ADFF27B" w:rsidR="00EE3DF2" w:rsidRPr="00AF2355" w:rsidRDefault="00EE3DF2" w:rsidP="00EE3DF2">
            <w:pPr>
              <w:widowControl w:val="0"/>
              <w:ind w:firstLine="0"/>
              <w:jc w:val="center"/>
              <w:rPr>
                <w:rFonts w:ascii="PT Astra Serif" w:eastAsia="Times New Roman" w:hAnsi="PT Astra Serif"/>
                <w:b/>
                <w:bCs/>
                <w:sz w:val="20"/>
                <w:szCs w:val="20"/>
              </w:rPr>
            </w:pPr>
            <w:r w:rsidRPr="00721448">
              <w:rPr>
                <w:rFonts w:ascii="PT Astra Serif" w:eastAsia="Times New Roman" w:hAnsi="PT Astra Serif"/>
                <w:b/>
                <w:bCs/>
                <w:color w:val="000000"/>
                <w:sz w:val="20"/>
                <w:szCs w:val="20"/>
                <w:lang w:eastAsia="ru-RU"/>
              </w:rPr>
              <w:t>39 740,2</w:t>
            </w:r>
          </w:p>
        </w:tc>
        <w:tc>
          <w:tcPr>
            <w:tcW w:w="1559" w:type="dxa"/>
            <w:shd w:val="clear" w:color="auto" w:fill="auto"/>
            <w:noWrap/>
            <w:vAlign w:val="center"/>
          </w:tcPr>
          <w:p w14:paraId="0CE98CAC" w14:textId="7C666505" w:rsidR="00EE3DF2" w:rsidRPr="00AF2355" w:rsidRDefault="00EE3DF2" w:rsidP="00EE3DF2">
            <w:pPr>
              <w:widowControl w:val="0"/>
              <w:ind w:firstLine="0"/>
              <w:jc w:val="center"/>
              <w:rPr>
                <w:rFonts w:ascii="PT Astra Serif" w:eastAsia="Times New Roman" w:hAnsi="PT Astra Serif"/>
                <w:b/>
                <w:bCs/>
                <w:sz w:val="20"/>
                <w:szCs w:val="20"/>
              </w:rPr>
            </w:pPr>
            <w:r w:rsidRPr="00721448">
              <w:rPr>
                <w:rFonts w:ascii="PT Astra Serif" w:eastAsia="Times New Roman" w:hAnsi="PT Astra Serif"/>
                <w:b/>
                <w:bCs/>
                <w:color w:val="000000"/>
                <w:sz w:val="20"/>
                <w:szCs w:val="20"/>
                <w:lang w:eastAsia="ru-RU"/>
              </w:rPr>
              <w:t>77,7</w:t>
            </w:r>
          </w:p>
        </w:tc>
      </w:tr>
    </w:tbl>
    <w:p w14:paraId="577CF99A" w14:textId="623847F6" w:rsidR="005E438C" w:rsidRPr="008D5740" w:rsidRDefault="005E438C" w:rsidP="0076482B">
      <w:pPr>
        <w:widowControl w:val="0"/>
        <w:rPr>
          <w:rFonts w:ascii="PT Astra Serif" w:eastAsia="Times New Roman" w:hAnsi="PT Astra Serif"/>
          <w:sz w:val="20"/>
          <w:szCs w:val="20"/>
        </w:rPr>
      </w:pPr>
    </w:p>
    <w:p w14:paraId="4F457ECA" w14:textId="77777777" w:rsidR="00BE1A37" w:rsidRPr="00F4544B" w:rsidRDefault="00BE1A37" w:rsidP="00BE1A37">
      <w:pPr>
        <w:widowControl w:val="0"/>
        <w:rPr>
          <w:rFonts w:ascii="PT Astra Serif" w:eastAsia="Times New Roman" w:hAnsi="PT Astra Serif"/>
          <w:bCs/>
          <w:szCs w:val="28"/>
          <w:lang w:eastAsia="ru-RU"/>
        </w:rPr>
      </w:pPr>
      <w:bookmarkStart w:id="25" w:name="_Hlk159497730"/>
      <w:r w:rsidRPr="00F4544B">
        <w:rPr>
          <w:rFonts w:ascii="PT Astra Serif" w:eastAsia="Times New Roman" w:hAnsi="PT Astra Serif"/>
          <w:bCs/>
          <w:szCs w:val="28"/>
          <w:lang w:eastAsia="ru-RU"/>
        </w:rPr>
        <w:t xml:space="preserve">Средняя заработная плата в целом </w:t>
      </w:r>
      <w:r w:rsidRPr="00F4544B">
        <w:rPr>
          <w:rFonts w:ascii="PT Astra Serif" w:eastAsia="Times New Roman" w:hAnsi="PT Astra Serif"/>
          <w:b/>
          <w:bCs/>
          <w:szCs w:val="28"/>
          <w:lang w:eastAsia="ru-RU"/>
        </w:rPr>
        <w:t xml:space="preserve">работников образовательных организаций </w:t>
      </w:r>
      <w:r w:rsidRPr="00F4544B">
        <w:rPr>
          <w:rFonts w:ascii="PT Astra Serif" w:eastAsia="Times New Roman" w:hAnsi="PT Astra Serif"/>
          <w:bCs/>
          <w:szCs w:val="28"/>
          <w:lang w:eastAsia="ru-RU"/>
        </w:rPr>
        <w:t>дополнительного образования в сфере культуры по итогам 2025 года составила 45 006,2 рублей (рост к 2024 году 113,7% или 5 416,9 рублей), в том числе:</w:t>
      </w:r>
    </w:p>
    <w:p w14:paraId="381DFDA6" w14:textId="32227555" w:rsidR="00BE1A37" w:rsidRPr="00F4544B" w:rsidRDefault="00BE1A37" w:rsidP="00BE1A37">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по государственному учреждению –50 859,4 рублей (рост к уровню 2024 года 120,1% или 8 495,6 рублей);</w:t>
      </w:r>
    </w:p>
    <w:p w14:paraId="7198A337" w14:textId="130B323B" w:rsidR="00BE1A37" w:rsidRPr="00F4544B" w:rsidRDefault="00BE1A37" w:rsidP="00BE1A37">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по муниципальным учреждениям –44 489,9 рублей (рост к 2024 году 113,1% или 5 159,9 рублей).</w:t>
      </w:r>
    </w:p>
    <w:p w14:paraId="07BA73FD" w14:textId="77777777" w:rsidR="00BE1A37" w:rsidRPr="00F4544B" w:rsidRDefault="00BE1A37" w:rsidP="00BE1A37">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 xml:space="preserve">Средняя заработная плата </w:t>
      </w:r>
      <w:r w:rsidRPr="00F4544B">
        <w:rPr>
          <w:rFonts w:ascii="PT Astra Serif" w:eastAsia="Times New Roman" w:hAnsi="PT Astra Serif"/>
          <w:b/>
          <w:bCs/>
          <w:color w:val="000000"/>
          <w:szCs w:val="28"/>
          <w:lang w:eastAsia="ru-RU"/>
        </w:rPr>
        <w:t xml:space="preserve">педагогических работников </w:t>
      </w:r>
      <w:r w:rsidRPr="00F4544B">
        <w:rPr>
          <w:rFonts w:ascii="PT Astra Serif" w:eastAsia="Times New Roman" w:hAnsi="PT Astra Serif"/>
          <w:bCs/>
          <w:color w:val="000000"/>
          <w:szCs w:val="28"/>
          <w:lang w:eastAsia="ru-RU"/>
        </w:rPr>
        <w:t>образовательных учреждений дополнительного образования детей за 2025 год составила 48 068,0 рублей</w:t>
      </w:r>
      <w:r w:rsidRPr="00F4544B">
        <w:rPr>
          <w:rFonts w:ascii="PT Astra Serif" w:eastAsia="Times New Roman" w:hAnsi="PT Astra Serif"/>
          <w:bCs/>
          <w:szCs w:val="28"/>
          <w:lang w:eastAsia="ru-RU"/>
        </w:rPr>
        <w:t xml:space="preserve"> </w:t>
      </w:r>
      <w:r w:rsidRPr="00F4544B">
        <w:rPr>
          <w:rFonts w:ascii="PT Astra Serif" w:eastAsia="Times New Roman" w:hAnsi="PT Astra Serif"/>
          <w:bCs/>
          <w:color w:val="000000"/>
          <w:szCs w:val="28"/>
          <w:lang w:eastAsia="ru-RU"/>
        </w:rPr>
        <w:t xml:space="preserve">или 92,5% от уровня средней заработной платы учителей в регионе за январь–декабрь 2025 года (51 939,0 рублей). </w:t>
      </w:r>
      <w:bookmarkEnd w:id="25"/>
      <w:r w:rsidRPr="00F4544B">
        <w:rPr>
          <w:rFonts w:ascii="PT Astra Serif" w:eastAsia="Times New Roman" w:hAnsi="PT Astra Serif"/>
          <w:bCs/>
          <w:color w:val="000000"/>
          <w:szCs w:val="28"/>
          <w:lang w:eastAsia="ru-RU"/>
        </w:rPr>
        <w:t>Целевое значение – 100% к уровню средней заработной платы учителей в регионе.</w:t>
      </w:r>
    </w:p>
    <w:p w14:paraId="17005FE5" w14:textId="77777777" w:rsidR="00BE1A37" w:rsidRPr="00F4544B" w:rsidRDefault="00BE1A37" w:rsidP="00BE1A37">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lastRenderedPageBreak/>
        <w:t xml:space="preserve">Рост средней заработной платы </w:t>
      </w:r>
      <w:r w:rsidRPr="00F4544B">
        <w:rPr>
          <w:rFonts w:ascii="PT Astra Serif" w:eastAsia="Times New Roman" w:hAnsi="PT Astra Serif"/>
          <w:b/>
          <w:bCs/>
          <w:color w:val="000000"/>
          <w:szCs w:val="28"/>
          <w:lang w:eastAsia="ru-RU"/>
        </w:rPr>
        <w:t xml:space="preserve">педагогических работников </w:t>
      </w:r>
      <w:r w:rsidRPr="00F4544B">
        <w:rPr>
          <w:rFonts w:ascii="PT Astra Serif" w:eastAsia="Times New Roman" w:hAnsi="PT Astra Serif"/>
          <w:bCs/>
          <w:color w:val="000000"/>
          <w:szCs w:val="28"/>
          <w:lang w:eastAsia="ru-RU"/>
        </w:rPr>
        <w:t>образовательных учреждений дополнительного образования детей за 2025 год по сравнению с 2024 годом составил 5 629,4 рублей или 113,3%.</w:t>
      </w:r>
    </w:p>
    <w:p w14:paraId="046B8366" w14:textId="77777777" w:rsidR="00BE1A37" w:rsidRPr="00F4544B" w:rsidRDefault="00BE1A37" w:rsidP="00BE1A37">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По формам собственности учреждений средняя заработная плата педагогических работников дополнительного образования детей составила:</w:t>
      </w:r>
    </w:p>
    <w:p w14:paraId="2B9CA42B" w14:textId="43DA4EDF" w:rsidR="00BE1A37" w:rsidRPr="00F4544B" w:rsidRDefault="00BE1A37" w:rsidP="00BE1A37">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 xml:space="preserve">по государственным учреждениям – 53 641,5 рубль или 103,3% </w:t>
      </w:r>
      <w:r w:rsidRPr="00F4544B">
        <w:rPr>
          <w:rFonts w:ascii="PT Astra Serif" w:eastAsia="Times New Roman" w:hAnsi="PT Astra Serif"/>
          <w:bCs/>
          <w:szCs w:val="28"/>
          <w:lang w:eastAsia="ru-RU"/>
        </w:rPr>
        <w:t xml:space="preserve">(рост </w:t>
      </w:r>
      <w:r>
        <w:rPr>
          <w:rFonts w:ascii="PT Astra Serif" w:eastAsia="Times New Roman" w:hAnsi="PT Astra Serif"/>
          <w:bCs/>
          <w:szCs w:val="28"/>
          <w:lang w:eastAsia="ru-RU"/>
        </w:rPr>
        <w:br/>
      </w:r>
      <w:r w:rsidRPr="00F4544B">
        <w:rPr>
          <w:rFonts w:ascii="PT Astra Serif" w:eastAsia="Times New Roman" w:hAnsi="PT Astra Serif"/>
          <w:bCs/>
          <w:szCs w:val="28"/>
          <w:lang w:eastAsia="ru-RU"/>
        </w:rPr>
        <w:t>к 2024 году 115,6 или 7 219,6 рублей)</w:t>
      </w:r>
      <w:r w:rsidRPr="00F4544B">
        <w:rPr>
          <w:rFonts w:ascii="PT Astra Serif" w:eastAsia="Times New Roman" w:hAnsi="PT Astra Serif"/>
          <w:bCs/>
          <w:color w:val="000000"/>
          <w:szCs w:val="28"/>
          <w:lang w:eastAsia="ru-RU"/>
        </w:rPr>
        <w:t>;</w:t>
      </w:r>
    </w:p>
    <w:p w14:paraId="3352BD5E" w14:textId="5028D0D2" w:rsidR="00BE1A37" w:rsidRPr="00F4544B" w:rsidRDefault="00BE1A37" w:rsidP="00BE1A37">
      <w:pPr>
        <w:widowControl w:val="0"/>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 xml:space="preserve">по муниципальным учреждениям – 47 611,8 рублей или 91,7% </w:t>
      </w:r>
      <w:r w:rsidRPr="00F4544B">
        <w:rPr>
          <w:rFonts w:ascii="PT Astra Serif" w:eastAsia="Times New Roman" w:hAnsi="PT Astra Serif"/>
          <w:bCs/>
          <w:szCs w:val="28"/>
          <w:lang w:eastAsia="ru-RU"/>
        </w:rPr>
        <w:t xml:space="preserve">(рост </w:t>
      </w:r>
      <w:r>
        <w:rPr>
          <w:rFonts w:ascii="PT Astra Serif" w:eastAsia="Times New Roman" w:hAnsi="PT Astra Serif"/>
          <w:bCs/>
          <w:szCs w:val="28"/>
          <w:lang w:eastAsia="ru-RU"/>
        </w:rPr>
        <w:br/>
      </w:r>
      <w:r w:rsidRPr="00F4544B">
        <w:rPr>
          <w:rFonts w:ascii="PT Astra Serif" w:eastAsia="Times New Roman" w:hAnsi="PT Astra Serif"/>
          <w:bCs/>
          <w:szCs w:val="28"/>
          <w:lang w:eastAsia="ru-RU"/>
        </w:rPr>
        <w:t>к 2024 году 113,1% или 5 509,3 рублей)</w:t>
      </w:r>
      <w:r w:rsidRPr="00F4544B">
        <w:rPr>
          <w:rFonts w:ascii="PT Astra Serif" w:eastAsia="Times New Roman" w:hAnsi="PT Astra Serif"/>
          <w:bCs/>
          <w:color w:val="000000"/>
          <w:szCs w:val="28"/>
          <w:lang w:eastAsia="ru-RU"/>
        </w:rPr>
        <w:t>.</w:t>
      </w:r>
    </w:p>
    <w:p w14:paraId="627805D1" w14:textId="3F646456" w:rsidR="00A717AA" w:rsidRDefault="00A76AFD" w:rsidP="00A76AFD">
      <w:pPr>
        <w:widowControl w:val="0"/>
        <w:ind w:firstLine="0"/>
        <w:rPr>
          <w:rFonts w:ascii="PT Astra Serif" w:eastAsia="Times New Roman" w:hAnsi="PT Astra Serif"/>
          <w:szCs w:val="28"/>
        </w:rPr>
      </w:pPr>
      <w:r w:rsidRPr="00D92F94">
        <w:rPr>
          <w:rFonts w:ascii="PT Astra Serif" w:hAnsi="PT Astra Serif"/>
          <w:noProof/>
          <w:sz w:val="24"/>
          <w:szCs w:val="24"/>
          <w:lang w:eastAsia="ru-RU"/>
        </w:rPr>
        <w:drawing>
          <wp:inline distT="0" distB="0" distL="0" distR="0" wp14:anchorId="41B4DF29" wp14:editId="5A01DD5F">
            <wp:extent cx="6057900" cy="4746929"/>
            <wp:effectExtent l="0" t="0" r="0" b="0"/>
            <wp:docPr id="947458956" name="Диаграмма 9474589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46F1CC3" w14:textId="77777777" w:rsidR="00A76AFD" w:rsidRDefault="00A76AFD" w:rsidP="00A76AFD">
      <w:pPr>
        <w:widowControl w:val="0"/>
        <w:ind w:firstLine="0"/>
        <w:jc w:val="center"/>
        <w:rPr>
          <w:rFonts w:ascii="PT Astra Serif" w:eastAsia="Times New Roman" w:hAnsi="PT Astra Serif"/>
          <w:b/>
          <w:bCs/>
          <w:iCs/>
          <w:sz w:val="20"/>
          <w:szCs w:val="20"/>
          <w:lang w:eastAsia="ru-RU"/>
        </w:rPr>
      </w:pPr>
    </w:p>
    <w:p w14:paraId="4AD734AE" w14:textId="4FDDE2B9" w:rsidR="00A717AA" w:rsidRPr="00A76AFD" w:rsidRDefault="00A76AFD" w:rsidP="00A76AFD">
      <w:pPr>
        <w:widowControl w:val="0"/>
        <w:ind w:firstLine="0"/>
        <w:jc w:val="center"/>
        <w:rPr>
          <w:rFonts w:ascii="PT Astra Serif" w:eastAsia="Times New Roman" w:hAnsi="PT Astra Serif"/>
          <w:b/>
          <w:sz w:val="20"/>
          <w:szCs w:val="20"/>
        </w:rPr>
      </w:pPr>
      <w:r w:rsidRPr="00A76AFD">
        <w:rPr>
          <w:rFonts w:ascii="PT Astra Serif" w:eastAsia="Times New Roman" w:hAnsi="PT Astra Serif"/>
          <w:b/>
          <w:bCs/>
          <w:iCs/>
          <w:sz w:val="20"/>
          <w:szCs w:val="20"/>
          <w:lang w:eastAsia="ru-RU"/>
        </w:rPr>
        <w:t xml:space="preserve">Средняя заработная плата работников муниципальных учреждений культуры </w:t>
      </w:r>
      <w:r>
        <w:rPr>
          <w:rFonts w:ascii="PT Astra Serif" w:eastAsia="Times New Roman" w:hAnsi="PT Astra Serif"/>
          <w:b/>
          <w:bCs/>
          <w:iCs/>
          <w:sz w:val="20"/>
          <w:szCs w:val="20"/>
          <w:lang w:eastAsia="ru-RU"/>
        </w:rPr>
        <w:br/>
      </w:r>
      <w:r w:rsidRPr="00A76AFD">
        <w:rPr>
          <w:rFonts w:ascii="PT Astra Serif" w:eastAsia="Times New Roman" w:hAnsi="PT Astra Serif"/>
          <w:b/>
          <w:bCs/>
          <w:iCs/>
          <w:sz w:val="20"/>
          <w:szCs w:val="20"/>
          <w:lang w:eastAsia="ru-RU"/>
        </w:rPr>
        <w:t>в 2024</w:t>
      </w:r>
      <w:r w:rsidR="00F20E95">
        <w:rPr>
          <w:rFonts w:ascii="PT Astra Serif" w:eastAsia="Times New Roman" w:hAnsi="PT Astra Serif"/>
          <w:b/>
          <w:bCs/>
          <w:iCs/>
          <w:sz w:val="20"/>
          <w:szCs w:val="20"/>
          <w:lang w:eastAsia="ru-RU"/>
        </w:rPr>
        <w:t xml:space="preserve"> </w:t>
      </w:r>
      <w:r w:rsidRPr="00A76AFD">
        <w:rPr>
          <w:rFonts w:ascii="PT Astra Serif" w:eastAsia="Times New Roman" w:hAnsi="PT Astra Serif"/>
          <w:b/>
          <w:bCs/>
          <w:iCs/>
          <w:sz w:val="20"/>
          <w:szCs w:val="20"/>
          <w:lang w:eastAsia="ru-RU"/>
        </w:rPr>
        <w:t>-</w:t>
      </w:r>
      <w:r w:rsidR="00F20E95">
        <w:rPr>
          <w:rFonts w:ascii="PT Astra Serif" w:eastAsia="Times New Roman" w:hAnsi="PT Astra Serif"/>
          <w:b/>
          <w:bCs/>
          <w:iCs/>
          <w:sz w:val="20"/>
          <w:szCs w:val="20"/>
          <w:lang w:eastAsia="ru-RU"/>
        </w:rPr>
        <w:t xml:space="preserve"> </w:t>
      </w:r>
      <w:r w:rsidRPr="00A76AFD">
        <w:rPr>
          <w:rFonts w:ascii="PT Astra Serif" w:eastAsia="Times New Roman" w:hAnsi="PT Astra Serif"/>
          <w:b/>
          <w:bCs/>
          <w:iCs/>
          <w:sz w:val="20"/>
          <w:szCs w:val="20"/>
          <w:lang w:eastAsia="ru-RU"/>
        </w:rPr>
        <w:t>2025 годах</w:t>
      </w:r>
    </w:p>
    <w:p w14:paraId="45EDF928" w14:textId="77777777" w:rsidR="0021143C" w:rsidRPr="008D5740" w:rsidRDefault="0021143C" w:rsidP="0076482B">
      <w:pPr>
        <w:widowControl w:val="0"/>
        <w:rPr>
          <w:rFonts w:ascii="PT Astra Serif" w:eastAsia="Times New Roman" w:hAnsi="PT Astra Serif"/>
          <w:sz w:val="20"/>
          <w:szCs w:val="20"/>
        </w:rPr>
      </w:pPr>
    </w:p>
    <w:p w14:paraId="7B2EF1DC" w14:textId="19BDEC92" w:rsidR="00B26C4B" w:rsidRDefault="00B26C4B" w:rsidP="00B26C4B">
      <w:pPr>
        <w:widowControl w:val="0"/>
        <w:rPr>
          <w:rFonts w:ascii="PT Astra Serif" w:eastAsia="Times New Roman" w:hAnsi="PT Astra Serif"/>
          <w:bCs/>
          <w:szCs w:val="28"/>
          <w:lang w:eastAsia="ru-RU"/>
        </w:rPr>
      </w:pPr>
      <w:bookmarkStart w:id="26" w:name="_Hlk159263239"/>
      <w:r w:rsidRPr="00F4544B">
        <w:rPr>
          <w:rFonts w:ascii="PT Astra Serif" w:eastAsia="Times New Roman" w:hAnsi="PT Astra Serif"/>
          <w:bCs/>
          <w:szCs w:val="28"/>
          <w:lang w:eastAsia="ru-RU"/>
        </w:rPr>
        <w:t xml:space="preserve">По итогам 2025 года средняя заработная плата работников </w:t>
      </w:r>
      <w:r w:rsidRPr="00F4544B">
        <w:rPr>
          <w:rFonts w:ascii="PT Astra Serif" w:eastAsia="Times New Roman" w:hAnsi="PT Astra Serif"/>
          <w:b/>
          <w:bCs/>
          <w:szCs w:val="28"/>
          <w:lang w:eastAsia="ru-RU"/>
        </w:rPr>
        <w:t xml:space="preserve">областных государственных профессиональных образовательных организаций </w:t>
      </w:r>
      <w:r>
        <w:rPr>
          <w:rFonts w:ascii="PT Astra Serif" w:eastAsia="Times New Roman" w:hAnsi="PT Astra Serif"/>
          <w:b/>
          <w:bCs/>
          <w:szCs w:val="28"/>
          <w:lang w:eastAsia="ru-RU"/>
        </w:rPr>
        <w:br/>
      </w:r>
      <w:r w:rsidRPr="00F4544B">
        <w:rPr>
          <w:rFonts w:ascii="PT Astra Serif" w:eastAsia="Times New Roman" w:hAnsi="PT Astra Serif"/>
          <w:bCs/>
          <w:szCs w:val="28"/>
          <w:lang w:eastAsia="ru-RU"/>
        </w:rPr>
        <w:t>в сфере культуры составила 49 960,7 рублей (рост к 2024 году 118,2% или 7 705,4 рублей).</w:t>
      </w:r>
    </w:p>
    <w:p w14:paraId="7B3AB8E4" w14:textId="77777777" w:rsidR="00F20E95" w:rsidRPr="00F4544B" w:rsidRDefault="00F20E95" w:rsidP="00F20E95">
      <w:pPr>
        <w:widowControl w:val="0"/>
        <w:contextualSpacing/>
        <w:rPr>
          <w:rFonts w:ascii="PT Astra Serif" w:eastAsia="Times New Roman" w:hAnsi="PT Astra Serif"/>
          <w:bCs/>
          <w:szCs w:val="28"/>
          <w:lang w:eastAsia="ru-RU"/>
        </w:rPr>
      </w:pPr>
      <w:r w:rsidRPr="00F4544B">
        <w:rPr>
          <w:rFonts w:ascii="PT Astra Serif" w:eastAsia="Times New Roman" w:hAnsi="PT Astra Serif"/>
          <w:bCs/>
          <w:szCs w:val="28"/>
          <w:lang w:eastAsia="ru-RU"/>
        </w:rPr>
        <w:t xml:space="preserve">Средняя заработная </w:t>
      </w:r>
      <w:r w:rsidRPr="00F4544B">
        <w:rPr>
          <w:rFonts w:ascii="PT Astra Serif" w:eastAsia="Times New Roman" w:hAnsi="PT Astra Serif"/>
          <w:b/>
          <w:bCs/>
          <w:szCs w:val="28"/>
          <w:lang w:eastAsia="ru-RU"/>
        </w:rPr>
        <w:t xml:space="preserve">преподавателей </w:t>
      </w:r>
      <w:r w:rsidRPr="00F4544B">
        <w:rPr>
          <w:rFonts w:ascii="PT Astra Serif" w:eastAsia="Times New Roman" w:hAnsi="PT Astra Serif"/>
          <w:bCs/>
          <w:szCs w:val="28"/>
          <w:lang w:eastAsia="ru-RU"/>
        </w:rPr>
        <w:t>областных государственных профессиональных образовательных организаций в сфере культуры за 2025 год составила 60 645,0 рублей или 110,1% от среднемесячного дохода от трудовой деятельности по региону 51 172,0 рубля (при целевом показателе 100%).</w:t>
      </w:r>
    </w:p>
    <w:p w14:paraId="26295709" w14:textId="7139649B" w:rsidR="00F20E95" w:rsidRDefault="00F20E95" w:rsidP="00B26C4B">
      <w:pPr>
        <w:widowControl w:val="0"/>
        <w:rPr>
          <w:rFonts w:ascii="PT Astra Serif" w:eastAsia="Times New Roman" w:hAnsi="PT Astra Serif"/>
          <w:bCs/>
          <w:szCs w:val="28"/>
          <w:lang w:eastAsia="ru-RU"/>
        </w:rPr>
      </w:pPr>
    </w:p>
    <w:bookmarkEnd w:id="26"/>
    <w:p w14:paraId="1C000D4C" w14:textId="77777777" w:rsidR="008C4326" w:rsidRDefault="008C4326" w:rsidP="008C4326">
      <w:pPr>
        <w:widowControl w:val="0"/>
        <w:shd w:val="clear" w:color="auto" w:fill="FFFFFF"/>
        <w:jc w:val="center"/>
        <w:rPr>
          <w:rFonts w:ascii="PT Astra Serif" w:eastAsia="Times New Roman" w:hAnsi="PT Astra Serif"/>
          <w:b/>
          <w:bCs/>
          <w:color w:val="000000"/>
          <w:sz w:val="20"/>
          <w:szCs w:val="20"/>
          <w:lang w:eastAsia="ru-RU"/>
        </w:rPr>
      </w:pPr>
      <w:r w:rsidRPr="005F2F49">
        <w:rPr>
          <w:rFonts w:ascii="PT Astra Serif" w:eastAsia="Times New Roman" w:hAnsi="PT Astra Serif"/>
          <w:b/>
          <w:bCs/>
          <w:color w:val="000000"/>
          <w:sz w:val="20"/>
          <w:szCs w:val="20"/>
          <w:lang w:eastAsia="ru-RU"/>
        </w:rPr>
        <w:lastRenderedPageBreak/>
        <w:t>Информация о средней заработной плате педагогических работников в муниципальных учреждениях дополнительного образования детей</w:t>
      </w:r>
    </w:p>
    <w:p w14:paraId="7861A4E3" w14:textId="27D1DB76" w:rsidR="008C4326" w:rsidRPr="008C4326" w:rsidRDefault="008C4326" w:rsidP="008C4326">
      <w:pPr>
        <w:shd w:val="clear" w:color="auto" w:fill="FFFFFF"/>
        <w:jc w:val="center"/>
        <w:rPr>
          <w:rFonts w:ascii="PT Astra Serif" w:eastAsia="Times New Roman" w:hAnsi="PT Astra Serif"/>
          <w:b/>
          <w:bCs/>
          <w:color w:val="000000"/>
          <w:sz w:val="20"/>
          <w:szCs w:val="20"/>
          <w:lang w:eastAsia="ru-RU"/>
        </w:rPr>
      </w:pPr>
    </w:p>
    <w:tbl>
      <w:tblPr>
        <w:tblW w:w="938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00"/>
        <w:gridCol w:w="3215"/>
        <w:gridCol w:w="1985"/>
        <w:gridCol w:w="1984"/>
        <w:gridCol w:w="1701"/>
      </w:tblGrid>
      <w:tr w:rsidR="008C4326" w:rsidRPr="008C4326" w14:paraId="56509199" w14:textId="77777777" w:rsidTr="006D56FE">
        <w:trPr>
          <w:trHeight w:val="691"/>
          <w:tblHeader/>
        </w:trPr>
        <w:tc>
          <w:tcPr>
            <w:tcW w:w="500" w:type="dxa"/>
            <w:shd w:val="clear" w:color="auto" w:fill="FFFFFF"/>
            <w:noWrap/>
            <w:vAlign w:val="center"/>
            <w:hideMark/>
          </w:tcPr>
          <w:p w14:paraId="54FF869C" w14:textId="77777777" w:rsidR="008C4326" w:rsidRPr="008C4326" w:rsidRDefault="008C4326" w:rsidP="008C4326">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w:t>
            </w:r>
          </w:p>
        </w:tc>
        <w:tc>
          <w:tcPr>
            <w:tcW w:w="3215" w:type="dxa"/>
            <w:shd w:val="clear" w:color="auto" w:fill="FFFFFF"/>
            <w:vAlign w:val="center"/>
            <w:hideMark/>
          </w:tcPr>
          <w:p w14:paraId="69DBE91C" w14:textId="77777777" w:rsidR="008C4326" w:rsidRPr="008C4326" w:rsidRDefault="008C4326" w:rsidP="008C4326">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Наименование районов</w:t>
            </w:r>
          </w:p>
        </w:tc>
        <w:tc>
          <w:tcPr>
            <w:tcW w:w="1985" w:type="dxa"/>
            <w:shd w:val="clear" w:color="auto" w:fill="FFFFFF"/>
            <w:vAlign w:val="center"/>
            <w:hideMark/>
          </w:tcPr>
          <w:p w14:paraId="348ABA3A" w14:textId="54AD9EB8" w:rsidR="008C4326" w:rsidRPr="008C4326" w:rsidRDefault="008C4326" w:rsidP="00F20E95">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Размер средней заработной платы за 2024 г</w:t>
            </w:r>
            <w:r w:rsidR="00F20E95">
              <w:rPr>
                <w:rFonts w:ascii="PT Astra Serif" w:eastAsia="Times New Roman" w:hAnsi="PT Astra Serif"/>
                <w:b/>
                <w:bCs/>
                <w:color w:val="000000"/>
                <w:sz w:val="20"/>
                <w:szCs w:val="20"/>
                <w:lang w:eastAsia="ru-RU"/>
              </w:rPr>
              <w:t>.</w:t>
            </w:r>
            <w:r w:rsidRPr="008C4326">
              <w:rPr>
                <w:rFonts w:ascii="PT Astra Serif" w:eastAsia="Times New Roman" w:hAnsi="PT Astra Serif"/>
                <w:b/>
                <w:bCs/>
                <w:color w:val="000000"/>
                <w:sz w:val="20"/>
                <w:szCs w:val="20"/>
                <w:lang w:eastAsia="ru-RU"/>
              </w:rPr>
              <w:t>, руб.</w:t>
            </w:r>
          </w:p>
        </w:tc>
        <w:tc>
          <w:tcPr>
            <w:tcW w:w="1984" w:type="dxa"/>
            <w:shd w:val="clear" w:color="auto" w:fill="FFFFFF"/>
            <w:vAlign w:val="center"/>
          </w:tcPr>
          <w:p w14:paraId="491721DB" w14:textId="62379CF2" w:rsidR="008C4326" w:rsidRPr="008C4326" w:rsidRDefault="008C4326" w:rsidP="00AD36CF">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Размер средней заработной платы за 2025 г</w:t>
            </w:r>
            <w:r w:rsidR="00AD36CF">
              <w:rPr>
                <w:rFonts w:ascii="PT Astra Serif" w:eastAsia="Times New Roman" w:hAnsi="PT Astra Serif"/>
                <w:b/>
                <w:bCs/>
                <w:color w:val="000000"/>
                <w:sz w:val="20"/>
                <w:szCs w:val="20"/>
                <w:lang w:eastAsia="ru-RU"/>
              </w:rPr>
              <w:t>.</w:t>
            </w:r>
            <w:r w:rsidRPr="008C4326">
              <w:rPr>
                <w:rFonts w:ascii="PT Astra Serif" w:eastAsia="Times New Roman" w:hAnsi="PT Astra Serif"/>
                <w:b/>
                <w:bCs/>
                <w:color w:val="000000"/>
                <w:sz w:val="20"/>
                <w:szCs w:val="20"/>
                <w:lang w:eastAsia="ru-RU"/>
              </w:rPr>
              <w:t>, руб.</w:t>
            </w:r>
          </w:p>
        </w:tc>
        <w:tc>
          <w:tcPr>
            <w:tcW w:w="1701" w:type="dxa"/>
            <w:shd w:val="clear" w:color="auto" w:fill="FFFFFF"/>
            <w:vAlign w:val="center"/>
            <w:hideMark/>
          </w:tcPr>
          <w:p w14:paraId="177A9FC9" w14:textId="578BCC25" w:rsidR="008C4326" w:rsidRPr="008C4326" w:rsidRDefault="008C4326" w:rsidP="00AD36CF">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Темп роста (снижения) к уровню 2024 г</w:t>
            </w:r>
            <w:r w:rsidR="00AD36CF">
              <w:rPr>
                <w:rFonts w:ascii="PT Astra Serif" w:eastAsia="Times New Roman" w:hAnsi="PT Astra Serif"/>
                <w:b/>
                <w:bCs/>
                <w:color w:val="000000"/>
                <w:sz w:val="20"/>
                <w:szCs w:val="20"/>
                <w:lang w:eastAsia="ru-RU"/>
              </w:rPr>
              <w:t>.</w:t>
            </w:r>
            <w:r w:rsidRPr="008C4326">
              <w:rPr>
                <w:rFonts w:ascii="PT Astra Serif" w:eastAsia="Times New Roman" w:hAnsi="PT Astra Serif"/>
                <w:b/>
                <w:bCs/>
                <w:color w:val="000000"/>
                <w:sz w:val="20"/>
                <w:szCs w:val="20"/>
                <w:lang w:eastAsia="ru-RU"/>
              </w:rPr>
              <w:t>, %</w:t>
            </w:r>
          </w:p>
        </w:tc>
      </w:tr>
      <w:tr w:rsidR="008C4326" w:rsidRPr="008C4326" w14:paraId="753919D1" w14:textId="77777777" w:rsidTr="006D56FE">
        <w:trPr>
          <w:trHeight w:val="60"/>
        </w:trPr>
        <w:tc>
          <w:tcPr>
            <w:tcW w:w="500" w:type="dxa"/>
            <w:shd w:val="clear" w:color="auto" w:fill="FFFFFF"/>
            <w:noWrap/>
            <w:hideMark/>
          </w:tcPr>
          <w:p w14:paraId="6BEE8188"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w:t>
            </w:r>
          </w:p>
        </w:tc>
        <w:tc>
          <w:tcPr>
            <w:tcW w:w="3215" w:type="dxa"/>
            <w:shd w:val="clear" w:color="auto" w:fill="FFFFFF"/>
            <w:noWrap/>
            <w:vAlign w:val="center"/>
            <w:hideMark/>
          </w:tcPr>
          <w:p w14:paraId="37EC2E46"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Базарносызганский район</w:t>
            </w:r>
          </w:p>
        </w:tc>
        <w:tc>
          <w:tcPr>
            <w:tcW w:w="1985" w:type="dxa"/>
            <w:shd w:val="clear" w:color="auto" w:fill="FFFFFF"/>
            <w:noWrap/>
            <w:vAlign w:val="center"/>
          </w:tcPr>
          <w:p w14:paraId="7AB8149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43 291,7</w:t>
            </w:r>
          </w:p>
        </w:tc>
        <w:tc>
          <w:tcPr>
            <w:tcW w:w="1984" w:type="dxa"/>
          </w:tcPr>
          <w:p w14:paraId="02FB951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57 700,5</w:t>
            </w:r>
          </w:p>
        </w:tc>
        <w:tc>
          <w:tcPr>
            <w:tcW w:w="1701" w:type="dxa"/>
            <w:noWrap/>
          </w:tcPr>
          <w:p w14:paraId="0892725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133,3</w:t>
            </w:r>
          </w:p>
        </w:tc>
      </w:tr>
      <w:tr w:rsidR="008C4326" w:rsidRPr="008C4326" w14:paraId="1313E000" w14:textId="77777777" w:rsidTr="006D56FE">
        <w:trPr>
          <w:trHeight w:val="122"/>
        </w:trPr>
        <w:tc>
          <w:tcPr>
            <w:tcW w:w="500" w:type="dxa"/>
            <w:shd w:val="clear" w:color="auto" w:fill="FFFFFF"/>
            <w:noWrap/>
            <w:hideMark/>
          </w:tcPr>
          <w:p w14:paraId="2AA07030"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w:t>
            </w:r>
          </w:p>
        </w:tc>
        <w:tc>
          <w:tcPr>
            <w:tcW w:w="3215" w:type="dxa"/>
            <w:shd w:val="clear" w:color="auto" w:fill="FFFFFF"/>
            <w:noWrap/>
            <w:vAlign w:val="center"/>
            <w:hideMark/>
          </w:tcPr>
          <w:p w14:paraId="67FCA326"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Барышский район</w:t>
            </w:r>
          </w:p>
        </w:tc>
        <w:tc>
          <w:tcPr>
            <w:tcW w:w="1985" w:type="dxa"/>
            <w:shd w:val="clear" w:color="auto" w:fill="FFFFFF"/>
            <w:noWrap/>
            <w:vAlign w:val="center"/>
          </w:tcPr>
          <w:p w14:paraId="620BCE1B"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40 140,5</w:t>
            </w:r>
          </w:p>
        </w:tc>
        <w:tc>
          <w:tcPr>
            <w:tcW w:w="1984" w:type="dxa"/>
          </w:tcPr>
          <w:p w14:paraId="79EED1D3"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41 936,0</w:t>
            </w:r>
          </w:p>
        </w:tc>
        <w:tc>
          <w:tcPr>
            <w:tcW w:w="1701" w:type="dxa"/>
            <w:noWrap/>
          </w:tcPr>
          <w:p w14:paraId="59F47AB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104,5</w:t>
            </w:r>
          </w:p>
        </w:tc>
      </w:tr>
      <w:tr w:rsidR="008C4326" w:rsidRPr="008C4326" w14:paraId="07185C7F" w14:textId="77777777" w:rsidTr="006D56FE">
        <w:trPr>
          <w:trHeight w:val="70"/>
        </w:trPr>
        <w:tc>
          <w:tcPr>
            <w:tcW w:w="500" w:type="dxa"/>
            <w:shd w:val="clear" w:color="auto" w:fill="FFFFFF"/>
            <w:noWrap/>
            <w:hideMark/>
          </w:tcPr>
          <w:p w14:paraId="7C85119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3</w:t>
            </w:r>
          </w:p>
        </w:tc>
        <w:tc>
          <w:tcPr>
            <w:tcW w:w="3215" w:type="dxa"/>
            <w:shd w:val="clear" w:color="auto" w:fill="FFFFFF"/>
            <w:noWrap/>
            <w:vAlign w:val="center"/>
            <w:hideMark/>
          </w:tcPr>
          <w:p w14:paraId="1801243A"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Вешкаймский район</w:t>
            </w:r>
          </w:p>
        </w:tc>
        <w:tc>
          <w:tcPr>
            <w:tcW w:w="1985" w:type="dxa"/>
            <w:shd w:val="clear" w:color="auto" w:fill="FFFFFF"/>
            <w:noWrap/>
            <w:vAlign w:val="center"/>
          </w:tcPr>
          <w:p w14:paraId="7ED7927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36 971,9</w:t>
            </w:r>
          </w:p>
        </w:tc>
        <w:tc>
          <w:tcPr>
            <w:tcW w:w="1984" w:type="dxa"/>
          </w:tcPr>
          <w:p w14:paraId="2F1AF7C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33 321,4</w:t>
            </w:r>
          </w:p>
        </w:tc>
        <w:tc>
          <w:tcPr>
            <w:tcW w:w="1701" w:type="dxa"/>
            <w:noWrap/>
          </w:tcPr>
          <w:p w14:paraId="38A0ACF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90,1</w:t>
            </w:r>
          </w:p>
        </w:tc>
      </w:tr>
      <w:tr w:rsidR="008C4326" w:rsidRPr="008C4326" w14:paraId="46FDAD87" w14:textId="77777777" w:rsidTr="006D56FE">
        <w:trPr>
          <w:trHeight w:val="70"/>
        </w:trPr>
        <w:tc>
          <w:tcPr>
            <w:tcW w:w="500" w:type="dxa"/>
            <w:shd w:val="clear" w:color="auto" w:fill="FFFFFF"/>
            <w:noWrap/>
            <w:hideMark/>
          </w:tcPr>
          <w:p w14:paraId="4CA122AB"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4</w:t>
            </w:r>
          </w:p>
        </w:tc>
        <w:tc>
          <w:tcPr>
            <w:tcW w:w="3215" w:type="dxa"/>
            <w:shd w:val="clear" w:color="auto" w:fill="FFFFFF"/>
            <w:noWrap/>
            <w:vAlign w:val="center"/>
            <w:hideMark/>
          </w:tcPr>
          <w:p w14:paraId="5CBBCC3E"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Инзенский район</w:t>
            </w:r>
          </w:p>
        </w:tc>
        <w:tc>
          <w:tcPr>
            <w:tcW w:w="1985" w:type="dxa"/>
            <w:shd w:val="clear" w:color="auto" w:fill="FFFFFF"/>
            <w:noWrap/>
            <w:vAlign w:val="center"/>
          </w:tcPr>
          <w:p w14:paraId="2B97435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28 967,7</w:t>
            </w:r>
          </w:p>
        </w:tc>
        <w:tc>
          <w:tcPr>
            <w:tcW w:w="1984" w:type="dxa"/>
          </w:tcPr>
          <w:p w14:paraId="64FFFC4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26 571,5</w:t>
            </w:r>
          </w:p>
        </w:tc>
        <w:tc>
          <w:tcPr>
            <w:tcW w:w="1701" w:type="dxa"/>
            <w:noWrap/>
          </w:tcPr>
          <w:p w14:paraId="4B7E4A85"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91,7</w:t>
            </w:r>
          </w:p>
        </w:tc>
      </w:tr>
      <w:tr w:rsidR="008C4326" w:rsidRPr="008C4326" w14:paraId="0C8D56FF" w14:textId="77777777" w:rsidTr="006D56FE">
        <w:trPr>
          <w:trHeight w:val="70"/>
        </w:trPr>
        <w:tc>
          <w:tcPr>
            <w:tcW w:w="500" w:type="dxa"/>
            <w:shd w:val="clear" w:color="auto" w:fill="FFFFFF"/>
            <w:noWrap/>
            <w:hideMark/>
          </w:tcPr>
          <w:p w14:paraId="0CF6EC63"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5</w:t>
            </w:r>
          </w:p>
        </w:tc>
        <w:tc>
          <w:tcPr>
            <w:tcW w:w="3215" w:type="dxa"/>
            <w:shd w:val="clear" w:color="auto" w:fill="FFFFFF"/>
            <w:noWrap/>
            <w:vAlign w:val="center"/>
            <w:hideMark/>
          </w:tcPr>
          <w:p w14:paraId="77D74B5B"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Карсунский район</w:t>
            </w:r>
          </w:p>
        </w:tc>
        <w:tc>
          <w:tcPr>
            <w:tcW w:w="1985" w:type="dxa"/>
            <w:shd w:val="clear" w:color="auto" w:fill="FFFFFF"/>
            <w:noWrap/>
            <w:vAlign w:val="center"/>
          </w:tcPr>
          <w:p w14:paraId="1972E78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37 983,9</w:t>
            </w:r>
          </w:p>
        </w:tc>
        <w:tc>
          <w:tcPr>
            <w:tcW w:w="1984" w:type="dxa"/>
          </w:tcPr>
          <w:p w14:paraId="68282D0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36 320,9</w:t>
            </w:r>
          </w:p>
        </w:tc>
        <w:tc>
          <w:tcPr>
            <w:tcW w:w="1701" w:type="dxa"/>
            <w:noWrap/>
          </w:tcPr>
          <w:p w14:paraId="68547EB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95,6</w:t>
            </w:r>
          </w:p>
        </w:tc>
      </w:tr>
      <w:tr w:rsidR="008C4326" w:rsidRPr="008C4326" w14:paraId="0E266678" w14:textId="77777777" w:rsidTr="006D56FE">
        <w:trPr>
          <w:trHeight w:val="70"/>
        </w:trPr>
        <w:tc>
          <w:tcPr>
            <w:tcW w:w="500" w:type="dxa"/>
            <w:shd w:val="clear" w:color="auto" w:fill="FFFFFF"/>
            <w:noWrap/>
            <w:hideMark/>
          </w:tcPr>
          <w:p w14:paraId="254F306E"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6</w:t>
            </w:r>
          </w:p>
        </w:tc>
        <w:tc>
          <w:tcPr>
            <w:tcW w:w="3215" w:type="dxa"/>
            <w:shd w:val="clear" w:color="auto" w:fill="FFFFFF"/>
            <w:noWrap/>
            <w:vAlign w:val="center"/>
            <w:hideMark/>
          </w:tcPr>
          <w:p w14:paraId="6A01C3D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Кузоватовский район</w:t>
            </w:r>
          </w:p>
        </w:tc>
        <w:tc>
          <w:tcPr>
            <w:tcW w:w="1985" w:type="dxa"/>
            <w:shd w:val="clear" w:color="auto" w:fill="FFFFFF"/>
            <w:noWrap/>
            <w:vAlign w:val="center"/>
          </w:tcPr>
          <w:p w14:paraId="60C35E81"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40 916,7</w:t>
            </w:r>
          </w:p>
        </w:tc>
        <w:tc>
          <w:tcPr>
            <w:tcW w:w="1984" w:type="dxa"/>
          </w:tcPr>
          <w:p w14:paraId="420D72A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45 891,3</w:t>
            </w:r>
          </w:p>
        </w:tc>
        <w:tc>
          <w:tcPr>
            <w:tcW w:w="1701" w:type="dxa"/>
            <w:noWrap/>
          </w:tcPr>
          <w:p w14:paraId="18F51B5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112,2</w:t>
            </w:r>
          </w:p>
        </w:tc>
      </w:tr>
      <w:tr w:rsidR="008C4326" w:rsidRPr="008C4326" w14:paraId="0AEC48F7" w14:textId="77777777" w:rsidTr="006D56FE">
        <w:trPr>
          <w:trHeight w:val="70"/>
        </w:trPr>
        <w:tc>
          <w:tcPr>
            <w:tcW w:w="500" w:type="dxa"/>
            <w:shd w:val="clear" w:color="auto" w:fill="FFFFFF"/>
            <w:noWrap/>
            <w:hideMark/>
          </w:tcPr>
          <w:p w14:paraId="7235D438"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7</w:t>
            </w:r>
          </w:p>
        </w:tc>
        <w:tc>
          <w:tcPr>
            <w:tcW w:w="3215" w:type="dxa"/>
            <w:shd w:val="clear" w:color="auto" w:fill="FFFFFF"/>
            <w:noWrap/>
            <w:vAlign w:val="center"/>
            <w:hideMark/>
          </w:tcPr>
          <w:p w14:paraId="161B6541"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Майнский район</w:t>
            </w:r>
          </w:p>
        </w:tc>
        <w:tc>
          <w:tcPr>
            <w:tcW w:w="1985" w:type="dxa"/>
            <w:shd w:val="clear" w:color="auto" w:fill="FFFFFF"/>
            <w:noWrap/>
            <w:vAlign w:val="center"/>
          </w:tcPr>
          <w:p w14:paraId="34081A4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42 049,9</w:t>
            </w:r>
          </w:p>
        </w:tc>
        <w:tc>
          <w:tcPr>
            <w:tcW w:w="1984" w:type="dxa"/>
          </w:tcPr>
          <w:p w14:paraId="35E5AB7A"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39 316,7</w:t>
            </w:r>
          </w:p>
        </w:tc>
        <w:tc>
          <w:tcPr>
            <w:tcW w:w="1701" w:type="dxa"/>
            <w:noWrap/>
          </w:tcPr>
          <w:p w14:paraId="46F0474E"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93,5</w:t>
            </w:r>
          </w:p>
        </w:tc>
      </w:tr>
      <w:tr w:rsidR="008C4326" w:rsidRPr="008C4326" w14:paraId="00469078" w14:textId="77777777" w:rsidTr="006D56FE">
        <w:trPr>
          <w:trHeight w:val="70"/>
        </w:trPr>
        <w:tc>
          <w:tcPr>
            <w:tcW w:w="500" w:type="dxa"/>
            <w:shd w:val="clear" w:color="auto" w:fill="FFFFFF"/>
            <w:noWrap/>
            <w:hideMark/>
          </w:tcPr>
          <w:p w14:paraId="25B7E61A"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8</w:t>
            </w:r>
          </w:p>
        </w:tc>
        <w:tc>
          <w:tcPr>
            <w:tcW w:w="3215" w:type="dxa"/>
            <w:shd w:val="clear" w:color="auto" w:fill="FFFFFF"/>
            <w:noWrap/>
            <w:vAlign w:val="center"/>
            <w:hideMark/>
          </w:tcPr>
          <w:p w14:paraId="1B033A08"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Мелекесский район</w:t>
            </w:r>
          </w:p>
        </w:tc>
        <w:tc>
          <w:tcPr>
            <w:tcW w:w="1985" w:type="dxa"/>
            <w:shd w:val="clear" w:color="auto" w:fill="FFFFFF"/>
            <w:noWrap/>
            <w:vAlign w:val="center"/>
          </w:tcPr>
          <w:p w14:paraId="65D5FC6D"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40 491,7</w:t>
            </w:r>
          </w:p>
        </w:tc>
        <w:tc>
          <w:tcPr>
            <w:tcW w:w="1984" w:type="dxa"/>
          </w:tcPr>
          <w:p w14:paraId="5D41D24A"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40 434,2</w:t>
            </w:r>
          </w:p>
        </w:tc>
        <w:tc>
          <w:tcPr>
            <w:tcW w:w="1701" w:type="dxa"/>
            <w:noWrap/>
          </w:tcPr>
          <w:p w14:paraId="412D41EA"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99,9</w:t>
            </w:r>
          </w:p>
        </w:tc>
      </w:tr>
      <w:tr w:rsidR="008C4326" w:rsidRPr="008C4326" w14:paraId="44621535" w14:textId="77777777" w:rsidTr="006D56FE">
        <w:trPr>
          <w:trHeight w:val="70"/>
        </w:trPr>
        <w:tc>
          <w:tcPr>
            <w:tcW w:w="500" w:type="dxa"/>
            <w:shd w:val="clear" w:color="auto" w:fill="FFFFFF"/>
            <w:noWrap/>
            <w:hideMark/>
          </w:tcPr>
          <w:p w14:paraId="2E20F2A2"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9</w:t>
            </w:r>
          </w:p>
        </w:tc>
        <w:tc>
          <w:tcPr>
            <w:tcW w:w="3215" w:type="dxa"/>
            <w:shd w:val="clear" w:color="auto" w:fill="FFFFFF"/>
            <w:noWrap/>
            <w:vAlign w:val="center"/>
            <w:hideMark/>
          </w:tcPr>
          <w:p w14:paraId="4108FCAE"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Николаевский район</w:t>
            </w:r>
          </w:p>
        </w:tc>
        <w:tc>
          <w:tcPr>
            <w:tcW w:w="1985" w:type="dxa"/>
            <w:shd w:val="clear" w:color="auto" w:fill="FFFFFF"/>
            <w:noWrap/>
            <w:vAlign w:val="center"/>
          </w:tcPr>
          <w:p w14:paraId="10D2808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47 117,1</w:t>
            </w:r>
          </w:p>
        </w:tc>
        <w:tc>
          <w:tcPr>
            <w:tcW w:w="1984" w:type="dxa"/>
          </w:tcPr>
          <w:p w14:paraId="769A2C75"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53 056,1</w:t>
            </w:r>
          </w:p>
        </w:tc>
        <w:tc>
          <w:tcPr>
            <w:tcW w:w="1701" w:type="dxa"/>
            <w:noWrap/>
          </w:tcPr>
          <w:p w14:paraId="13A88E2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112,6</w:t>
            </w:r>
          </w:p>
        </w:tc>
      </w:tr>
      <w:tr w:rsidR="008C4326" w:rsidRPr="008C4326" w14:paraId="7A73C426" w14:textId="77777777" w:rsidTr="006D56FE">
        <w:trPr>
          <w:trHeight w:val="70"/>
        </w:trPr>
        <w:tc>
          <w:tcPr>
            <w:tcW w:w="500" w:type="dxa"/>
            <w:shd w:val="clear" w:color="auto" w:fill="FFFFFF"/>
            <w:noWrap/>
            <w:hideMark/>
          </w:tcPr>
          <w:p w14:paraId="01D45E16"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10</w:t>
            </w:r>
          </w:p>
        </w:tc>
        <w:tc>
          <w:tcPr>
            <w:tcW w:w="3215" w:type="dxa"/>
            <w:shd w:val="clear" w:color="auto" w:fill="FFFFFF"/>
            <w:noWrap/>
            <w:vAlign w:val="center"/>
            <w:hideMark/>
          </w:tcPr>
          <w:p w14:paraId="4B2A1E93"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Новомалыклинский район</w:t>
            </w:r>
          </w:p>
        </w:tc>
        <w:tc>
          <w:tcPr>
            <w:tcW w:w="1985" w:type="dxa"/>
            <w:shd w:val="clear" w:color="auto" w:fill="FFFFFF"/>
            <w:noWrap/>
            <w:vAlign w:val="center"/>
          </w:tcPr>
          <w:p w14:paraId="29E3CA2B"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30 263,3</w:t>
            </w:r>
          </w:p>
        </w:tc>
        <w:tc>
          <w:tcPr>
            <w:tcW w:w="1984" w:type="dxa"/>
          </w:tcPr>
          <w:p w14:paraId="22CF992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34 717,9</w:t>
            </w:r>
          </w:p>
        </w:tc>
        <w:tc>
          <w:tcPr>
            <w:tcW w:w="1701" w:type="dxa"/>
            <w:noWrap/>
          </w:tcPr>
          <w:p w14:paraId="11335C9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114,7</w:t>
            </w:r>
          </w:p>
        </w:tc>
      </w:tr>
      <w:tr w:rsidR="008C4326" w:rsidRPr="008C4326" w14:paraId="6151FFCA" w14:textId="77777777" w:rsidTr="006D56FE">
        <w:trPr>
          <w:trHeight w:val="70"/>
        </w:trPr>
        <w:tc>
          <w:tcPr>
            <w:tcW w:w="500" w:type="dxa"/>
            <w:shd w:val="clear" w:color="auto" w:fill="FFFFFF"/>
            <w:noWrap/>
            <w:hideMark/>
          </w:tcPr>
          <w:p w14:paraId="4638E7F5"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11</w:t>
            </w:r>
          </w:p>
        </w:tc>
        <w:tc>
          <w:tcPr>
            <w:tcW w:w="3215" w:type="dxa"/>
            <w:shd w:val="clear" w:color="auto" w:fill="FFFFFF"/>
            <w:noWrap/>
            <w:vAlign w:val="center"/>
            <w:hideMark/>
          </w:tcPr>
          <w:p w14:paraId="1027691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Новоспасский район</w:t>
            </w:r>
          </w:p>
        </w:tc>
        <w:tc>
          <w:tcPr>
            <w:tcW w:w="1985" w:type="dxa"/>
            <w:shd w:val="clear" w:color="auto" w:fill="FFFFFF"/>
            <w:noWrap/>
            <w:vAlign w:val="center"/>
          </w:tcPr>
          <w:p w14:paraId="52F83F7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43 150,1</w:t>
            </w:r>
          </w:p>
        </w:tc>
        <w:tc>
          <w:tcPr>
            <w:tcW w:w="1984" w:type="dxa"/>
          </w:tcPr>
          <w:p w14:paraId="18A7D8CE"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42 912,7</w:t>
            </w:r>
          </w:p>
        </w:tc>
        <w:tc>
          <w:tcPr>
            <w:tcW w:w="1701" w:type="dxa"/>
            <w:noWrap/>
          </w:tcPr>
          <w:p w14:paraId="7A351420"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99,4</w:t>
            </w:r>
          </w:p>
        </w:tc>
      </w:tr>
      <w:tr w:rsidR="008C4326" w:rsidRPr="008C4326" w14:paraId="67E48143" w14:textId="77777777" w:rsidTr="006D56FE">
        <w:trPr>
          <w:trHeight w:val="70"/>
        </w:trPr>
        <w:tc>
          <w:tcPr>
            <w:tcW w:w="500" w:type="dxa"/>
            <w:shd w:val="clear" w:color="auto" w:fill="FFFFFF"/>
            <w:noWrap/>
            <w:hideMark/>
          </w:tcPr>
          <w:p w14:paraId="21CEE571"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12</w:t>
            </w:r>
          </w:p>
        </w:tc>
        <w:tc>
          <w:tcPr>
            <w:tcW w:w="3215" w:type="dxa"/>
            <w:shd w:val="clear" w:color="auto" w:fill="FFFFFF"/>
            <w:noWrap/>
            <w:vAlign w:val="center"/>
            <w:hideMark/>
          </w:tcPr>
          <w:p w14:paraId="1944D99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Павловский район</w:t>
            </w:r>
          </w:p>
        </w:tc>
        <w:tc>
          <w:tcPr>
            <w:tcW w:w="1985" w:type="dxa"/>
            <w:shd w:val="clear" w:color="auto" w:fill="FFFFFF"/>
            <w:noWrap/>
            <w:vAlign w:val="center"/>
          </w:tcPr>
          <w:p w14:paraId="015C893E"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36 981,4</w:t>
            </w:r>
          </w:p>
        </w:tc>
        <w:tc>
          <w:tcPr>
            <w:tcW w:w="1984" w:type="dxa"/>
          </w:tcPr>
          <w:p w14:paraId="5609CE03"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37 916,7</w:t>
            </w:r>
          </w:p>
        </w:tc>
        <w:tc>
          <w:tcPr>
            <w:tcW w:w="1701" w:type="dxa"/>
            <w:noWrap/>
          </w:tcPr>
          <w:p w14:paraId="513135A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102,5</w:t>
            </w:r>
          </w:p>
        </w:tc>
      </w:tr>
      <w:tr w:rsidR="008C4326" w:rsidRPr="008C4326" w14:paraId="1E753357" w14:textId="77777777" w:rsidTr="006D56FE">
        <w:trPr>
          <w:trHeight w:val="70"/>
        </w:trPr>
        <w:tc>
          <w:tcPr>
            <w:tcW w:w="500" w:type="dxa"/>
            <w:shd w:val="clear" w:color="auto" w:fill="FFFFFF"/>
            <w:noWrap/>
            <w:hideMark/>
          </w:tcPr>
          <w:p w14:paraId="443FE49F"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13</w:t>
            </w:r>
          </w:p>
        </w:tc>
        <w:tc>
          <w:tcPr>
            <w:tcW w:w="3215" w:type="dxa"/>
            <w:shd w:val="clear" w:color="auto" w:fill="FFFFFF"/>
            <w:noWrap/>
            <w:vAlign w:val="center"/>
            <w:hideMark/>
          </w:tcPr>
          <w:p w14:paraId="62327636"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Радищевский район</w:t>
            </w:r>
          </w:p>
        </w:tc>
        <w:tc>
          <w:tcPr>
            <w:tcW w:w="1985" w:type="dxa"/>
            <w:shd w:val="clear" w:color="auto" w:fill="FFFFFF"/>
            <w:noWrap/>
            <w:vAlign w:val="center"/>
          </w:tcPr>
          <w:p w14:paraId="44EDD64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38 585,9</w:t>
            </w:r>
          </w:p>
        </w:tc>
        <w:tc>
          <w:tcPr>
            <w:tcW w:w="1984" w:type="dxa"/>
          </w:tcPr>
          <w:p w14:paraId="7342216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37 796,5</w:t>
            </w:r>
          </w:p>
        </w:tc>
        <w:tc>
          <w:tcPr>
            <w:tcW w:w="1701" w:type="dxa"/>
            <w:noWrap/>
          </w:tcPr>
          <w:p w14:paraId="4B0874C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98</w:t>
            </w:r>
          </w:p>
        </w:tc>
      </w:tr>
      <w:tr w:rsidR="008C4326" w:rsidRPr="008C4326" w14:paraId="5752C811" w14:textId="77777777" w:rsidTr="006D56FE">
        <w:trPr>
          <w:trHeight w:val="132"/>
        </w:trPr>
        <w:tc>
          <w:tcPr>
            <w:tcW w:w="500" w:type="dxa"/>
            <w:shd w:val="clear" w:color="auto" w:fill="FFFFFF"/>
            <w:noWrap/>
            <w:hideMark/>
          </w:tcPr>
          <w:p w14:paraId="113F4EC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14</w:t>
            </w:r>
          </w:p>
        </w:tc>
        <w:tc>
          <w:tcPr>
            <w:tcW w:w="3215" w:type="dxa"/>
            <w:shd w:val="clear" w:color="auto" w:fill="FFFFFF"/>
            <w:noWrap/>
            <w:vAlign w:val="center"/>
            <w:hideMark/>
          </w:tcPr>
          <w:p w14:paraId="44BEB8CF"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Сенгилеевский район</w:t>
            </w:r>
          </w:p>
        </w:tc>
        <w:tc>
          <w:tcPr>
            <w:tcW w:w="1985" w:type="dxa"/>
            <w:shd w:val="clear" w:color="auto" w:fill="FFFFFF"/>
            <w:noWrap/>
            <w:vAlign w:val="center"/>
          </w:tcPr>
          <w:p w14:paraId="63C4A8BA"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40 198,4</w:t>
            </w:r>
          </w:p>
        </w:tc>
        <w:tc>
          <w:tcPr>
            <w:tcW w:w="1984" w:type="dxa"/>
          </w:tcPr>
          <w:p w14:paraId="0A89C50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43 231,6</w:t>
            </w:r>
          </w:p>
        </w:tc>
        <w:tc>
          <w:tcPr>
            <w:tcW w:w="1701" w:type="dxa"/>
            <w:noWrap/>
          </w:tcPr>
          <w:p w14:paraId="6257A49B"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107,5</w:t>
            </w:r>
          </w:p>
        </w:tc>
      </w:tr>
      <w:tr w:rsidR="008C4326" w:rsidRPr="008C4326" w14:paraId="4FCCF5A0" w14:textId="77777777" w:rsidTr="006D56FE">
        <w:trPr>
          <w:trHeight w:val="136"/>
        </w:trPr>
        <w:tc>
          <w:tcPr>
            <w:tcW w:w="500" w:type="dxa"/>
            <w:shd w:val="clear" w:color="auto" w:fill="FFFFFF"/>
            <w:noWrap/>
            <w:hideMark/>
          </w:tcPr>
          <w:p w14:paraId="1DD21463"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15</w:t>
            </w:r>
          </w:p>
        </w:tc>
        <w:tc>
          <w:tcPr>
            <w:tcW w:w="3215" w:type="dxa"/>
            <w:shd w:val="clear" w:color="auto" w:fill="FFFFFF"/>
            <w:noWrap/>
            <w:vAlign w:val="center"/>
            <w:hideMark/>
          </w:tcPr>
          <w:p w14:paraId="1F64D622"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Старокулаткинский район</w:t>
            </w:r>
          </w:p>
        </w:tc>
        <w:tc>
          <w:tcPr>
            <w:tcW w:w="1985" w:type="dxa"/>
            <w:shd w:val="clear" w:color="auto" w:fill="FFFFFF"/>
            <w:noWrap/>
            <w:vAlign w:val="center"/>
          </w:tcPr>
          <w:p w14:paraId="7A77AAB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50 865,0</w:t>
            </w:r>
          </w:p>
        </w:tc>
        <w:tc>
          <w:tcPr>
            <w:tcW w:w="1984" w:type="dxa"/>
          </w:tcPr>
          <w:p w14:paraId="5BDD42E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47 754,7</w:t>
            </w:r>
          </w:p>
        </w:tc>
        <w:tc>
          <w:tcPr>
            <w:tcW w:w="1701" w:type="dxa"/>
            <w:noWrap/>
          </w:tcPr>
          <w:p w14:paraId="525CDE6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93,9</w:t>
            </w:r>
          </w:p>
        </w:tc>
      </w:tr>
      <w:tr w:rsidR="008C4326" w:rsidRPr="008C4326" w14:paraId="3C69D2D2" w14:textId="77777777" w:rsidTr="006D56FE">
        <w:trPr>
          <w:trHeight w:val="126"/>
        </w:trPr>
        <w:tc>
          <w:tcPr>
            <w:tcW w:w="500" w:type="dxa"/>
            <w:shd w:val="clear" w:color="auto" w:fill="FFFFFF"/>
            <w:noWrap/>
            <w:hideMark/>
          </w:tcPr>
          <w:p w14:paraId="04F7DDA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16</w:t>
            </w:r>
          </w:p>
        </w:tc>
        <w:tc>
          <w:tcPr>
            <w:tcW w:w="3215" w:type="dxa"/>
            <w:shd w:val="clear" w:color="auto" w:fill="FFFFFF"/>
            <w:noWrap/>
            <w:vAlign w:val="center"/>
            <w:hideMark/>
          </w:tcPr>
          <w:p w14:paraId="33FF4A67"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Старомайнский район</w:t>
            </w:r>
          </w:p>
        </w:tc>
        <w:tc>
          <w:tcPr>
            <w:tcW w:w="1985" w:type="dxa"/>
            <w:shd w:val="clear" w:color="auto" w:fill="FFFFFF"/>
            <w:noWrap/>
            <w:vAlign w:val="center"/>
          </w:tcPr>
          <w:p w14:paraId="63D6191F"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47 803,7</w:t>
            </w:r>
          </w:p>
        </w:tc>
        <w:tc>
          <w:tcPr>
            <w:tcW w:w="1984" w:type="dxa"/>
          </w:tcPr>
          <w:p w14:paraId="278EB3F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46 697,0</w:t>
            </w:r>
          </w:p>
        </w:tc>
        <w:tc>
          <w:tcPr>
            <w:tcW w:w="1701" w:type="dxa"/>
            <w:noWrap/>
          </w:tcPr>
          <w:p w14:paraId="289A242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97,7</w:t>
            </w:r>
          </w:p>
        </w:tc>
      </w:tr>
      <w:tr w:rsidR="008C4326" w:rsidRPr="008C4326" w14:paraId="30EF58DB" w14:textId="77777777" w:rsidTr="006D56FE">
        <w:trPr>
          <w:trHeight w:val="130"/>
        </w:trPr>
        <w:tc>
          <w:tcPr>
            <w:tcW w:w="500" w:type="dxa"/>
            <w:shd w:val="clear" w:color="auto" w:fill="FFFFFF"/>
            <w:noWrap/>
            <w:hideMark/>
          </w:tcPr>
          <w:p w14:paraId="42C9964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17</w:t>
            </w:r>
          </w:p>
        </w:tc>
        <w:tc>
          <w:tcPr>
            <w:tcW w:w="3215" w:type="dxa"/>
            <w:shd w:val="clear" w:color="auto" w:fill="FFFFFF"/>
            <w:noWrap/>
            <w:vAlign w:val="center"/>
            <w:hideMark/>
          </w:tcPr>
          <w:p w14:paraId="4A9739BF"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Сурский район</w:t>
            </w:r>
          </w:p>
        </w:tc>
        <w:tc>
          <w:tcPr>
            <w:tcW w:w="1985" w:type="dxa"/>
            <w:shd w:val="clear" w:color="auto" w:fill="FFFFFF"/>
            <w:noWrap/>
            <w:vAlign w:val="center"/>
          </w:tcPr>
          <w:p w14:paraId="268F3C50"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35 970,1</w:t>
            </w:r>
          </w:p>
        </w:tc>
        <w:tc>
          <w:tcPr>
            <w:tcW w:w="1984" w:type="dxa"/>
          </w:tcPr>
          <w:p w14:paraId="6009A06D"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38 310,0</w:t>
            </w:r>
          </w:p>
        </w:tc>
        <w:tc>
          <w:tcPr>
            <w:tcW w:w="1701" w:type="dxa"/>
            <w:noWrap/>
          </w:tcPr>
          <w:p w14:paraId="6C5C6DDB"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106,5</w:t>
            </w:r>
          </w:p>
        </w:tc>
      </w:tr>
      <w:tr w:rsidR="008C4326" w:rsidRPr="008C4326" w14:paraId="6CE2805F" w14:textId="77777777" w:rsidTr="006D56FE">
        <w:trPr>
          <w:trHeight w:val="70"/>
        </w:trPr>
        <w:tc>
          <w:tcPr>
            <w:tcW w:w="500" w:type="dxa"/>
            <w:shd w:val="clear" w:color="auto" w:fill="FFFFFF"/>
            <w:noWrap/>
            <w:hideMark/>
          </w:tcPr>
          <w:p w14:paraId="69308B6B"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18</w:t>
            </w:r>
          </w:p>
        </w:tc>
        <w:tc>
          <w:tcPr>
            <w:tcW w:w="3215" w:type="dxa"/>
            <w:shd w:val="clear" w:color="auto" w:fill="FFFFFF"/>
            <w:noWrap/>
            <w:vAlign w:val="center"/>
            <w:hideMark/>
          </w:tcPr>
          <w:p w14:paraId="06617B1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Тереньгульский район</w:t>
            </w:r>
          </w:p>
        </w:tc>
        <w:tc>
          <w:tcPr>
            <w:tcW w:w="1985" w:type="dxa"/>
            <w:shd w:val="clear" w:color="auto" w:fill="FFFFFF"/>
            <w:noWrap/>
            <w:vAlign w:val="center"/>
          </w:tcPr>
          <w:p w14:paraId="64BCC8F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26 591,0</w:t>
            </w:r>
          </w:p>
        </w:tc>
        <w:tc>
          <w:tcPr>
            <w:tcW w:w="1984" w:type="dxa"/>
          </w:tcPr>
          <w:p w14:paraId="3975DBB5"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34 113,0</w:t>
            </w:r>
          </w:p>
        </w:tc>
        <w:tc>
          <w:tcPr>
            <w:tcW w:w="1701" w:type="dxa"/>
            <w:noWrap/>
          </w:tcPr>
          <w:p w14:paraId="797A88E4"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128,3</w:t>
            </w:r>
          </w:p>
        </w:tc>
      </w:tr>
      <w:tr w:rsidR="008C4326" w:rsidRPr="008C4326" w14:paraId="08D05AC1" w14:textId="77777777" w:rsidTr="006D56FE">
        <w:trPr>
          <w:trHeight w:val="70"/>
        </w:trPr>
        <w:tc>
          <w:tcPr>
            <w:tcW w:w="500" w:type="dxa"/>
            <w:shd w:val="clear" w:color="auto" w:fill="FFFFFF"/>
            <w:noWrap/>
            <w:hideMark/>
          </w:tcPr>
          <w:p w14:paraId="4863ABEE"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19</w:t>
            </w:r>
          </w:p>
        </w:tc>
        <w:tc>
          <w:tcPr>
            <w:tcW w:w="3215" w:type="dxa"/>
            <w:shd w:val="clear" w:color="auto" w:fill="FFFFFF"/>
            <w:noWrap/>
            <w:vAlign w:val="center"/>
            <w:hideMark/>
          </w:tcPr>
          <w:p w14:paraId="32C7A733"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Ульяновский район</w:t>
            </w:r>
          </w:p>
        </w:tc>
        <w:tc>
          <w:tcPr>
            <w:tcW w:w="1985" w:type="dxa"/>
            <w:shd w:val="clear" w:color="auto" w:fill="FFFFFF"/>
            <w:noWrap/>
            <w:vAlign w:val="center"/>
          </w:tcPr>
          <w:p w14:paraId="30660BEC"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42 921,8</w:t>
            </w:r>
          </w:p>
        </w:tc>
        <w:tc>
          <w:tcPr>
            <w:tcW w:w="1984" w:type="dxa"/>
          </w:tcPr>
          <w:p w14:paraId="55E41FA5"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46 275,4</w:t>
            </w:r>
          </w:p>
        </w:tc>
        <w:tc>
          <w:tcPr>
            <w:tcW w:w="1701" w:type="dxa"/>
            <w:noWrap/>
          </w:tcPr>
          <w:p w14:paraId="2B9EDEA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107,8</w:t>
            </w:r>
          </w:p>
        </w:tc>
      </w:tr>
      <w:tr w:rsidR="008C4326" w:rsidRPr="008C4326" w14:paraId="27AD70BD" w14:textId="77777777" w:rsidTr="006D56FE">
        <w:trPr>
          <w:trHeight w:val="114"/>
        </w:trPr>
        <w:tc>
          <w:tcPr>
            <w:tcW w:w="500" w:type="dxa"/>
            <w:shd w:val="clear" w:color="auto" w:fill="FFFFFF"/>
            <w:noWrap/>
            <w:hideMark/>
          </w:tcPr>
          <w:p w14:paraId="3C36466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20</w:t>
            </w:r>
          </w:p>
        </w:tc>
        <w:tc>
          <w:tcPr>
            <w:tcW w:w="3215" w:type="dxa"/>
            <w:shd w:val="clear" w:color="auto" w:fill="FFFFFF"/>
            <w:noWrap/>
            <w:vAlign w:val="center"/>
            <w:hideMark/>
          </w:tcPr>
          <w:p w14:paraId="093892C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Цильнинский район</w:t>
            </w:r>
          </w:p>
        </w:tc>
        <w:tc>
          <w:tcPr>
            <w:tcW w:w="1985" w:type="dxa"/>
            <w:shd w:val="clear" w:color="auto" w:fill="FFFFFF"/>
            <w:noWrap/>
            <w:vAlign w:val="center"/>
          </w:tcPr>
          <w:p w14:paraId="5A6475B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35 109,7</w:t>
            </w:r>
          </w:p>
        </w:tc>
        <w:tc>
          <w:tcPr>
            <w:tcW w:w="1984" w:type="dxa"/>
          </w:tcPr>
          <w:p w14:paraId="5B051D5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39 178,2</w:t>
            </w:r>
          </w:p>
        </w:tc>
        <w:tc>
          <w:tcPr>
            <w:tcW w:w="1701" w:type="dxa"/>
            <w:noWrap/>
          </w:tcPr>
          <w:p w14:paraId="6E4351FE"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111,6</w:t>
            </w:r>
          </w:p>
        </w:tc>
      </w:tr>
      <w:tr w:rsidR="008C4326" w:rsidRPr="008C4326" w14:paraId="76B811CE" w14:textId="77777777" w:rsidTr="006D56FE">
        <w:trPr>
          <w:trHeight w:val="70"/>
        </w:trPr>
        <w:tc>
          <w:tcPr>
            <w:tcW w:w="500" w:type="dxa"/>
            <w:shd w:val="clear" w:color="auto" w:fill="FFFFFF"/>
            <w:noWrap/>
            <w:hideMark/>
          </w:tcPr>
          <w:p w14:paraId="43CAD90D"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21</w:t>
            </w:r>
          </w:p>
        </w:tc>
        <w:tc>
          <w:tcPr>
            <w:tcW w:w="3215" w:type="dxa"/>
            <w:shd w:val="clear" w:color="auto" w:fill="FFFFFF"/>
            <w:noWrap/>
            <w:vAlign w:val="center"/>
            <w:hideMark/>
          </w:tcPr>
          <w:p w14:paraId="57F5B21F"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Чердаклинский район</w:t>
            </w:r>
          </w:p>
        </w:tc>
        <w:tc>
          <w:tcPr>
            <w:tcW w:w="1985" w:type="dxa"/>
            <w:shd w:val="clear" w:color="auto" w:fill="FFFFFF"/>
            <w:noWrap/>
            <w:vAlign w:val="center"/>
          </w:tcPr>
          <w:p w14:paraId="07BF2668"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36 353,1</w:t>
            </w:r>
          </w:p>
        </w:tc>
        <w:tc>
          <w:tcPr>
            <w:tcW w:w="1984" w:type="dxa"/>
          </w:tcPr>
          <w:p w14:paraId="4B3120C6"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39 892,5</w:t>
            </w:r>
          </w:p>
        </w:tc>
        <w:tc>
          <w:tcPr>
            <w:tcW w:w="1701" w:type="dxa"/>
            <w:noWrap/>
          </w:tcPr>
          <w:p w14:paraId="36C3203A"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109,7</w:t>
            </w:r>
          </w:p>
        </w:tc>
      </w:tr>
      <w:tr w:rsidR="008C4326" w:rsidRPr="008C4326" w14:paraId="543303A1" w14:textId="77777777" w:rsidTr="006D56FE">
        <w:trPr>
          <w:trHeight w:val="70"/>
        </w:trPr>
        <w:tc>
          <w:tcPr>
            <w:tcW w:w="500" w:type="dxa"/>
            <w:shd w:val="clear" w:color="auto" w:fill="FFFFFF"/>
            <w:noWrap/>
            <w:hideMark/>
          </w:tcPr>
          <w:p w14:paraId="0E9009A5"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22</w:t>
            </w:r>
          </w:p>
        </w:tc>
        <w:tc>
          <w:tcPr>
            <w:tcW w:w="3215" w:type="dxa"/>
            <w:shd w:val="clear" w:color="auto" w:fill="FFFFFF"/>
            <w:noWrap/>
            <w:vAlign w:val="center"/>
            <w:hideMark/>
          </w:tcPr>
          <w:p w14:paraId="46CEB185"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proofErr w:type="spellStart"/>
            <w:r w:rsidRPr="008C4326">
              <w:rPr>
                <w:rFonts w:ascii="PT Astra Serif" w:eastAsia="Times New Roman" w:hAnsi="PT Astra Serif"/>
                <w:bCs/>
                <w:color w:val="000000"/>
                <w:sz w:val="20"/>
                <w:szCs w:val="20"/>
                <w:lang w:eastAsia="ru-RU"/>
              </w:rPr>
              <w:t>г.Димитровград</w:t>
            </w:r>
            <w:proofErr w:type="spellEnd"/>
          </w:p>
        </w:tc>
        <w:tc>
          <w:tcPr>
            <w:tcW w:w="1985" w:type="dxa"/>
            <w:shd w:val="clear" w:color="auto" w:fill="FFFFFF"/>
            <w:noWrap/>
            <w:vAlign w:val="center"/>
          </w:tcPr>
          <w:p w14:paraId="027D0619"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43 683,2</w:t>
            </w:r>
          </w:p>
        </w:tc>
        <w:tc>
          <w:tcPr>
            <w:tcW w:w="1984" w:type="dxa"/>
          </w:tcPr>
          <w:p w14:paraId="115FAB33"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54 053,2</w:t>
            </w:r>
          </w:p>
        </w:tc>
        <w:tc>
          <w:tcPr>
            <w:tcW w:w="1701" w:type="dxa"/>
            <w:noWrap/>
          </w:tcPr>
          <w:p w14:paraId="1E378D43"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123,7</w:t>
            </w:r>
          </w:p>
        </w:tc>
      </w:tr>
      <w:tr w:rsidR="008C4326" w:rsidRPr="008C4326" w14:paraId="390EB6F6" w14:textId="77777777" w:rsidTr="006D56FE">
        <w:trPr>
          <w:trHeight w:val="70"/>
        </w:trPr>
        <w:tc>
          <w:tcPr>
            <w:tcW w:w="500" w:type="dxa"/>
            <w:shd w:val="clear" w:color="auto" w:fill="FFFFFF"/>
            <w:noWrap/>
            <w:hideMark/>
          </w:tcPr>
          <w:p w14:paraId="441F0B7C"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23</w:t>
            </w:r>
          </w:p>
        </w:tc>
        <w:tc>
          <w:tcPr>
            <w:tcW w:w="3215" w:type="dxa"/>
            <w:shd w:val="clear" w:color="auto" w:fill="FFFFFF"/>
            <w:noWrap/>
            <w:vAlign w:val="center"/>
            <w:hideMark/>
          </w:tcPr>
          <w:p w14:paraId="76085F46"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proofErr w:type="spellStart"/>
            <w:r w:rsidRPr="008C4326">
              <w:rPr>
                <w:rFonts w:ascii="PT Astra Serif" w:eastAsia="Times New Roman" w:hAnsi="PT Astra Serif"/>
                <w:bCs/>
                <w:color w:val="000000"/>
                <w:sz w:val="20"/>
                <w:szCs w:val="20"/>
                <w:lang w:eastAsia="ru-RU"/>
              </w:rPr>
              <w:t>г.Ульяновск</w:t>
            </w:r>
            <w:proofErr w:type="spellEnd"/>
          </w:p>
        </w:tc>
        <w:tc>
          <w:tcPr>
            <w:tcW w:w="1985" w:type="dxa"/>
            <w:shd w:val="clear" w:color="auto" w:fill="FFFFFF"/>
            <w:noWrap/>
            <w:vAlign w:val="center"/>
          </w:tcPr>
          <w:p w14:paraId="3A3BE85B"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43 469,6</w:t>
            </w:r>
          </w:p>
        </w:tc>
        <w:tc>
          <w:tcPr>
            <w:tcW w:w="1984" w:type="dxa"/>
          </w:tcPr>
          <w:p w14:paraId="274DC280"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50 469,6</w:t>
            </w:r>
          </w:p>
        </w:tc>
        <w:tc>
          <w:tcPr>
            <w:tcW w:w="1701" w:type="dxa"/>
            <w:noWrap/>
          </w:tcPr>
          <w:p w14:paraId="6D2B815D"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116,1</w:t>
            </w:r>
          </w:p>
        </w:tc>
      </w:tr>
      <w:tr w:rsidR="008C4326" w:rsidRPr="008C4326" w14:paraId="4EDAF230" w14:textId="77777777" w:rsidTr="006D56FE">
        <w:trPr>
          <w:trHeight w:val="70"/>
        </w:trPr>
        <w:tc>
          <w:tcPr>
            <w:tcW w:w="500" w:type="dxa"/>
            <w:shd w:val="clear" w:color="auto" w:fill="FFFFFF"/>
            <w:noWrap/>
            <w:hideMark/>
          </w:tcPr>
          <w:p w14:paraId="048DBDAF"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24</w:t>
            </w:r>
          </w:p>
        </w:tc>
        <w:tc>
          <w:tcPr>
            <w:tcW w:w="3215" w:type="dxa"/>
            <w:shd w:val="clear" w:color="auto" w:fill="FFFFFF"/>
            <w:noWrap/>
            <w:vAlign w:val="center"/>
            <w:hideMark/>
          </w:tcPr>
          <w:p w14:paraId="4CB28C89" w14:textId="77777777" w:rsidR="008C4326" w:rsidRPr="008C4326" w:rsidRDefault="008C4326" w:rsidP="008C4326">
            <w:pPr>
              <w:shd w:val="clear" w:color="auto" w:fill="FFFFFF"/>
              <w:ind w:firstLine="0"/>
              <w:rPr>
                <w:rFonts w:ascii="PT Astra Serif" w:eastAsia="Times New Roman" w:hAnsi="PT Astra Serif"/>
                <w:bCs/>
                <w:color w:val="000000"/>
                <w:sz w:val="20"/>
                <w:szCs w:val="20"/>
                <w:lang w:eastAsia="ru-RU"/>
              </w:rPr>
            </w:pPr>
            <w:r w:rsidRPr="008C4326">
              <w:rPr>
                <w:rFonts w:ascii="PT Astra Serif" w:eastAsia="Times New Roman" w:hAnsi="PT Astra Serif"/>
                <w:bCs/>
                <w:color w:val="000000"/>
                <w:sz w:val="20"/>
                <w:szCs w:val="20"/>
                <w:lang w:eastAsia="ru-RU"/>
              </w:rPr>
              <w:t>г. Новоульяновск</w:t>
            </w:r>
          </w:p>
        </w:tc>
        <w:tc>
          <w:tcPr>
            <w:tcW w:w="1985" w:type="dxa"/>
            <w:shd w:val="clear" w:color="auto" w:fill="FFFFFF"/>
            <w:noWrap/>
            <w:vAlign w:val="center"/>
          </w:tcPr>
          <w:p w14:paraId="78C632D1"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45 946,1</w:t>
            </w:r>
          </w:p>
        </w:tc>
        <w:tc>
          <w:tcPr>
            <w:tcW w:w="1984" w:type="dxa"/>
          </w:tcPr>
          <w:p w14:paraId="66986DF7"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56 718,9</w:t>
            </w:r>
          </w:p>
        </w:tc>
        <w:tc>
          <w:tcPr>
            <w:tcW w:w="1701" w:type="dxa"/>
            <w:noWrap/>
          </w:tcPr>
          <w:p w14:paraId="00BF8842" w14:textId="77777777" w:rsidR="008C4326" w:rsidRPr="008C4326" w:rsidRDefault="008C4326" w:rsidP="00AD36CF">
            <w:pPr>
              <w:ind w:firstLine="0"/>
              <w:jc w:val="center"/>
              <w:rPr>
                <w:rFonts w:ascii="PT Astra Serif" w:hAnsi="PT Astra Serif"/>
                <w:sz w:val="20"/>
                <w:szCs w:val="20"/>
              </w:rPr>
            </w:pPr>
            <w:r w:rsidRPr="008C4326">
              <w:rPr>
                <w:rFonts w:ascii="PT Astra Serif" w:hAnsi="PT Astra Serif"/>
                <w:sz w:val="20"/>
                <w:szCs w:val="20"/>
              </w:rPr>
              <w:t>123,4</w:t>
            </w:r>
          </w:p>
        </w:tc>
      </w:tr>
      <w:tr w:rsidR="008C4326" w:rsidRPr="008C4326" w14:paraId="52D016D7" w14:textId="77777777" w:rsidTr="006D56FE">
        <w:trPr>
          <w:trHeight w:val="70"/>
        </w:trPr>
        <w:tc>
          <w:tcPr>
            <w:tcW w:w="500" w:type="dxa"/>
            <w:noWrap/>
            <w:hideMark/>
          </w:tcPr>
          <w:p w14:paraId="408A0DB4" w14:textId="77777777" w:rsidR="008C4326" w:rsidRPr="008C4326" w:rsidRDefault="008C4326" w:rsidP="008C4326">
            <w:pPr>
              <w:ind w:firstLine="0"/>
              <w:rPr>
                <w:rFonts w:ascii="PT Astra Serif" w:eastAsia="Times New Roman" w:hAnsi="PT Astra Serif"/>
                <w:bCs/>
                <w:color w:val="000000"/>
                <w:sz w:val="20"/>
                <w:szCs w:val="20"/>
                <w:lang w:eastAsia="ru-RU"/>
              </w:rPr>
            </w:pPr>
          </w:p>
        </w:tc>
        <w:tc>
          <w:tcPr>
            <w:tcW w:w="3215" w:type="dxa"/>
            <w:noWrap/>
            <w:vAlign w:val="center"/>
            <w:hideMark/>
          </w:tcPr>
          <w:p w14:paraId="0B3C97C6" w14:textId="77777777" w:rsidR="008C4326" w:rsidRPr="008C4326" w:rsidRDefault="008C4326" w:rsidP="008C4326">
            <w:pPr>
              <w:shd w:val="clear" w:color="auto" w:fill="FFFFFF"/>
              <w:ind w:firstLine="0"/>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Всего</w:t>
            </w:r>
          </w:p>
        </w:tc>
        <w:tc>
          <w:tcPr>
            <w:tcW w:w="1985" w:type="dxa"/>
            <w:noWrap/>
            <w:vAlign w:val="center"/>
            <w:hideMark/>
          </w:tcPr>
          <w:p w14:paraId="2E973131" w14:textId="77777777" w:rsidR="008C4326" w:rsidRPr="008C4326" w:rsidRDefault="008C4326" w:rsidP="00AD36CF">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42 102,5</w:t>
            </w:r>
          </w:p>
        </w:tc>
        <w:tc>
          <w:tcPr>
            <w:tcW w:w="1984" w:type="dxa"/>
            <w:vAlign w:val="center"/>
          </w:tcPr>
          <w:p w14:paraId="7946E95B" w14:textId="77777777" w:rsidR="008C4326" w:rsidRPr="008C4326" w:rsidRDefault="008C4326" w:rsidP="00AD36CF">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eastAsia="Times New Roman" w:hAnsi="PT Astra Serif"/>
                <w:b/>
                <w:bCs/>
                <w:color w:val="000000"/>
                <w:sz w:val="20"/>
                <w:szCs w:val="20"/>
                <w:lang w:eastAsia="ru-RU"/>
              </w:rPr>
              <w:t>47 611,8</w:t>
            </w:r>
          </w:p>
        </w:tc>
        <w:tc>
          <w:tcPr>
            <w:tcW w:w="1701" w:type="dxa"/>
            <w:noWrap/>
          </w:tcPr>
          <w:p w14:paraId="30734FFB" w14:textId="77777777" w:rsidR="008C4326" w:rsidRPr="008C4326" w:rsidRDefault="008C4326" w:rsidP="00AD36CF">
            <w:pPr>
              <w:shd w:val="clear" w:color="auto" w:fill="FFFFFF"/>
              <w:ind w:firstLine="0"/>
              <w:jc w:val="center"/>
              <w:rPr>
                <w:rFonts w:ascii="PT Astra Serif" w:eastAsia="Times New Roman" w:hAnsi="PT Astra Serif"/>
                <w:b/>
                <w:bCs/>
                <w:color w:val="000000"/>
                <w:sz w:val="20"/>
                <w:szCs w:val="20"/>
                <w:lang w:eastAsia="ru-RU"/>
              </w:rPr>
            </w:pPr>
            <w:r w:rsidRPr="008C4326">
              <w:rPr>
                <w:rFonts w:ascii="PT Astra Serif" w:hAnsi="PT Astra Serif"/>
                <w:b/>
                <w:bCs/>
                <w:sz w:val="20"/>
                <w:szCs w:val="20"/>
              </w:rPr>
              <w:t>113,1</w:t>
            </w:r>
          </w:p>
        </w:tc>
      </w:tr>
    </w:tbl>
    <w:p w14:paraId="14091AF6" w14:textId="77777777" w:rsidR="008C4326" w:rsidRPr="008D5740" w:rsidRDefault="008C4326" w:rsidP="008C4326">
      <w:pPr>
        <w:rPr>
          <w:rFonts w:ascii="PT Astra Serif" w:hAnsi="PT Astra Serif"/>
          <w:sz w:val="20"/>
          <w:szCs w:val="20"/>
        </w:rPr>
      </w:pPr>
    </w:p>
    <w:p w14:paraId="44B6639E" w14:textId="77777777" w:rsidR="00B26C4B" w:rsidRPr="00F4544B" w:rsidRDefault="00B26C4B" w:rsidP="00B26C4B">
      <w:pPr>
        <w:widowControl w:val="0"/>
        <w:contextualSpacing/>
        <w:rPr>
          <w:rFonts w:ascii="PT Astra Serif" w:eastAsia="Times New Roman" w:hAnsi="PT Astra Serif"/>
          <w:bCs/>
          <w:szCs w:val="28"/>
          <w:lang w:eastAsia="ru-RU"/>
        </w:rPr>
      </w:pPr>
      <w:r w:rsidRPr="00F4544B">
        <w:rPr>
          <w:rFonts w:ascii="PT Astra Serif" w:eastAsia="Times New Roman" w:hAnsi="PT Astra Serif"/>
          <w:bCs/>
          <w:szCs w:val="28"/>
          <w:lang w:eastAsia="ru-RU"/>
        </w:rPr>
        <w:t>Целевой показатель по итогам 2025 года достигнут в полном объёме.</w:t>
      </w:r>
    </w:p>
    <w:p w14:paraId="24187566" w14:textId="77777777" w:rsidR="00B26C4B" w:rsidRPr="00F4544B" w:rsidRDefault="00B26C4B" w:rsidP="00B26C4B">
      <w:pPr>
        <w:widowControl w:val="0"/>
        <w:contextualSpacing/>
        <w:rPr>
          <w:rFonts w:ascii="PT Astra Serif" w:eastAsia="Times New Roman" w:hAnsi="PT Astra Serif"/>
          <w:bCs/>
          <w:color w:val="000000"/>
          <w:szCs w:val="28"/>
          <w:lang w:eastAsia="ru-RU"/>
        </w:rPr>
      </w:pPr>
      <w:r w:rsidRPr="00F4544B">
        <w:rPr>
          <w:rFonts w:ascii="PT Astra Serif" w:eastAsia="Times New Roman" w:hAnsi="PT Astra Serif"/>
          <w:bCs/>
          <w:color w:val="000000"/>
          <w:szCs w:val="28"/>
          <w:lang w:eastAsia="ru-RU"/>
        </w:rPr>
        <w:t xml:space="preserve">Рост средней заработной платы </w:t>
      </w:r>
      <w:r w:rsidRPr="00F4544B">
        <w:rPr>
          <w:rFonts w:ascii="PT Astra Serif" w:eastAsia="Times New Roman" w:hAnsi="PT Astra Serif"/>
          <w:b/>
          <w:bCs/>
          <w:szCs w:val="28"/>
          <w:lang w:eastAsia="ru-RU"/>
        </w:rPr>
        <w:t xml:space="preserve">преподавателей </w:t>
      </w:r>
      <w:r w:rsidRPr="00F4544B">
        <w:rPr>
          <w:rFonts w:ascii="PT Astra Serif" w:eastAsia="Times New Roman" w:hAnsi="PT Astra Serif"/>
          <w:bCs/>
          <w:szCs w:val="28"/>
          <w:lang w:eastAsia="ru-RU"/>
        </w:rPr>
        <w:t xml:space="preserve">областных государственных профессиональных образовательных организаций в сфере культуры </w:t>
      </w:r>
      <w:r w:rsidRPr="00F4544B">
        <w:rPr>
          <w:rFonts w:ascii="PT Astra Serif" w:eastAsia="Times New Roman" w:hAnsi="PT Astra Serif"/>
          <w:bCs/>
          <w:color w:val="000000"/>
          <w:szCs w:val="28"/>
          <w:lang w:eastAsia="ru-RU"/>
        </w:rPr>
        <w:t>по сравнению</w:t>
      </w:r>
      <w:r>
        <w:rPr>
          <w:rFonts w:ascii="PT Astra Serif" w:eastAsia="Times New Roman" w:hAnsi="PT Astra Serif"/>
          <w:bCs/>
          <w:color w:val="000000"/>
          <w:szCs w:val="28"/>
          <w:lang w:eastAsia="ru-RU"/>
        </w:rPr>
        <w:t xml:space="preserve"> </w:t>
      </w:r>
      <w:r w:rsidRPr="00F4544B">
        <w:rPr>
          <w:rFonts w:ascii="PT Astra Serif" w:eastAsia="Times New Roman" w:hAnsi="PT Astra Serif"/>
          <w:bCs/>
          <w:color w:val="000000"/>
          <w:szCs w:val="28"/>
          <w:lang w:eastAsia="ru-RU"/>
        </w:rPr>
        <w:t>с 2024 годом составил 12 184,1 рубля или 125,1%.</w:t>
      </w:r>
    </w:p>
    <w:p w14:paraId="7EB9F739" w14:textId="75248A21" w:rsidR="00275E10" w:rsidRDefault="002B52BB" w:rsidP="002B52BB">
      <w:pPr>
        <w:widowControl w:val="0"/>
        <w:shd w:val="clear" w:color="auto" w:fill="FFFFFF"/>
        <w:ind w:firstLine="0"/>
        <w:rPr>
          <w:rFonts w:ascii="PT Astra Serif" w:eastAsia="Times New Roman" w:hAnsi="PT Astra Serif"/>
          <w:bCs/>
          <w:color w:val="000000"/>
          <w:szCs w:val="28"/>
          <w:lang w:eastAsia="ru-RU"/>
        </w:rPr>
      </w:pPr>
      <w:r w:rsidRPr="00D92F94">
        <w:rPr>
          <w:rFonts w:ascii="PT Astra Serif" w:hAnsi="PT Astra Serif"/>
          <w:noProof/>
          <w:lang w:eastAsia="ru-RU"/>
        </w:rPr>
        <w:drawing>
          <wp:inline distT="0" distB="0" distL="0" distR="0" wp14:anchorId="15D405E2" wp14:editId="2F8B1249">
            <wp:extent cx="6020409" cy="217932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6ED9F12" w14:textId="441CAACA" w:rsidR="00203708" w:rsidRPr="00CB0DE7" w:rsidRDefault="00203708" w:rsidP="00203708">
      <w:pPr>
        <w:widowControl w:val="0"/>
        <w:contextualSpacing/>
        <w:jc w:val="center"/>
        <w:rPr>
          <w:rFonts w:ascii="PT Astra Serif" w:hAnsi="PT Astra Serif"/>
          <w:b/>
          <w:iCs/>
          <w:sz w:val="20"/>
          <w:szCs w:val="20"/>
        </w:rPr>
      </w:pPr>
      <w:r w:rsidRPr="00CB0DE7">
        <w:rPr>
          <w:rFonts w:ascii="PT Astra Serif" w:hAnsi="PT Astra Serif"/>
          <w:b/>
          <w:iCs/>
          <w:sz w:val="20"/>
          <w:szCs w:val="20"/>
        </w:rPr>
        <w:t>Средняя заработная плата работников ДШИ и СПО в 202</w:t>
      </w:r>
      <w:r w:rsidR="00AD36CF">
        <w:rPr>
          <w:rFonts w:ascii="PT Astra Serif" w:hAnsi="PT Astra Serif"/>
          <w:b/>
          <w:iCs/>
          <w:sz w:val="20"/>
          <w:szCs w:val="20"/>
        </w:rPr>
        <w:t>4</w:t>
      </w:r>
      <w:r w:rsidR="00037E81">
        <w:rPr>
          <w:rFonts w:ascii="PT Astra Serif" w:hAnsi="PT Astra Serif"/>
          <w:b/>
          <w:iCs/>
          <w:sz w:val="20"/>
          <w:szCs w:val="20"/>
        </w:rPr>
        <w:t xml:space="preserve"> </w:t>
      </w:r>
      <w:r w:rsidRPr="00CB0DE7">
        <w:rPr>
          <w:rFonts w:ascii="PT Astra Serif" w:hAnsi="PT Astra Serif"/>
          <w:b/>
          <w:iCs/>
          <w:sz w:val="20"/>
          <w:szCs w:val="20"/>
        </w:rPr>
        <w:t>-</w:t>
      </w:r>
      <w:r w:rsidR="00037E81">
        <w:rPr>
          <w:rFonts w:ascii="PT Astra Serif" w:hAnsi="PT Astra Serif"/>
          <w:b/>
          <w:iCs/>
          <w:sz w:val="20"/>
          <w:szCs w:val="20"/>
        </w:rPr>
        <w:t xml:space="preserve"> </w:t>
      </w:r>
      <w:r w:rsidRPr="00CB0DE7">
        <w:rPr>
          <w:rFonts w:ascii="PT Astra Serif" w:hAnsi="PT Astra Serif"/>
          <w:b/>
          <w:iCs/>
          <w:sz w:val="20"/>
          <w:szCs w:val="20"/>
        </w:rPr>
        <w:t>202</w:t>
      </w:r>
      <w:r w:rsidR="00AD36CF">
        <w:rPr>
          <w:rFonts w:ascii="PT Astra Serif" w:hAnsi="PT Astra Serif"/>
          <w:b/>
          <w:iCs/>
          <w:sz w:val="20"/>
          <w:szCs w:val="20"/>
        </w:rPr>
        <w:t>5</w:t>
      </w:r>
      <w:r w:rsidRPr="00CB0DE7">
        <w:rPr>
          <w:rFonts w:ascii="PT Astra Serif" w:hAnsi="PT Astra Serif"/>
          <w:b/>
          <w:iCs/>
          <w:sz w:val="20"/>
          <w:szCs w:val="20"/>
        </w:rPr>
        <w:t xml:space="preserve"> годах</w:t>
      </w:r>
    </w:p>
    <w:p w14:paraId="409E26E7" w14:textId="77777777" w:rsidR="00037E81" w:rsidRPr="008D5740" w:rsidRDefault="00037E81" w:rsidP="00AD36CF">
      <w:pPr>
        <w:widowControl w:val="0"/>
        <w:rPr>
          <w:rFonts w:ascii="PT Astra Serif" w:hAnsi="PT Astra Serif"/>
          <w:b/>
          <w:bCs/>
          <w:sz w:val="20"/>
          <w:szCs w:val="20"/>
        </w:rPr>
      </w:pPr>
    </w:p>
    <w:p w14:paraId="15546210" w14:textId="675EF306" w:rsidR="00AD36CF" w:rsidRPr="00F4544B" w:rsidRDefault="00AD36CF" w:rsidP="00AD36CF">
      <w:pPr>
        <w:widowControl w:val="0"/>
        <w:rPr>
          <w:rFonts w:ascii="PT Astra Serif" w:hAnsi="PT Astra Serif"/>
          <w:szCs w:val="28"/>
        </w:rPr>
      </w:pPr>
      <w:r w:rsidRPr="00F4544B">
        <w:rPr>
          <w:rFonts w:ascii="PT Astra Serif" w:hAnsi="PT Astra Serif"/>
          <w:b/>
          <w:bCs/>
          <w:szCs w:val="28"/>
        </w:rPr>
        <w:t>Важным мероприятием</w:t>
      </w:r>
      <w:r w:rsidRPr="00F4544B">
        <w:rPr>
          <w:rFonts w:ascii="PT Astra Serif" w:hAnsi="PT Astra Serif"/>
          <w:szCs w:val="28"/>
        </w:rPr>
        <w:t xml:space="preserve"> по повышению уровня благосостояния работающих в отрасли культуры в 2025 году оставалась организация работы по заключению соглашений</w:t>
      </w:r>
      <w:r>
        <w:rPr>
          <w:rFonts w:ascii="PT Astra Serif" w:hAnsi="PT Astra Serif"/>
          <w:szCs w:val="28"/>
        </w:rPr>
        <w:t xml:space="preserve"> </w:t>
      </w:r>
      <w:r w:rsidRPr="00F4544B">
        <w:rPr>
          <w:rFonts w:ascii="PT Astra Serif" w:hAnsi="PT Astra Serif"/>
          <w:szCs w:val="28"/>
        </w:rPr>
        <w:t xml:space="preserve">о </w:t>
      </w:r>
      <w:r w:rsidRPr="00F4544B">
        <w:rPr>
          <w:rFonts w:ascii="PT Astra Serif" w:hAnsi="PT Astra Serif"/>
          <w:b/>
          <w:bCs/>
          <w:szCs w:val="28"/>
        </w:rPr>
        <w:t>повышении заработной платы</w:t>
      </w:r>
      <w:r w:rsidRPr="00F4544B">
        <w:rPr>
          <w:rFonts w:ascii="PT Astra Serif" w:hAnsi="PT Astra Serif"/>
          <w:szCs w:val="28"/>
        </w:rPr>
        <w:t xml:space="preserve"> </w:t>
      </w:r>
      <w:r>
        <w:rPr>
          <w:rFonts w:ascii="PT Astra Serif" w:hAnsi="PT Astra Serif"/>
          <w:szCs w:val="28"/>
        </w:rPr>
        <w:br/>
      </w:r>
      <w:r w:rsidRPr="00F4544B">
        <w:rPr>
          <w:rFonts w:ascii="PT Astra Serif" w:hAnsi="PT Astra Serif"/>
          <w:szCs w:val="28"/>
        </w:rPr>
        <w:t xml:space="preserve">с организациями </w:t>
      </w:r>
      <w:r w:rsidRPr="00F4544B">
        <w:rPr>
          <w:rFonts w:ascii="PT Astra Serif" w:hAnsi="PT Astra Serif"/>
          <w:b/>
          <w:bCs/>
          <w:szCs w:val="28"/>
        </w:rPr>
        <w:t>негосударственного сектора</w:t>
      </w:r>
      <w:r w:rsidRPr="00F4544B">
        <w:rPr>
          <w:rFonts w:ascii="PT Astra Serif" w:hAnsi="PT Astra Serif"/>
          <w:szCs w:val="28"/>
        </w:rPr>
        <w:t xml:space="preserve"> культуры.</w:t>
      </w:r>
    </w:p>
    <w:p w14:paraId="6142B981" w14:textId="18BC32FF" w:rsidR="00AD36CF" w:rsidRPr="00F4544B" w:rsidRDefault="00AD36CF" w:rsidP="00AD36CF">
      <w:pPr>
        <w:widowControl w:val="0"/>
        <w:rPr>
          <w:rFonts w:ascii="PT Astra Serif" w:eastAsia="Times New Roman" w:hAnsi="PT Astra Serif"/>
          <w:b/>
          <w:szCs w:val="28"/>
          <w:lang w:eastAsia="ru-RU"/>
        </w:rPr>
      </w:pPr>
      <w:r w:rsidRPr="00F4544B">
        <w:rPr>
          <w:rFonts w:ascii="PT Astra Serif" w:eastAsia="Times New Roman" w:hAnsi="PT Astra Serif"/>
          <w:bCs/>
          <w:szCs w:val="28"/>
          <w:lang w:eastAsia="ru-RU"/>
        </w:rPr>
        <w:t xml:space="preserve">По состоянию на </w:t>
      </w:r>
      <w:r w:rsidRPr="00F4544B">
        <w:rPr>
          <w:rFonts w:ascii="PT Astra Serif" w:eastAsia="Times New Roman" w:hAnsi="PT Astra Serif"/>
          <w:b/>
          <w:szCs w:val="28"/>
          <w:lang w:eastAsia="ru-RU"/>
        </w:rPr>
        <w:t xml:space="preserve">31.12.2025 в Министерстве </w:t>
      </w:r>
      <w:proofErr w:type="spellStart"/>
      <w:r>
        <w:rPr>
          <w:rFonts w:ascii="PT Astra Serif" w:eastAsia="Times New Roman" w:hAnsi="PT Astra Serif"/>
          <w:b/>
          <w:szCs w:val="28"/>
          <w:lang w:eastAsia="ru-RU"/>
        </w:rPr>
        <w:t>икусства</w:t>
      </w:r>
      <w:proofErr w:type="spellEnd"/>
      <w:r>
        <w:rPr>
          <w:rFonts w:ascii="PT Astra Serif" w:eastAsia="Times New Roman" w:hAnsi="PT Astra Serif"/>
          <w:b/>
          <w:szCs w:val="28"/>
          <w:lang w:eastAsia="ru-RU"/>
        </w:rPr>
        <w:t xml:space="preserve"> и культурной </w:t>
      </w:r>
      <w:r>
        <w:rPr>
          <w:rFonts w:ascii="PT Astra Serif" w:eastAsia="Times New Roman" w:hAnsi="PT Astra Serif"/>
          <w:b/>
          <w:szCs w:val="28"/>
          <w:lang w:eastAsia="ru-RU"/>
        </w:rPr>
        <w:lastRenderedPageBreak/>
        <w:t xml:space="preserve">политики Ульяновской области </w:t>
      </w:r>
      <w:r w:rsidRPr="00F4544B">
        <w:rPr>
          <w:rFonts w:ascii="PT Astra Serif" w:eastAsia="Times New Roman" w:hAnsi="PT Astra Serif"/>
          <w:b/>
          <w:szCs w:val="28"/>
          <w:lang w:eastAsia="ru-RU"/>
        </w:rPr>
        <w:t xml:space="preserve">действуют 6 локальных соглашений </w:t>
      </w:r>
      <w:r w:rsidRPr="00F4544B">
        <w:rPr>
          <w:rFonts w:ascii="PT Astra Serif" w:eastAsia="Times New Roman" w:hAnsi="PT Astra Serif"/>
          <w:bCs/>
          <w:szCs w:val="28"/>
          <w:lang w:eastAsia="ru-RU"/>
        </w:rPr>
        <w:t xml:space="preserve">об индексации заработной платы работников негосударственных учреждений культуры, </w:t>
      </w:r>
      <w:r w:rsidRPr="00F4544B">
        <w:rPr>
          <w:rFonts w:ascii="PT Astra Serif" w:eastAsia="Times New Roman" w:hAnsi="PT Astra Serif"/>
          <w:b/>
          <w:szCs w:val="28"/>
          <w:lang w:eastAsia="ru-RU"/>
        </w:rPr>
        <w:t>из которых 4 соглашения заключены в 2025 году</w:t>
      </w:r>
      <w:r w:rsidRPr="00F4544B">
        <w:rPr>
          <w:rFonts w:ascii="PT Astra Serif" w:eastAsia="Times New Roman" w:hAnsi="PT Astra Serif"/>
          <w:bCs/>
          <w:szCs w:val="28"/>
          <w:lang w:eastAsia="ru-RU"/>
        </w:rPr>
        <w:t xml:space="preserve"> (</w:t>
      </w:r>
      <w:r w:rsidRPr="00F4544B">
        <w:rPr>
          <w:rFonts w:ascii="PT Astra Serif" w:eastAsia="Times New Roman" w:hAnsi="PT Astra Serif"/>
          <w:b/>
          <w:szCs w:val="28"/>
          <w:lang w:eastAsia="ru-RU"/>
        </w:rPr>
        <w:t>при плане в 3 соглашения). План выполнен на 133,3%.</w:t>
      </w:r>
    </w:p>
    <w:p w14:paraId="57D384D2" w14:textId="77777777" w:rsidR="00AD36CF" w:rsidRPr="00F4544B" w:rsidRDefault="00AD36CF" w:rsidP="00AD36CF">
      <w:pPr>
        <w:widowControl w:val="0"/>
        <w:rPr>
          <w:rFonts w:ascii="PT Astra Serif" w:eastAsia="Times New Roman" w:hAnsi="PT Astra Serif"/>
          <w:szCs w:val="28"/>
          <w:lang w:eastAsia="ru-RU"/>
        </w:rPr>
      </w:pPr>
      <w:r w:rsidRPr="00F4544B">
        <w:rPr>
          <w:rFonts w:ascii="PT Astra Serif" w:eastAsia="Times New Roman" w:hAnsi="PT Astra Serif"/>
          <w:bCs/>
          <w:szCs w:val="28"/>
          <w:lang w:eastAsia="ru-RU"/>
        </w:rPr>
        <w:t>Действующие соглашения:</w:t>
      </w:r>
    </w:p>
    <w:p w14:paraId="689B48E6" w14:textId="4227E572"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ООО «</w:t>
      </w:r>
      <w:proofErr w:type="spellStart"/>
      <w:r w:rsidRPr="00F4544B">
        <w:rPr>
          <w:rFonts w:ascii="PT Astra Serif" w:eastAsia="Times New Roman" w:hAnsi="PT Astra Serif"/>
          <w:bCs/>
          <w:szCs w:val="28"/>
          <w:lang w:eastAsia="ru-RU"/>
        </w:rPr>
        <w:t>Деликат</w:t>
      </w:r>
      <w:proofErr w:type="spellEnd"/>
      <w:r w:rsidRPr="00F4544B">
        <w:rPr>
          <w:rFonts w:ascii="PT Astra Serif" w:eastAsia="Times New Roman" w:hAnsi="PT Astra Serif"/>
          <w:bCs/>
          <w:szCs w:val="28"/>
          <w:lang w:eastAsia="ru-RU"/>
        </w:rPr>
        <w:t xml:space="preserve"> </w:t>
      </w:r>
      <w:proofErr w:type="spellStart"/>
      <w:r w:rsidRPr="00F4544B">
        <w:rPr>
          <w:rFonts w:ascii="PT Astra Serif" w:eastAsia="Times New Roman" w:hAnsi="PT Astra Serif"/>
          <w:bCs/>
          <w:szCs w:val="28"/>
          <w:lang w:eastAsia="ru-RU"/>
        </w:rPr>
        <w:t>Синема</w:t>
      </w:r>
      <w:proofErr w:type="spellEnd"/>
      <w:r w:rsidRPr="00F4544B">
        <w:rPr>
          <w:rFonts w:ascii="PT Astra Serif" w:eastAsia="Times New Roman" w:hAnsi="PT Astra Serif"/>
          <w:bCs/>
          <w:szCs w:val="28"/>
          <w:lang w:eastAsia="ru-RU"/>
        </w:rPr>
        <w:t>» с 01.05.2024;</w:t>
      </w:r>
    </w:p>
    <w:p w14:paraId="28488CE0" w14:textId="67CF9D81"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ООО «Корвет» с 25.12.2024;</w:t>
      </w:r>
    </w:p>
    <w:p w14:paraId="025147BE" w14:textId="7B58A77B"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АНО Социокультурный центр «Содружество творческой молодёжи»</w:t>
      </w:r>
      <w:r>
        <w:rPr>
          <w:rFonts w:ascii="PT Astra Serif" w:eastAsia="Times New Roman" w:hAnsi="PT Astra Serif"/>
          <w:bCs/>
          <w:szCs w:val="28"/>
          <w:lang w:eastAsia="ru-RU"/>
        </w:rPr>
        <w:t xml:space="preserve"> </w:t>
      </w:r>
      <w:r>
        <w:rPr>
          <w:rFonts w:ascii="PT Astra Serif" w:eastAsia="Times New Roman" w:hAnsi="PT Astra Serif"/>
          <w:bCs/>
          <w:szCs w:val="28"/>
          <w:lang w:eastAsia="ru-RU"/>
        </w:rPr>
        <w:br/>
      </w:r>
      <w:r w:rsidRPr="00F4544B">
        <w:rPr>
          <w:rFonts w:ascii="PT Astra Serif" w:eastAsia="Times New Roman" w:hAnsi="PT Astra Serif"/>
          <w:bCs/>
          <w:szCs w:val="28"/>
          <w:lang w:eastAsia="ru-RU"/>
        </w:rPr>
        <w:t>с 24.03.2025;</w:t>
      </w:r>
    </w:p>
    <w:p w14:paraId="0339F9C0" w14:textId="7E39EBCA" w:rsidR="00AD36CF" w:rsidRPr="00F4544B" w:rsidRDefault="00AD36CF" w:rsidP="00AD36CF">
      <w:pPr>
        <w:widowControl w:val="0"/>
        <w:rPr>
          <w:rFonts w:ascii="PT Astra Serif" w:eastAsia="Times New Roman" w:hAnsi="PT Astra Serif"/>
          <w:bCs/>
          <w:szCs w:val="28"/>
          <w:lang w:eastAsia="ru-RU"/>
        </w:rPr>
      </w:pPr>
      <w:bookmarkStart w:id="27" w:name="_Hlk202257006"/>
      <w:proofErr w:type="spellStart"/>
      <w:r w:rsidRPr="00F4544B">
        <w:rPr>
          <w:rFonts w:ascii="PT Astra Serif" w:eastAsia="Times New Roman" w:hAnsi="PT Astra Serif"/>
          <w:bCs/>
          <w:szCs w:val="28"/>
          <w:lang w:eastAsia="ru-RU"/>
        </w:rPr>
        <w:t>Карамзинский</w:t>
      </w:r>
      <w:proofErr w:type="spellEnd"/>
      <w:r w:rsidRPr="00F4544B">
        <w:rPr>
          <w:rFonts w:ascii="PT Astra Serif" w:eastAsia="Times New Roman" w:hAnsi="PT Astra Serif"/>
          <w:bCs/>
          <w:szCs w:val="28"/>
          <w:lang w:eastAsia="ru-RU"/>
        </w:rPr>
        <w:t xml:space="preserve"> фонд поддержки культурно-исторического наследия</w:t>
      </w:r>
      <w:r>
        <w:rPr>
          <w:rFonts w:ascii="PT Astra Serif" w:eastAsia="Times New Roman" w:hAnsi="PT Astra Serif"/>
          <w:bCs/>
          <w:szCs w:val="28"/>
          <w:lang w:eastAsia="ru-RU"/>
        </w:rPr>
        <w:t xml:space="preserve"> </w:t>
      </w:r>
      <w:r>
        <w:rPr>
          <w:rFonts w:ascii="PT Astra Serif" w:eastAsia="Times New Roman" w:hAnsi="PT Astra Serif"/>
          <w:bCs/>
          <w:szCs w:val="28"/>
          <w:lang w:eastAsia="ru-RU"/>
        </w:rPr>
        <w:br/>
      </w:r>
      <w:r w:rsidRPr="00F4544B">
        <w:rPr>
          <w:rFonts w:ascii="PT Astra Serif" w:eastAsia="Times New Roman" w:hAnsi="PT Astra Serif"/>
          <w:bCs/>
          <w:szCs w:val="28"/>
          <w:lang w:eastAsia="ru-RU"/>
        </w:rPr>
        <w:t>с 28.05.2025;</w:t>
      </w:r>
    </w:p>
    <w:p w14:paraId="622EF74B" w14:textId="2B29DAEC"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 xml:space="preserve">Культурный фонд имени </w:t>
      </w:r>
      <w:proofErr w:type="spellStart"/>
      <w:r w:rsidRPr="00F4544B">
        <w:rPr>
          <w:rFonts w:ascii="PT Astra Serif" w:eastAsia="Times New Roman" w:hAnsi="PT Astra Serif"/>
          <w:bCs/>
          <w:szCs w:val="28"/>
          <w:lang w:eastAsia="ru-RU"/>
        </w:rPr>
        <w:t>И.А.Гончарова</w:t>
      </w:r>
      <w:proofErr w:type="spellEnd"/>
      <w:r w:rsidRPr="00F4544B">
        <w:rPr>
          <w:rFonts w:ascii="PT Astra Serif" w:eastAsia="Times New Roman" w:hAnsi="PT Astra Serif"/>
          <w:bCs/>
          <w:szCs w:val="28"/>
          <w:lang w:eastAsia="ru-RU"/>
        </w:rPr>
        <w:t xml:space="preserve"> с 28.05.2025;</w:t>
      </w:r>
    </w:p>
    <w:p w14:paraId="3ED1E018" w14:textId="0F203211"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 xml:space="preserve">Ульяновский фонд поддержки детского чтения </w:t>
      </w:r>
      <w:bookmarkEnd w:id="27"/>
      <w:r w:rsidRPr="00F4544B">
        <w:rPr>
          <w:rFonts w:ascii="PT Astra Serif" w:eastAsia="Times New Roman" w:hAnsi="PT Astra Serif"/>
          <w:bCs/>
          <w:szCs w:val="28"/>
          <w:lang w:eastAsia="ru-RU"/>
        </w:rPr>
        <w:t>с 28.05.2025.</w:t>
      </w:r>
    </w:p>
    <w:p w14:paraId="148EC17A" w14:textId="77777777"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Численность работников в данных организациях составляет 42 человека. Среднемесячная заработная плата в указанных организациях по итогам 2025 года составила 32 841 рубль.</w:t>
      </w:r>
    </w:p>
    <w:p w14:paraId="43A1271C" w14:textId="77777777" w:rsidR="00AD36CF" w:rsidRPr="00F4544B" w:rsidRDefault="00AD36CF" w:rsidP="00AD36CF">
      <w:pPr>
        <w:widowControl w:val="0"/>
        <w:rPr>
          <w:rFonts w:ascii="PT Astra Serif" w:eastAsia="Times New Roman" w:hAnsi="PT Astra Serif"/>
          <w:b/>
          <w:szCs w:val="28"/>
          <w:lang w:eastAsia="ru-RU"/>
        </w:rPr>
      </w:pPr>
      <w:r w:rsidRPr="00F4544B">
        <w:rPr>
          <w:rFonts w:ascii="PT Astra Serif" w:eastAsia="Times New Roman" w:hAnsi="PT Astra Serif"/>
          <w:b/>
          <w:szCs w:val="28"/>
          <w:lang w:eastAsia="ru-RU"/>
        </w:rPr>
        <w:t>Анализ выполнения заключенных соглашений за 2025 год показывает, что организации исполняют данные соглашения.</w:t>
      </w:r>
    </w:p>
    <w:p w14:paraId="18662315" w14:textId="77777777"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Cs/>
          <w:szCs w:val="28"/>
          <w:lang w:eastAsia="ru-RU"/>
        </w:rPr>
        <w:t xml:space="preserve">Так, </w:t>
      </w:r>
      <w:r w:rsidRPr="00F4544B">
        <w:rPr>
          <w:rFonts w:ascii="PT Astra Serif" w:eastAsia="Times New Roman" w:hAnsi="PT Astra Serif"/>
          <w:b/>
          <w:szCs w:val="28"/>
          <w:lang w:eastAsia="ru-RU"/>
        </w:rPr>
        <w:t>ООО «</w:t>
      </w:r>
      <w:proofErr w:type="spellStart"/>
      <w:r w:rsidRPr="00F4544B">
        <w:rPr>
          <w:rFonts w:ascii="PT Astra Serif" w:eastAsia="Times New Roman" w:hAnsi="PT Astra Serif"/>
          <w:b/>
          <w:szCs w:val="28"/>
          <w:lang w:eastAsia="ru-RU"/>
        </w:rPr>
        <w:t>Деликат</w:t>
      </w:r>
      <w:proofErr w:type="spellEnd"/>
      <w:r w:rsidRPr="00F4544B">
        <w:rPr>
          <w:rFonts w:ascii="PT Astra Serif" w:eastAsia="Times New Roman" w:hAnsi="PT Astra Serif"/>
          <w:b/>
          <w:szCs w:val="28"/>
          <w:lang w:eastAsia="ru-RU"/>
        </w:rPr>
        <w:t xml:space="preserve"> </w:t>
      </w:r>
      <w:proofErr w:type="spellStart"/>
      <w:r w:rsidRPr="00F4544B">
        <w:rPr>
          <w:rFonts w:ascii="PT Astra Serif" w:eastAsia="Times New Roman" w:hAnsi="PT Astra Serif"/>
          <w:b/>
          <w:szCs w:val="28"/>
          <w:lang w:eastAsia="ru-RU"/>
        </w:rPr>
        <w:t>Синема</w:t>
      </w:r>
      <w:proofErr w:type="spellEnd"/>
      <w:r w:rsidRPr="00F4544B">
        <w:rPr>
          <w:rFonts w:ascii="PT Astra Serif" w:eastAsia="Times New Roman" w:hAnsi="PT Astra Serif"/>
          <w:b/>
          <w:szCs w:val="28"/>
          <w:lang w:eastAsia="ru-RU"/>
        </w:rPr>
        <w:t xml:space="preserve">» повысили заработную плату на 16,5% </w:t>
      </w:r>
      <w:r w:rsidRPr="00F4544B">
        <w:rPr>
          <w:rFonts w:ascii="PT Astra Serif" w:eastAsia="Times New Roman" w:hAnsi="PT Astra Serif"/>
          <w:bCs/>
          <w:szCs w:val="28"/>
          <w:lang w:eastAsia="ru-RU"/>
        </w:rPr>
        <w:t xml:space="preserve">(38 885 рублей) к уровню 2024 года (33 366 рублей), </w:t>
      </w:r>
    </w:p>
    <w:p w14:paraId="215CA22A" w14:textId="77777777" w:rsidR="00AD36CF" w:rsidRPr="00F4544B" w:rsidRDefault="00AD36CF" w:rsidP="00AD36CF">
      <w:pPr>
        <w:widowControl w:val="0"/>
        <w:rPr>
          <w:rFonts w:ascii="PT Astra Serif" w:eastAsia="Times New Roman" w:hAnsi="PT Astra Serif"/>
          <w:bCs/>
          <w:szCs w:val="28"/>
          <w:lang w:eastAsia="ru-RU"/>
        </w:rPr>
      </w:pPr>
      <w:r w:rsidRPr="00F4544B">
        <w:rPr>
          <w:rFonts w:ascii="PT Astra Serif" w:eastAsia="Times New Roman" w:hAnsi="PT Astra Serif"/>
          <w:b/>
          <w:szCs w:val="28"/>
          <w:lang w:eastAsia="ru-RU"/>
        </w:rPr>
        <w:t>ООО «Корвет» повысили заработную плату на 24,2%</w:t>
      </w:r>
      <w:r w:rsidRPr="00F4544B">
        <w:rPr>
          <w:rFonts w:ascii="PT Astra Serif" w:eastAsia="Times New Roman" w:hAnsi="PT Astra Serif"/>
          <w:bCs/>
          <w:szCs w:val="28"/>
          <w:lang w:eastAsia="ru-RU"/>
        </w:rPr>
        <w:t xml:space="preserve"> (26 950 рублей) к уровню 2024 года (21 700 рублей).</w:t>
      </w:r>
    </w:p>
    <w:p w14:paraId="79C5EE4F" w14:textId="77777777" w:rsidR="00AD36CF" w:rsidRPr="00F4544B" w:rsidRDefault="00AD36CF" w:rsidP="00AD36CF">
      <w:pPr>
        <w:pStyle w:val="a7"/>
        <w:widowControl w:val="0"/>
        <w:tabs>
          <w:tab w:val="left" w:pos="426"/>
        </w:tabs>
        <w:ind w:left="0"/>
        <w:rPr>
          <w:rFonts w:ascii="PT Astra Serif" w:hAnsi="PT Astra Serif"/>
          <w:b/>
          <w:bCs/>
          <w:i/>
          <w:iCs/>
          <w:szCs w:val="28"/>
        </w:rPr>
      </w:pPr>
      <w:r w:rsidRPr="00F4544B">
        <w:rPr>
          <w:rFonts w:ascii="PT Astra Serif" w:hAnsi="PT Astra Serif" w:cs="Mangal"/>
          <w:szCs w:val="28"/>
          <w:lang w:eastAsia="zh-CN" w:bidi="hi-IN"/>
        </w:rPr>
        <w:t xml:space="preserve">В АНО Социокультурный центр «Содружество творческой молодёжи», Культурном фонде имени </w:t>
      </w:r>
      <w:proofErr w:type="spellStart"/>
      <w:r w:rsidRPr="00F4544B">
        <w:rPr>
          <w:rFonts w:ascii="PT Astra Serif" w:hAnsi="PT Astra Serif" w:cs="Mangal"/>
          <w:szCs w:val="28"/>
          <w:lang w:eastAsia="zh-CN" w:bidi="hi-IN"/>
        </w:rPr>
        <w:t>И.А.Гончарова</w:t>
      </w:r>
      <w:proofErr w:type="spellEnd"/>
      <w:r w:rsidRPr="00F4544B">
        <w:rPr>
          <w:rFonts w:ascii="PT Astra Serif" w:hAnsi="PT Astra Serif" w:cs="Mangal"/>
          <w:szCs w:val="28"/>
          <w:lang w:eastAsia="zh-CN" w:bidi="hi-IN"/>
        </w:rPr>
        <w:t xml:space="preserve">, </w:t>
      </w:r>
      <w:proofErr w:type="spellStart"/>
      <w:r w:rsidRPr="00F4544B">
        <w:rPr>
          <w:rFonts w:ascii="PT Astra Serif" w:hAnsi="PT Astra Serif" w:cs="Mangal"/>
          <w:szCs w:val="28"/>
          <w:lang w:eastAsia="zh-CN" w:bidi="hi-IN"/>
        </w:rPr>
        <w:t>Карамзинском</w:t>
      </w:r>
      <w:proofErr w:type="spellEnd"/>
      <w:r w:rsidRPr="00F4544B">
        <w:rPr>
          <w:rFonts w:ascii="PT Astra Serif" w:hAnsi="PT Astra Serif" w:cs="Mangal"/>
          <w:szCs w:val="28"/>
          <w:lang w:eastAsia="zh-CN" w:bidi="hi-IN"/>
        </w:rPr>
        <w:t xml:space="preserve"> фонде поддержки культурно-исторического наследия, Ульяновском фонде поддержки детского чтения заработная плата в 2025 году</w:t>
      </w:r>
      <w:r>
        <w:rPr>
          <w:rFonts w:ascii="PT Astra Serif" w:hAnsi="PT Astra Serif" w:cs="Mangal"/>
          <w:szCs w:val="28"/>
          <w:lang w:eastAsia="zh-CN" w:bidi="hi-IN"/>
        </w:rPr>
        <w:t xml:space="preserve"> </w:t>
      </w:r>
      <w:r w:rsidRPr="00F4544B">
        <w:rPr>
          <w:rFonts w:ascii="PT Astra Serif" w:hAnsi="PT Astra Serif" w:cs="Mangal"/>
          <w:szCs w:val="28"/>
          <w:lang w:eastAsia="zh-CN" w:bidi="hi-IN"/>
        </w:rPr>
        <w:t>не выплачивалась.</w:t>
      </w:r>
    </w:p>
    <w:p w14:paraId="395450B9" w14:textId="77777777" w:rsidR="00AD36CF" w:rsidRDefault="00AD36CF" w:rsidP="00AD36CF">
      <w:pPr>
        <w:pStyle w:val="a7"/>
        <w:widowControl w:val="0"/>
        <w:tabs>
          <w:tab w:val="left" w:pos="426"/>
        </w:tabs>
        <w:ind w:left="0"/>
        <w:rPr>
          <w:rFonts w:ascii="PT Astra Serif" w:hAnsi="PT Astra Serif"/>
          <w:b/>
          <w:bCs/>
          <w:i/>
          <w:iCs/>
          <w:szCs w:val="28"/>
        </w:rPr>
      </w:pPr>
    </w:p>
    <w:p w14:paraId="53FB2107" w14:textId="200CA5A8" w:rsidR="00A37318" w:rsidRDefault="00A37318" w:rsidP="00A37318">
      <w:pPr>
        <w:pStyle w:val="a7"/>
        <w:widowControl w:val="0"/>
        <w:tabs>
          <w:tab w:val="left" w:pos="426"/>
        </w:tabs>
        <w:ind w:left="0" w:firstLine="0"/>
        <w:jc w:val="center"/>
        <w:rPr>
          <w:rFonts w:ascii="PT Astra Serif" w:hAnsi="PT Astra Serif"/>
          <w:b/>
          <w:bCs/>
          <w:i/>
          <w:iCs/>
          <w:szCs w:val="28"/>
        </w:rPr>
      </w:pPr>
      <w:r w:rsidRPr="00736EC8">
        <w:rPr>
          <w:rFonts w:ascii="PT Astra Serif" w:hAnsi="PT Astra Serif"/>
          <w:b/>
          <w:bCs/>
          <w:i/>
          <w:iCs/>
          <w:szCs w:val="28"/>
        </w:rPr>
        <w:t>Реализация значимых мероприятий 2025 года</w:t>
      </w:r>
    </w:p>
    <w:p w14:paraId="203BD747" w14:textId="77777777" w:rsidR="00A37318" w:rsidRPr="00736EC8" w:rsidRDefault="00A37318" w:rsidP="00A37318">
      <w:pPr>
        <w:pStyle w:val="a7"/>
        <w:widowControl w:val="0"/>
        <w:tabs>
          <w:tab w:val="left" w:pos="426"/>
        </w:tabs>
        <w:ind w:left="0" w:firstLine="0"/>
        <w:jc w:val="center"/>
        <w:rPr>
          <w:rFonts w:ascii="PT Astra Serif" w:hAnsi="PT Astra Serif"/>
          <w:b/>
          <w:bCs/>
          <w:i/>
          <w:iCs/>
          <w:szCs w:val="28"/>
        </w:rPr>
      </w:pPr>
    </w:p>
    <w:p w14:paraId="642EE87A" w14:textId="3206EA5A" w:rsidR="00A37318" w:rsidRPr="00A64E09" w:rsidRDefault="00A37318" w:rsidP="00A37318">
      <w:pPr>
        <w:widowControl w:val="0"/>
        <w:rPr>
          <w:rFonts w:ascii="PT Astra Serif" w:hAnsi="PT Astra Serif"/>
          <w:bCs/>
          <w:szCs w:val="28"/>
        </w:rPr>
      </w:pPr>
      <w:r w:rsidRPr="00A64E09">
        <w:rPr>
          <w:rFonts w:ascii="PT Astra Serif" w:hAnsi="PT Astra Serif"/>
          <w:bCs/>
          <w:szCs w:val="28"/>
        </w:rPr>
        <w:t xml:space="preserve">Культура играет важную роль в работе по формированию общероссийской гражданской идентичности, укреплению традиционных российских ценностей, и формирование культурного предложения (контента) исходит реализации государственной культурной политики, в соответствии </w:t>
      </w:r>
      <w:r>
        <w:rPr>
          <w:rFonts w:ascii="PT Astra Serif" w:hAnsi="PT Astra Serif"/>
          <w:bCs/>
          <w:szCs w:val="28"/>
        </w:rPr>
        <w:br/>
      </w:r>
      <w:r w:rsidRPr="00A64E09">
        <w:rPr>
          <w:rFonts w:ascii="PT Astra Serif" w:hAnsi="PT Astra Serif"/>
          <w:bCs/>
          <w:szCs w:val="28"/>
        </w:rPr>
        <w:t>с Указами Главы государства, а также из просветительской, воспитательной миссии отрасли «культура» в целом.</w:t>
      </w:r>
    </w:p>
    <w:p w14:paraId="76996F7A" w14:textId="77777777" w:rsidR="00A37318" w:rsidRPr="00FF7ABA" w:rsidRDefault="00A37318" w:rsidP="00A37318">
      <w:pPr>
        <w:widowControl w:val="0"/>
        <w:rPr>
          <w:rFonts w:eastAsia="Times New Roman"/>
          <w:sz w:val="24"/>
          <w:szCs w:val="24"/>
          <w:lang w:eastAsia="ru-RU"/>
        </w:rPr>
      </w:pPr>
      <w:r w:rsidRPr="00A64E09">
        <w:rPr>
          <w:rFonts w:ascii="PT Astra Serif" w:hAnsi="PT Astra Serif"/>
          <w:bCs/>
          <w:szCs w:val="28"/>
        </w:rPr>
        <w:t>2025 год – год 80-летия Победы в Великой Отечественной войне и Год защитников Отечества.</w:t>
      </w:r>
      <w:r>
        <w:rPr>
          <w:rFonts w:eastAsia="Times New Roman"/>
          <w:sz w:val="24"/>
          <w:szCs w:val="24"/>
          <w:lang w:eastAsia="ru-RU"/>
        </w:rPr>
        <w:t xml:space="preserve"> </w:t>
      </w:r>
    </w:p>
    <w:p w14:paraId="77568F62" w14:textId="07E3FAA4" w:rsidR="00A37318" w:rsidRDefault="00A37318" w:rsidP="00A37318">
      <w:pPr>
        <w:widowControl w:val="0"/>
        <w:rPr>
          <w:rFonts w:ascii="PT Astra Serif" w:hAnsi="PT Astra Serif"/>
          <w:szCs w:val="28"/>
        </w:rPr>
      </w:pPr>
      <w:r w:rsidRPr="00FF7ABA">
        <w:rPr>
          <w:rFonts w:ascii="PT Astra Serif" w:hAnsi="PT Astra Serif"/>
          <w:szCs w:val="28"/>
        </w:rPr>
        <w:t xml:space="preserve">Становится традицией принимать в регионе </w:t>
      </w:r>
      <w:r>
        <w:rPr>
          <w:rFonts w:ascii="PT Astra Serif" w:hAnsi="PT Astra Serif"/>
          <w:szCs w:val="28"/>
        </w:rPr>
        <w:t xml:space="preserve">масштабное </w:t>
      </w:r>
      <w:r w:rsidRPr="00FF7ABA">
        <w:rPr>
          <w:rFonts w:ascii="PT Astra Serif" w:hAnsi="PT Astra Serif"/>
          <w:szCs w:val="28"/>
        </w:rPr>
        <w:t xml:space="preserve">Фестивальное движение «Книжные маяки России». </w:t>
      </w:r>
      <w:r>
        <w:rPr>
          <w:rFonts w:ascii="PT Astra Serif" w:hAnsi="PT Astra Serif"/>
          <w:szCs w:val="28"/>
        </w:rPr>
        <w:t>Проект «</w:t>
      </w:r>
      <w:r w:rsidRPr="007A3822">
        <w:rPr>
          <w:rFonts w:ascii="PT Astra Serif" w:hAnsi="PT Astra Serif"/>
          <w:szCs w:val="28"/>
        </w:rPr>
        <w:t>Книжный поезд-2025»</w:t>
      </w:r>
      <w:r>
        <w:rPr>
          <w:rFonts w:ascii="PT Astra Serif" w:hAnsi="PT Astra Serif"/>
          <w:szCs w:val="28"/>
        </w:rPr>
        <w:t xml:space="preserve">, посвящённый 80-летию Победы, </w:t>
      </w:r>
      <w:r w:rsidRPr="007A3822">
        <w:rPr>
          <w:rFonts w:ascii="PT Astra Serif" w:hAnsi="PT Astra Serif"/>
          <w:szCs w:val="28"/>
        </w:rPr>
        <w:t>поддержанн</w:t>
      </w:r>
      <w:r>
        <w:rPr>
          <w:rFonts w:ascii="PT Astra Serif" w:hAnsi="PT Astra Serif"/>
          <w:szCs w:val="28"/>
        </w:rPr>
        <w:t>ый</w:t>
      </w:r>
      <w:r w:rsidRPr="007A3822">
        <w:rPr>
          <w:rFonts w:ascii="PT Astra Serif" w:hAnsi="PT Astra Serif"/>
          <w:szCs w:val="28"/>
        </w:rPr>
        <w:t xml:space="preserve"> Министерством культуры РФ, Министерством цифрового развития, связи и массовых коммуникаций РФ, Российским книжным союзом и ОАО «РЖД»</w:t>
      </w:r>
      <w:r>
        <w:rPr>
          <w:rFonts w:ascii="PT Astra Serif" w:hAnsi="PT Astra Serif"/>
          <w:szCs w:val="28"/>
        </w:rPr>
        <w:t>, открыл программу масштабных мероприятий юбилейного года</w:t>
      </w:r>
      <w:r w:rsidRPr="007A3822">
        <w:rPr>
          <w:rFonts w:ascii="PT Astra Serif" w:hAnsi="PT Astra Serif"/>
          <w:szCs w:val="28"/>
        </w:rPr>
        <w:t>. Он стартовал 13 марта 2025 года с Витебского вокзала Санкт-Петербурга в Минск, Москву, Нижний Новгород, Казань</w:t>
      </w:r>
      <w:r>
        <w:rPr>
          <w:rFonts w:ascii="PT Astra Serif" w:hAnsi="PT Astra Serif"/>
          <w:szCs w:val="28"/>
        </w:rPr>
        <w:t xml:space="preserve"> и</w:t>
      </w:r>
      <w:r w:rsidRPr="007A3822">
        <w:rPr>
          <w:rFonts w:ascii="PT Astra Serif" w:hAnsi="PT Astra Serif"/>
          <w:szCs w:val="28"/>
        </w:rPr>
        <w:t xml:space="preserve"> 18 марта 2025 года, </w:t>
      </w:r>
      <w:r>
        <w:rPr>
          <w:rFonts w:ascii="PT Astra Serif" w:hAnsi="PT Astra Serif"/>
          <w:szCs w:val="28"/>
        </w:rPr>
        <w:t>сделал остановку</w:t>
      </w:r>
      <w:r w:rsidRPr="007A3822">
        <w:rPr>
          <w:rFonts w:ascii="PT Astra Serif" w:hAnsi="PT Astra Serif"/>
          <w:szCs w:val="28"/>
        </w:rPr>
        <w:t xml:space="preserve"> в Ульяновске</w:t>
      </w:r>
      <w:r>
        <w:rPr>
          <w:rFonts w:ascii="PT Astra Serif" w:hAnsi="PT Astra Serif"/>
          <w:szCs w:val="28"/>
        </w:rPr>
        <w:t>.</w:t>
      </w:r>
      <w:r w:rsidRPr="007A3822">
        <w:rPr>
          <w:rFonts w:ascii="PT Astra Serif" w:hAnsi="PT Astra Serif"/>
          <w:szCs w:val="28"/>
        </w:rPr>
        <w:t xml:space="preserve"> Более 30 </w:t>
      </w:r>
      <w:r w:rsidRPr="007A3822">
        <w:rPr>
          <w:rFonts w:ascii="PT Astra Serif" w:hAnsi="PT Astra Serif"/>
          <w:szCs w:val="28"/>
        </w:rPr>
        <w:lastRenderedPageBreak/>
        <w:t>писателей и книжников с однодневной фестивальной программой встретились с читателями в Ульяновской области</w:t>
      </w:r>
      <w:r>
        <w:rPr>
          <w:rFonts w:ascii="PT Astra Serif" w:hAnsi="PT Astra Serif"/>
          <w:szCs w:val="28"/>
        </w:rPr>
        <w:t>,</w:t>
      </w:r>
      <w:r w:rsidRPr="007C3FEA">
        <w:rPr>
          <w:rFonts w:ascii="PT Astra Serif" w:hAnsi="PT Astra Serif"/>
          <w:szCs w:val="28"/>
        </w:rPr>
        <w:t xml:space="preserve"> чтобы поделиться своим вдохновением и открыть секреты мастерства перед</w:t>
      </w:r>
      <w:r>
        <w:rPr>
          <w:rFonts w:ascii="PT Astra Serif" w:hAnsi="PT Astra Serif"/>
          <w:szCs w:val="28"/>
        </w:rPr>
        <w:t xml:space="preserve"> ульяновскими школьниками. д</w:t>
      </w:r>
      <w:r w:rsidRPr="007C3FEA">
        <w:rPr>
          <w:rFonts w:ascii="PT Astra Serif" w:hAnsi="PT Astra Serif"/>
          <w:szCs w:val="28"/>
        </w:rPr>
        <w:t xml:space="preserve">вадцать пять ярких мероприятий: четырнадцать незабываемых встреч с любимыми писателями, десять увлекательных занятий для юных дарований </w:t>
      </w:r>
      <w:r>
        <w:rPr>
          <w:rFonts w:ascii="PT Astra Serif" w:hAnsi="PT Astra Serif"/>
          <w:szCs w:val="28"/>
        </w:rPr>
        <w:br/>
      </w:r>
      <w:r w:rsidRPr="007C3FEA">
        <w:rPr>
          <w:rFonts w:ascii="PT Astra Serif" w:hAnsi="PT Astra Serif"/>
          <w:szCs w:val="28"/>
        </w:rPr>
        <w:t>и специальные программы для детской аудитории.</w:t>
      </w:r>
      <w:r>
        <w:rPr>
          <w:rFonts w:ascii="PT Astra Serif" w:hAnsi="PT Astra Serif"/>
          <w:szCs w:val="28"/>
        </w:rPr>
        <w:t xml:space="preserve"> </w:t>
      </w:r>
      <w:r w:rsidRPr="007A3822">
        <w:rPr>
          <w:rFonts w:ascii="PT Astra Serif" w:hAnsi="PT Astra Serif"/>
          <w:szCs w:val="28"/>
        </w:rPr>
        <w:t>Значение фестиваля «Книжный поезд» отметил Председатель Российского книжного союза Сергей Вадимович Степашин: «Проект «Книжный поезд» — это уникальный, федеральный коммуникационный проект. Это очень здорово — книжная экспедиция на поезде с интересными книгам</w:t>
      </w:r>
      <w:r>
        <w:rPr>
          <w:rFonts w:ascii="PT Astra Serif" w:hAnsi="PT Astra Serif"/>
          <w:szCs w:val="28"/>
        </w:rPr>
        <w:t>и».</w:t>
      </w:r>
      <w:r w:rsidRPr="007A3822">
        <w:rPr>
          <w:rFonts w:ascii="PT Astra Serif" w:hAnsi="PT Astra Serif"/>
          <w:szCs w:val="28"/>
        </w:rPr>
        <w:t xml:space="preserve"> Свои незабываемые творческие встречи </w:t>
      </w:r>
      <w:r>
        <w:rPr>
          <w:rFonts w:ascii="PT Astra Serif" w:hAnsi="PT Astra Serif"/>
          <w:szCs w:val="28"/>
        </w:rPr>
        <w:t xml:space="preserve">на </w:t>
      </w:r>
      <w:r w:rsidRPr="007A3822">
        <w:rPr>
          <w:rFonts w:ascii="PT Astra Serif" w:hAnsi="PT Astra Serif"/>
          <w:szCs w:val="28"/>
        </w:rPr>
        <w:t>9 площад</w:t>
      </w:r>
      <w:r w:rsidRPr="00420099">
        <w:rPr>
          <w:rFonts w:ascii="PT Astra Serif" w:hAnsi="PT Astra Serif"/>
          <w:szCs w:val="28"/>
        </w:rPr>
        <w:t>ках города</w:t>
      </w:r>
      <w:r>
        <w:rPr>
          <w:rFonts w:ascii="PT Astra Serif" w:hAnsi="PT Astra Serif"/>
          <w:szCs w:val="28"/>
        </w:rPr>
        <w:t xml:space="preserve"> (</w:t>
      </w:r>
      <w:r w:rsidRPr="007A3822">
        <w:rPr>
          <w:rFonts w:ascii="PT Astra Serif" w:hAnsi="PT Astra Serif"/>
          <w:szCs w:val="28"/>
        </w:rPr>
        <w:t xml:space="preserve">Дворец книги, </w:t>
      </w:r>
      <w:proofErr w:type="spellStart"/>
      <w:r w:rsidRPr="007A3822">
        <w:rPr>
          <w:rFonts w:ascii="PT Astra Serif" w:hAnsi="PT Astra Serif"/>
          <w:szCs w:val="28"/>
        </w:rPr>
        <w:t>Аксаков</w:t>
      </w:r>
      <w:r w:rsidRPr="00420099">
        <w:rPr>
          <w:rFonts w:ascii="PT Astra Serif" w:hAnsi="PT Astra Serif"/>
          <w:szCs w:val="28"/>
        </w:rPr>
        <w:t>ка</w:t>
      </w:r>
      <w:proofErr w:type="spellEnd"/>
      <w:r>
        <w:rPr>
          <w:rFonts w:ascii="PT Astra Serif" w:hAnsi="PT Astra Serif"/>
          <w:szCs w:val="28"/>
        </w:rPr>
        <w:t>,</w:t>
      </w:r>
      <w:r w:rsidRPr="007A3822">
        <w:rPr>
          <w:rFonts w:ascii="PT Astra Serif" w:hAnsi="PT Astra Serif"/>
          <w:szCs w:val="28"/>
        </w:rPr>
        <w:t xml:space="preserve"> Библиотеки Централизованной библиотечной системы г. Ульяновска; Губернаторский лицей № 100</w:t>
      </w:r>
      <w:r w:rsidRPr="00420099">
        <w:rPr>
          <w:rFonts w:ascii="PT Astra Serif" w:hAnsi="PT Astra Serif"/>
          <w:szCs w:val="28"/>
        </w:rPr>
        <w:t>,</w:t>
      </w:r>
      <w:r w:rsidRPr="007A3822">
        <w:rPr>
          <w:rFonts w:ascii="PT Astra Serif" w:hAnsi="PT Astra Serif"/>
          <w:szCs w:val="28"/>
        </w:rPr>
        <w:t xml:space="preserve"> Гимназия № 1 имени В.И. Ленина</w:t>
      </w:r>
      <w:r>
        <w:rPr>
          <w:rFonts w:ascii="PT Astra Serif" w:hAnsi="PT Astra Serif"/>
          <w:szCs w:val="28"/>
        </w:rPr>
        <w:t>)</w:t>
      </w:r>
      <w:r w:rsidRPr="007A3822">
        <w:rPr>
          <w:rFonts w:ascii="PT Astra Serif" w:hAnsi="PT Astra Serif"/>
          <w:szCs w:val="28"/>
        </w:rPr>
        <w:t xml:space="preserve"> провели писатели </w:t>
      </w:r>
      <w:r w:rsidRPr="00E773F1">
        <w:rPr>
          <w:rFonts w:ascii="PT Astra Serif" w:hAnsi="PT Astra Serif"/>
          <w:szCs w:val="28"/>
        </w:rPr>
        <w:t xml:space="preserve">Олег Рой, Дмитрий </w:t>
      </w:r>
      <w:proofErr w:type="spellStart"/>
      <w:r w:rsidRPr="00E773F1">
        <w:rPr>
          <w:rFonts w:ascii="PT Astra Serif" w:hAnsi="PT Astra Serif"/>
          <w:szCs w:val="28"/>
        </w:rPr>
        <w:t>Емец</w:t>
      </w:r>
      <w:proofErr w:type="spellEnd"/>
      <w:r w:rsidRPr="00E773F1">
        <w:rPr>
          <w:rFonts w:ascii="PT Astra Serif" w:hAnsi="PT Astra Serif"/>
          <w:szCs w:val="28"/>
        </w:rPr>
        <w:t xml:space="preserve">, Валентин Постников, Григорий Григорьев, Сергей Переслегин, Кира Грозная, писатели из Петербурга Валерий Попов </w:t>
      </w:r>
      <w:r>
        <w:rPr>
          <w:rFonts w:ascii="PT Astra Serif" w:hAnsi="PT Astra Serif"/>
          <w:szCs w:val="28"/>
        </w:rPr>
        <w:br/>
      </w:r>
      <w:r w:rsidRPr="00E773F1">
        <w:rPr>
          <w:rFonts w:ascii="PT Astra Serif" w:hAnsi="PT Astra Serif"/>
          <w:szCs w:val="28"/>
        </w:rPr>
        <w:t>и Лев Наумов, ульяновские авторы Илья Таранов, Андрей Медведев, Марина Курылева, Евгений Сафронов и другие, более 2000 участников мероприятий.</w:t>
      </w:r>
    </w:p>
    <w:p w14:paraId="4EC78A60" w14:textId="77777777" w:rsidR="00A37318" w:rsidRDefault="00A37318" w:rsidP="00A37318">
      <w:pPr>
        <w:widowControl w:val="0"/>
        <w:rPr>
          <w:rFonts w:ascii="PT Astra Serif" w:hAnsi="PT Astra Serif"/>
          <w:szCs w:val="28"/>
          <w:highlight w:val="yellow"/>
        </w:rPr>
      </w:pPr>
      <w:r w:rsidRPr="00A64E09">
        <w:rPr>
          <w:rFonts w:ascii="PT Astra Serif" w:hAnsi="PT Astra Serif"/>
          <w:szCs w:val="28"/>
        </w:rPr>
        <w:t>В юбилейный Победный год Ульяновским областным краеведческим музеем был реализован проект</w:t>
      </w:r>
      <w:r w:rsidRPr="00A64E09">
        <w:t xml:space="preserve"> </w:t>
      </w:r>
      <w:r w:rsidRPr="00A64E09">
        <w:rPr>
          <w:rFonts w:ascii="PT Astra Serif" w:hAnsi="PT Astra Serif"/>
          <w:szCs w:val="28"/>
        </w:rPr>
        <w:t>«Война</w:t>
      </w:r>
      <w:r w:rsidRPr="00E94626">
        <w:rPr>
          <w:rFonts w:ascii="PT Astra Serif" w:hAnsi="PT Astra Serif"/>
          <w:szCs w:val="28"/>
        </w:rPr>
        <w:t>. Победа. Память», посвящен</w:t>
      </w:r>
      <w:r>
        <w:rPr>
          <w:rFonts w:ascii="PT Astra Serif" w:hAnsi="PT Astra Serif"/>
          <w:szCs w:val="28"/>
        </w:rPr>
        <w:t xml:space="preserve">ный </w:t>
      </w:r>
      <w:r w:rsidRPr="00E94626">
        <w:rPr>
          <w:rFonts w:ascii="PT Astra Serif" w:hAnsi="PT Astra Serif"/>
          <w:szCs w:val="28"/>
        </w:rPr>
        <w:t xml:space="preserve">вкладу жителей региона в достижение Победы в Великой Отечественной войне. В экспозиции — портреты 570 </w:t>
      </w:r>
      <w:proofErr w:type="spellStart"/>
      <w:r w:rsidRPr="00E94626">
        <w:rPr>
          <w:rFonts w:ascii="PT Astra Serif" w:hAnsi="PT Astra Serif"/>
          <w:szCs w:val="28"/>
        </w:rPr>
        <w:t>ульяновцев</w:t>
      </w:r>
      <w:proofErr w:type="spellEnd"/>
      <w:r w:rsidRPr="00E94626">
        <w:rPr>
          <w:rFonts w:ascii="PT Astra Serif" w:hAnsi="PT Astra Serif"/>
          <w:szCs w:val="28"/>
        </w:rPr>
        <w:t xml:space="preserve">, воевавших на фронтах войны, и боевое знамя 344-й </w:t>
      </w:r>
      <w:proofErr w:type="spellStart"/>
      <w:r w:rsidRPr="00E94626">
        <w:rPr>
          <w:rFonts w:ascii="PT Astra Serif" w:hAnsi="PT Astra Serif"/>
          <w:szCs w:val="28"/>
        </w:rPr>
        <w:t>Рославльской</w:t>
      </w:r>
      <w:proofErr w:type="spellEnd"/>
      <w:r w:rsidRPr="00E94626">
        <w:rPr>
          <w:rFonts w:ascii="PT Astra Serif" w:hAnsi="PT Astra Serif"/>
          <w:szCs w:val="28"/>
        </w:rPr>
        <w:t xml:space="preserve"> Краснознамённой дивизии</w:t>
      </w:r>
      <w:r w:rsidRPr="0066395C">
        <w:rPr>
          <w:rFonts w:ascii="PT Astra Serif" w:hAnsi="PT Astra Serif"/>
          <w:szCs w:val="28"/>
        </w:rPr>
        <w:t>, сформированной в 1941 году на территории Барышского и Кузоватовского районов Ульяновской области</w:t>
      </w:r>
      <w:r>
        <w:rPr>
          <w:rFonts w:ascii="PT Astra Serif" w:hAnsi="PT Astra Serif"/>
          <w:szCs w:val="28"/>
        </w:rPr>
        <w:t>.</w:t>
      </w:r>
    </w:p>
    <w:p w14:paraId="581474BE" w14:textId="16C91F54" w:rsidR="00A37318" w:rsidRDefault="00A37318" w:rsidP="00A37318">
      <w:pPr>
        <w:widowControl w:val="0"/>
        <w:rPr>
          <w:rFonts w:ascii="PT Astra Serif" w:hAnsi="PT Astra Serif"/>
          <w:szCs w:val="28"/>
        </w:rPr>
      </w:pPr>
      <w:r>
        <w:rPr>
          <w:rFonts w:ascii="PT Astra Serif" w:hAnsi="PT Astra Serif"/>
          <w:szCs w:val="28"/>
        </w:rPr>
        <w:t>Три премьерных спектакля</w:t>
      </w:r>
      <w:r w:rsidRPr="00E94626">
        <w:rPr>
          <w:rFonts w:ascii="PT Astra Serif" w:hAnsi="PT Astra Serif"/>
          <w:szCs w:val="28"/>
        </w:rPr>
        <w:t xml:space="preserve"> </w:t>
      </w:r>
      <w:r>
        <w:rPr>
          <w:rFonts w:ascii="PT Astra Serif" w:hAnsi="PT Astra Serif"/>
          <w:szCs w:val="28"/>
        </w:rPr>
        <w:t xml:space="preserve">Драматического театра </w:t>
      </w:r>
      <w:r w:rsidRPr="00E94626">
        <w:rPr>
          <w:rFonts w:ascii="PT Astra Serif" w:hAnsi="PT Astra Serif"/>
          <w:szCs w:val="28"/>
        </w:rPr>
        <w:t>были посвящены Году защитника Отечества и 80</w:t>
      </w:r>
      <w:r>
        <w:rPr>
          <w:rFonts w:ascii="PT Astra Serif" w:hAnsi="PT Astra Serif"/>
          <w:szCs w:val="28"/>
        </w:rPr>
        <w:t>-</w:t>
      </w:r>
      <w:r w:rsidRPr="00E94626">
        <w:rPr>
          <w:rFonts w:ascii="PT Astra Serif" w:hAnsi="PT Astra Serif"/>
          <w:szCs w:val="28"/>
        </w:rPr>
        <w:t>летию Победы</w:t>
      </w:r>
      <w:r>
        <w:rPr>
          <w:rFonts w:ascii="PT Astra Serif" w:hAnsi="PT Astra Serif"/>
          <w:szCs w:val="28"/>
        </w:rPr>
        <w:t xml:space="preserve">: </w:t>
      </w:r>
      <w:r w:rsidRPr="00E94626">
        <w:rPr>
          <w:rFonts w:ascii="PT Astra Serif" w:hAnsi="PT Astra Serif"/>
          <w:szCs w:val="28"/>
        </w:rPr>
        <w:t>постановк</w:t>
      </w:r>
      <w:r>
        <w:rPr>
          <w:rFonts w:ascii="PT Astra Serif" w:hAnsi="PT Astra Serif"/>
          <w:szCs w:val="28"/>
        </w:rPr>
        <w:t>а</w:t>
      </w:r>
      <w:r w:rsidRPr="00E94626">
        <w:rPr>
          <w:rFonts w:ascii="PT Astra Serif" w:hAnsi="PT Astra Serif"/>
          <w:szCs w:val="28"/>
        </w:rPr>
        <w:t xml:space="preserve"> по книге Агнии </w:t>
      </w:r>
      <w:proofErr w:type="spellStart"/>
      <w:r w:rsidRPr="00E94626">
        <w:rPr>
          <w:rFonts w:ascii="PT Astra Serif" w:hAnsi="PT Astra Serif"/>
          <w:szCs w:val="28"/>
        </w:rPr>
        <w:t>Барто</w:t>
      </w:r>
      <w:proofErr w:type="spellEnd"/>
      <w:r w:rsidRPr="00E94626">
        <w:rPr>
          <w:rFonts w:ascii="PT Astra Serif" w:hAnsi="PT Astra Serif"/>
          <w:szCs w:val="28"/>
        </w:rPr>
        <w:t xml:space="preserve"> «Найти человека» и драм</w:t>
      </w:r>
      <w:r>
        <w:rPr>
          <w:rFonts w:ascii="PT Astra Serif" w:hAnsi="PT Astra Serif"/>
          <w:szCs w:val="28"/>
        </w:rPr>
        <w:t>а</w:t>
      </w:r>
      <w:r w:rsidRPr="00E94626">
        <w:rPr>
          <w:rFonts w:ascii="PT Astra Serif" w:hAnsi="PT Astra Serif"/>
          <w:szCs w:val="28"/>
        </w:rPr>
        <w:t xml:space="preserve"> о подвиге Веры Волошиной «Время Веры» по пьесе Дарьи </w:t>
      </w:r>
      <w:proofErr w:type="spellStart"/>
      <w:r w:rsidRPr="00E94626">
        <w:rPr>
          <w:rFonts w:ascii="PT Astra Serif" w:hAnsi="PT Astra Serif"/>
          <w:szCs w:val="28"/>
        </w:rPr>
        <w:t>Верясовой</w:t>
      </w:r>
      <w:proofErr w:type="spellEnd"/>
      <w:r w:rsidRPr="00E94626">
        <w:rPr>
          <w:rFonts w:ascii="PT Astra Serif" w:hAnsi="PT Astra Serif"/>
          <w:szCs w:val="28"/>
        </w:rPr>
        <w:t xml:space="preserve">, написанной специально для ульяновского театра. В завершение Года защитника Отечества в программе Х Международного театрального фестиваля «История государства Российского. Отечество </w:t>
      </w:r>
      <w:r>
        <w:rPr>
          <w:rFonts w:ascii="PT Astra Serif" w:hAnsi="PT Astra Serif"/>
          <w:szCs w:val="28"/>
        </w:rPr>
        <w:br/>
      </w:r>
      <w:r w:rsidRPr="00E94626">
        <w:rPr>
          <w:rFonts w:ascii="PT Astra Serif" w:hAnsi="PT Astra Serif"/>
          <w:szCs w:val="28"/>
        </w:rPr>
        <w:t>и судьбы» режиссёр Максим Копылов представил премьеру «Вдовий пароход» — спектакль о послевоенной судьбе женщин</w:t>
      </w:r>
      <w:r>
        <w:rPr>
          <w:rFonts w:ascii="PT Astra Serif" w:hAnsi="PT Astra Serif"/>
          <w:szCs w:val="28"/>
        </w:rPr>
        <w:t xml:space="preserve">. </w:t>
      </w:r>
    </w:p>
    <w:p w14:paraId="23CF7E22" w14:textId="77777777" w:rsidR="00A37318" w:rsidRDefault="00A37318" w:rsidP="00A37318">
      <w:pPr>
        <w:widowControl w:val="0"/>
      </w:pPr>
      <w:proofErr w:type="spellStart"/>
      <w:r w:rsidRPr="00AA46F9">
        <w:rPr>
          <w:rFonts w:ascii="PT Astra Serif" w:hAnsi="PT Astra Serif"/>
          <w:szCs w:val="28"/>
        </w:rPr>
        <w:t>Иммерсивный</w:t>
      </w:r>
      <w:proofErr w:type="spellEnd"/>
      <w:r w:rsidRPr="00AA46F9">
        <w:rPr>
          <w:rFonts w:ascii="PT Astra Serif" w:hAnsi="PT Astra Serif"/>
          <w:szCs w:val="28"/>
        </w:rPr>
        <w:t xml:space="preserve"> </w:t>
      </w:r>
      <w:r>
        <w:rPr>
          <w:rFonts w:ascii="PT Astra Serif" w:hAnsi="PT Astra Serif"/>
          <w:szCs w:val="28"/>
        </w:rPr>
        <w:t xml:space="preserve">уличный спектакль Молодёжного театра </w:t>
      </w:r>
      <w:proofErr w:type="spellStart"/>
      <w:r>
        <w:rPr>
          <w:rFonts w:ascii="PT Astra Serif" w:hAnsi="PT Astra Serif"/>
          <w:szCs w:val="28"/>
        </w:rPr>
        <w:t>им.Бориса</w:t>
      </w:r>
      <w:proofErr w:type="spellEnd"/>
      <w:r>
        <w:rPr>
          <w:rFonts w:ascii="PT Astra Serif" w:hAnsi="PT Astra Serif"/>
          <w:szCs w:val="28"/>
        </w:rPr>
        <w:t xml:space="preserve"> Александрова</w:t>
      </w:r>
      <w:r w:rsidRPr="00AA46F9">
        <w:rPr>
          <w:rFonts w:ascii="PT Astra Serif" w:hAnsi="PT Astra Serif"/>
          <w:szCs w:val="28"/>
        </w:rPr>
        <w:t xml:space="preserve"> «Я выбираю помнить»</w:t>
      </w:r>
      <w:r>
        <w:rPr>
          <w:rFonts w:ascii="PT Astra Serif" w:hAnsi="PT Astra Serif"/>
          <w:szCs w:val="28"/>
        </w:rPr>
        <w:t xml:space="preserve">, </w:t>
      </w:r>
      <w:r w:rsidRPr="00AA46F9">
        <w:rPr>
          <w:rFonts w:ascii="PT Astra Serif" w:hAnsi="PT Astra Serif"/>
          <w:szCs w:val="28"/>
        </w:rPr>
        <w:t xml:space="preserve">основан на оживающих памятниках героям войны, символизирующих подвиг народа. </w:t>
      </w:r>
      <w:r>
        <w:rPr>
          <w:rFonts w:ascii="PT Astra Serif" w:hAnsi="PT Astra Serif"/>
          <w:szCs w:val="28"/>
        </w:rPr>
        <w:t>Э</w:t>
      </w:r>
      <w:r w:rsidRPr="00AA46F9">
        <w:rPr>
          <w:rFonts w:ascii="PT Astra Serif" w:hAnsi="PT Astra Serif"/>
          <w:szCs w:val="28"/>
        </w:rPr>
        <w:t>ксклюзивн</w:t>
      </w:r>
      <w:r>
        <w:rPr>
          <w:rFonts w:ascii="PT Astra Serif" w:hAnsi="PT Astra Serif"/>
          <w:szCs w:val="28"/>
        </w:rPr>
        <w:t xml:space="preserve">ый театральный проект, </w:t>
      </w:r>
      <w:r w:rsidRPr="00AA46F9">
        <w:rPr>
          <w:rFonts w:ascii="PT Astra Serif" w:hAnsi="PT Astra Serif"/>
          <w:szCs w:val="28"/>
        </w:rPr>
        <w:t>вошедш</w:t>
      </w:r>
      <w:r>
        <w:rPr>
          <w:rFonts w:ascii="PT Astra Serif" w:hAnsi="PT Astra Serif"/>
          <w:szCs w:val="28"/>
        </w:rPr>
        <w:t>ий</w:t>
      </w:r>
      <w:r w:rsidRPr="00AA46F9">
        <w:rPr>
          <w:rFonts w:ascii="PT Astra Serif" w:hAnsi="PT Astra Serif"/>
          <w:szCs w:val="28"/>
        </w:rPr>
        <w:t xml:space="preserve"> в программу Дня памяти и скорби</w:t>
      </w:r>
      <w:r>
        <w:rPr>
          <w:rFonts w:ascii="PT Astra Serif" w:hAnsi="PT Astra Serif"/>
          <w:szCs w:val="28"/>
        </w:rPr>
        <w:t xml:space="preserve"> в 2025 году получил поистине народное признание</w:t>
      </w:r>
      <w:r w:rsidRPr="00AA46F9">
        <w:rPr>
          <w:rFonts w:ascii="PT Astra Serif" w:hAnsi="PT Astra Serif"/>
          <w:szCs w:val="28"/>
        </w:rPr>
        <w:t>.</w:t>
      </w:r>
      <w:r w:rsidRPr="00AA46F9">
        <w:t xml:space="preserve"> </w:t>
      </w:r>
    </w:p>
    <w:p w14:paraId="6A26A169" w14:textId="1F908DF2" w:rsidR="00A37318" w:rsidRDefault="00A37318" w:rsidP="00A37318">
      <w:pPr>
        <w:widowControl w:val="0"/>
        <w:rPr>
          <w:rFonts w:ascii="PT Astra Serif" w:hAnsi="PT Astra Serif"/>
          <w:szCs w:val="28"/>
        </w:rPr>
      </w:pPr>
      <w:r>
        <w:rPr>
          <w:rFonts w:ascii="PT Astra Serif" w:hAnsi="PT Astra Serif"/>
          <w:szCs w:val="28"/>
        </w:rPr>
        <w:t>В</w:t>
      </w:r>
      <w:r w:rsidRPr="00AA46F9">
        <w:rPr>
          <w:rFonts w:ascii="PT Astra Serif" w:hAnsi="PT Astra Serif"/>
          <w:szCs w:val="28"/>
        </w:rPr>
        <w:t xml:space="preserve">ыставки, посвящённые событиям специальной военной операции </w:t>
      </w:r>
      <w:r>
        <w:rPr>
          <w:rFonts w:ascii="PT Astra Serif" w:hAnsi="PT Astra Serif"/>
          <w:szCs w:val="28"/>
        </w:rPr>
        <w:br/>
      </w:r>
      <w:r w:rsidRPr="00AA46F9">
        <w:rPr>
          <w:rFonts w:ascii="PT Astra Serif" w:hAnsi="PT Astra Serif"/>
          <w:szCs w:val="28"/>
        </w:rPr>
        <w:t>и подвигам</w:t>
      </w:r>
      <w:r>
        <w:rPr>
          <w:rFonts w:ascii="PT Astra Serif" w:hAnsi="PT Astra Serif"/>
          <w:szCs w:val="28"/>
        </w:rPr>
        <w:t xml:space="preserve"> </w:t>
      </w:r>
      <w:r w:rsidRPr="00AA46F9">
        <w:rPr>
          <w:rFonts w:ascii="PT Astra Serif" w:hAnsi="PT Astra Serif"/>
          <w:szCs w:val="28"/>
        </w:rPr>
        <w:t>её участников</w:t>
      </w:r>
      <w:r>
        <w:rPr>
          <w:rFonts w:ascii="PT Astra Serif" w:hAnsi="PT Astra Serif"/>
          <w:szCs w:val="28"/>
        </w:rPr>
        <w:t xml:space="preserve"> стали особенными событиями для жителей, участников и членов семей СВО: </w:t>
      </w:r>
    </w:p>
    <w:p w14:paraId="670B28C9" w14:textId="7AF9E1B8" w:rsidR="00A37318" w:rsidRDefault="00A37318" w:rsidP="00A37318">
      <w:pPr>
        <w:widowControl w:val="0"/>
        <w:rPr>
          <w:rFonts w:ascii="PT Astra Serif" w:hAnsi="PT Astra Serif"/>
          <w:szCs w:val="28"/>
        </w:rPr>
      </w:pPr>
      <w:r w:rsidRPr="00AA46F9">
        <w:rPr>
          <w:rFonts w:ascii="PT Astra Serif" w:hAnsi="PT Astra Serif"/>
          <w:szCs w:val="28"/>
        </w:rPr>
        <w:t>выставочный проект «Впереди – Победа»</w:t>
      </w:r>
      <w:r>
        <w:rPr>
          <w:rFonts w:ascii="PT Astra Serif" w:hAnsi="PT Astra Serif"/>
          <w:szCs w:val="28"/>
        </w:rPr>
        <w:t>,</w:t>
      </w:r>
      <w:r w:rsidRPr="00AA46F9">
        <w:rPr>
          <w:rFonts w:ascii="PT Astra Serif" w:hAnsi="PT Astra Serif"/>
          <w:szCs w:val="28"/>
        </w:rPr>
        <w:t xml:space="preserve"> реализованный при поддержке Президентского фонда культурных инициатив рассказывает об </w:t>
      </w:r>
      <w:proofErr w:type="spellStart"/>
      <w:r w:rsidRPr="00AA46F9">
        <w:rPr>
          <w:rFonts w:ascii="PT Astra Serif" w:hAnsi="PT Astra Serif"/>
          <w:szCs w:val="28"/>
        </w:rPr>
        <w:t>ульяновцах</w:t>
      </w:r>
      <w:proofErr w:type="spellEnd"/>
      <w:r w:rsidRPr="00AA46F9">
        <w:rPr>
          <w:rFonts w:ascii="PT Astra Serif" w:hAnsi="PT Astra Serif"/>
          <w:szCs w:val="28"/>
        </w:rPr>
        <w:t xml:space="preserve">-участниках специальной военной операции среди которых бойцы 31-й отдельной гвардейской </w:t>
      </w:r>
      <w:proofErr w:type="spellStart"/>
      <w:r w:rsidRPr="00AA46F9">
        <w:rPr>
          <w:rFonts w:ascii="PT Astra Serif" w:hAnsi="PT Astra Serif"/>
          <w:szCs w:val="28"/>
        </w:rPr>
        <w:t>десантно</w:t>
      </w:r>
      <w:proofErr w:type="spellEnd"/>
      <w:r w:rsidRPr="00AA46F9">
        <w:rPr>
          <w:rFonts w:ascii="PT Astra Serif" w:hAnsi="PT Astra Serif"/>
          <w:szCs w:val="28"/>
        </w:rPr>
        <w:t xml:space="preserve">-штурмовой бригады (с 2023 года — 104-й гвардейской </w:t>
      </w:r>
      <w:proofErr w:type="spellStart"/>
      <w:r w:rsidRPr="00AA46F9">
        <w:rPr>
          <w:rFonts w:ascii="PT Astra Serif" w:hAnsi="PT Astra Serif"/>
          <w:szCs w:val="28"/>
        </w:rPr>
        <w:t>десантно</w:t>
      </w:r>
      <w:proofErr w:type="spellEnd"/>
      <w:r w:rsidRPr="00AA46F9">
        <w:rPr>
          <w:rFonts w:ascii="PT Astra Serif" w:hAnsi="PT Astra Serif"/>
          <w:szCs w:val="28"/>
        </w:rPr>
        <w:t xml:space="preserve">-штурмовой дивизии), гаубичного артиллерийского </w:t>
      </w:r>
      <w:r w:rsidRPr="00AA46F9">
        <w:rPr>
          <w:rFonts w:ascii="PT Astra Serif" w:hAnsi="PT Astra Serif"/>
          <w:szCs w:val="28"/>
        </w:rPr>
        <w:lastRenderedPageBreak/>
        <w:t>дивизиона «Симбирск», мотострелкового батальона «Ульяновск»</w:t>
      </w:r>
      <w:r>
        <w:rPr>
          <w:rFonts w:ascii="PT Astra Serif" w:hAnsi="PT Astra Serif"/>
          <w:szCs w:val="28"/>
        </w:rPr>
        <w:t xml:space="preserve"> </w:t>
      </w:r>
      <w:r>
        <w:rPr>
          <w:rFonts w:ascii="PT Astra Serif" w:hAnsi="PT Astra Serif"/>
          <w:szCs w:val="28"/>
        </w:rPr>
        <w:br/>
      </w:r>
      <w:r w:rsidRPr="00AA46F9">
        <w:rPr>
          <w:rFonts w:ascii="PT Astra Serif" w:hAnsi="PT Astra Serif"/>
          <w:szCs w:val="28"/>
        </w:rPr>
        <w:t>и инженерно-саперного батальона «</w:t>
      </w:r>
      <w:proofErr w:type="spellStart"/>
      <w:r w:rsidRPr="00AA46F9">
        <w:rPr>
          <w:rFonts w:ascii="PT Astra Serif" w:hAnsi="PT Astra Serif"/>
          <w:szCs w:val="28"/>
        </w:rPr>
        <w:t>Свияга</w:t>
      </w:r>
      <w:proofErr w:type="spellEnd"/>
      <w:r w:rsidRPr="00AA46F9">
        <w:rPr>
          <w:rFonts w:ascii="PT Astra Serif" w:hAnsi="PT Astra Serif"/>
          <w:szCs w:val="28"/>
        </w:rPr>
        <w:t>».</w:t>
      </w:r>
      <w:r>
        <w:rPr>
          <w:rFonts w:ascii="PT Astra Serif" w:hAnsi="PT Astra Serif"/>
          <w:szCs w:val="28"/>
        </w:rPr>
        <w:t xml:space="preserve"> </w:t>
      </w:r>
      <w:r w:rsidRPr="00AA46F9">
        <w:rPr>
          <w:rFonts w:ascii="PT Astra Serif" w:hAnsi="PT Astra Serif"/>
          <w:szCs w:val="28"/>
        </w:rPr>
        <w:t>Выставочный проект объединяет 160 экспонатов и фотодокументальных материалов, и регулярно пополняется новыми поступлениями.</w:t>
      </w:r>
      <w:r>
        <w:rPr>
          <w:rFonts w:ascii="PT Astra Serif" w:hAnsi="PT Astra Serif"/>
          <w:szCs w:val="28"/>
        </w:rPr>
        <w:t xml:space="preserve"> В</w:t>
      </w:r>
      <w:r w:rsidRPr="00AA46F9">
        <w:rPr>
          <w:rFonts w:ascii="PT Astra Serif" w:hAnsi="PT Astra Serif"/>
          <w:szCs w:val="28"/>
        </w:rPr>
        <w:t>ыставка «Донбасс – Россия: история и современность» - проект Федерального государственного бюджетного учреждения культуры «Государственный центральный музей современной истории России» (</w:t>
      </w:r>
      <w:proofErr w:type="spellStart"/>
      <w:r w:rsidRPr="00AA46F9">
        <w:rPr>
          <w:rFonts w:ascii="PT Astra Serif" w:hAnsi="PT Astra Serif"/>
          <w:szCs w:val="28"/>
        </w:rPr>
        <w:t>г.Москва</w:t>
      </w:r>
      <w:proofErr w:type="spellEnd"/>
      <w:r w:rsidRPr="00AA46F9">
        <w:rPr>
          <w:rFonts w:ascii="PT Astra Serif" w:hAnsi="PT Astra Serif"/>
          <w:szCs w:val="28"/>
        </w:rPr>
        <w:t>) - работала в выставочном зале ОГБУК «Ульяновский областной краеведческий музей имени И.А.</w:t>
      </w:r>
      <w:r>
        <w:rPr>
          <w:rFonts w:ascii="PT Astra Serif" w:hAnsi="PT Astra Serif"/>
          <w:szCs w:val="28"/>
        </w:rPr>
        <w:t> </w:t>
      </w:r>
      <w:r w:rsidRPr="00AA46F9">
        <w:rPr>
          <w:rFonts w:ascii="PT Astra Serif" w:hAnsi="PT Astra Serif"/>
          <w:szCs w:val="28"/>
        </w:rPr>
        <w:t>Гончарова»</w:t>
      </w:r>
      <w:r>
        <w:rPr>
          <w:rFonts w:ascii="PT Astra Serif" w:hAnsi="PT Astra Serif"/>
          <w:szCs w:val="28"/>
        </w:rPr>
        <w:t xml:space="preserve"> </w:t>
      </w:r>
      <w:r w:rsidRPr="00AA46F9">
        <w:rPr>
          <w:rFonts w:ascii="PT Astra Serif" w:hAnsi="PT Astra Serif"/>
          <w:szCs w:val="28"/>
        </w:rPr>
        <w:t>при поддержке Министерства культуры Российской Федерации, Автономной некоммерческой организации дополнительного образования</w:t>
      </w:r>
      <w:r>
        <w:rPr>
          <w:rFonts w:ascii="PT Astra Serif" w:hAnsi="PT Astra Serif"/>
          <w:szCs w:val="28"/>
        </w:rPr>
        <w:t xml:space="preserve"> </w:t>
      </w:r>
      <w:r w:rsidRPr="00AA46F9">
        <w:rPr>
          <w:rFonts w:ascii="PT Astra Serif" w:hAnsi="PT Astra Serif"/>
          <w:szCs w:val="28"/>
        </w:rPr>
        <w:t>«Центр просветительских проектов» и Российского исторического общества.</w:t>
      </w:r>
      <w:r>
        <w:rPr>
          <w:rFonts w:ascii="PT Astra Serif" w:hAnsi="PT Astra Serif"/>
          <w:szCs w:val="28"/>
        </w:rPr>
        <w:t xml:space="preserve"> </w:t>
      </w:r>
      <w:r w:rsidRPr="00AA46F9">
        <w:rPr>
          <w:rFonts w:ascii="PT Astra Serif" w:hAnsi="PT Astra Serif"/>
          <w:szCs w:val="28"/>
        </w:rPr>
        <w:t>Выставк</w:t>
      </w:r>
      <w:r>
        <w:rPr>
          <w:rFonts w:ascii="PT Astra Serif" w:hAnsi="PT Astra Serif"/>
          <w:szCs w:val="28"/>
        </w:rPr>
        <w:t>и</w:t>
      </w:r>
      <w:r w:rsidRPr="00AA46F9">
        <w:rPr>
          <w:rFonts w:ascii="PT Astra Serif" w:hAnsi="PT Astra Serif"/>
          <w:szCs w:val="28"/>
        </w:rPr>
        <w:t xml:space="preserve"> посетили более </w:t>
      </w:r>
      <w:r>
        <w:rPr>
          <w:rFonts w:ascii="PT Astra Serif" w:hAnsi="PT Astra Serif"/>
          <w:szCs w:val="28"/>
        </w:rPr>
        <w:t>6</w:t>
      </w:r>
      <w:r w:rsidRPr="00AA46F9">
        <w:rPr>
          <w:rFonts w:ascii="PT Astra Serif" w:hAnsi="PT Astra Serif"/>
          <w:szCs w:val="28"/>
        </w:rPr>
        <w:t xml:space="preserve"> тыс. </w:t>
      </w:r>
      <w:proofErr w:type="spellStart"/>
      <w:r>
        <w:rPr>
          <w:rFonts w:ascii="PT Astra Serif" w:hAnsi="PT Astra Serif"/>
          <w:szCs w:val="28"/>
        </w:rPr>
        <w:t>ульяновцев</w:t>
      </w:r>
      <w:proofErr w:type="spellEnd"/>
      <w:r>
        <w:rPr>
          <w:rFonts w:ascii="PT Astra Serif" w:hAnsi="PT Astra Serif"/>
          <w:szCs w:val="28"/>
        </w:rPr>
        <w:t>.</w:t>
      </w:r>
    </w:p>
    <w:p w14:paraId="32289996" w14:textId="58AEAEEA" w:rsidR="00A37318" w:rsidRDefault="00A37318" w:rsidP="00A37318">
      <w:pPr>
        <w:widowControl w:val="0"/>
        <w:rPr>
          <w:rFonts w:ascii="PT Astra Serif" w:hAnsi="PT Astra Serif"/>
          <w:szCs w:val="28"/>
        </w:rPr>
      </w:pPr>
      <w:r w:rsidRPr="00B60A12">
        <w:rPr>
          <w:rFonts w:ascii="PT Astra Serif" w:hAnsi="PT Astra Serif"/>
          <w:szCs w:val="28"/>
        </w:rPr>
        <w:t>Всероссийск</w:t>
      </w:r>
      <w:r>
        <w:rPr>
          <w:rFonts w:ascii="PT Astra Serif" w:hAnsi="PT Astra Serif"/>
          <w:szCs w:val="28"/>
        </w:rPr>
        <w:t>ий</w:t>
      </w:r>
      <w:r w:rsidRPr="00B60A12">
        <w:rPr>
          <w:rFonts w:ascii="PT Astra Serif" w:hAnsi="PT Astra Serif"/>
          <w:szCs w:val="28"/>
        </w:rPr>
        <w:t xml:space="preserve"> книжн</w:t>
      </w:r>
      <w:r>
        <w:rPr>
          <w:rFonts w:ascii="PT Astra Serif" w:hAnsi="PT Astra Serif"/>
          <w:szCs w:val="28"/>
        </w:rPr>
        <w:t>ый</w:t>
      </w:r>
      <w:r w:rsidRPr="00B60A12">
        <w:rPr>
          <w:rFonts w:ascii="PT Astra Serif" w:hAnsi="PT Astra Serif"/>
          <w:szCs w:val="28"/>
        </w:rPr>
        <w:t xml:space="preserve"> форум «Годы войны – века памяти» на три дня </w:t>
      </w:r>
      <w:r>
        <w:rPr>
          <w:rFonts w:ascii="PT Astra Serif" w:hAnsi="PT Astra Serif"/>
          <w:szCs w:val="28"/>
        </w:rPr>
        <w:t xml:space="preserve">в сентябре </w:t>
      </w:r>
      <w:r w:rsidRPr="00B60A12">
        <w:rPr>
          <w:rFonts w:ascii="PT Astra Serif" w:hAnsi="PT Astra Serif"/>
          <w:szCs w:val="28"/>
        </w:rPr>
        <w:t>стал центром притяжения для всех, для кого книга — это профессия, ставшая призванием – писатели, библиотекари, архивисты, иллюстраторы и просветители</w:t>
      </w:r>
      <w:r>
        <w:rPr>
          <w:rFonts w:ascii="PT Astra Serif" w:hAnsi="PT Astra Serif"/>
          <w:szCs w:val="28"/>
        </w:rPr>
        <w:t xml:space="preserve">. </w:t>
      </w:r>
      <w:r w:rsidRPr="00056F5E">
        <w:rPr>
          <w:rFonts w:ascii="PT Astra Serif" w:hAnsi="PT Astra Serif"/>
          <w:szCs w:val="28"/>
        </w:rPr>
        <w:t>Состоялась конференция «Строки, рождённые войной», где библиотекари, педагоги, писатели и издатели из 24 регионов Российской Федерации поделились опытом по сохранению исторической памяти и патриотическому воспитанию подрастающего поколения. Прошла творческая встреча с писательницей Фаиной Савенковой</w:t>
      </w:r>
      <w:r>
        <w:rPr>
          <w:rFonts w:ascii="PT Astra Serif" w:hAnsi="PT Astra Serif"/>
          <w:szCs w:val="28"/>
        </w:rPr>
        <w:t xml:space="preserve"> (ЛНР)</w:t>
      </w:r>
      <w:r w:rsidRPr="00056F5E">
        <w:rPr>
          <w:rFonts w:ascii="PT Astra Serif" w:hAnsi="PT Astra Serif"/>
          <w:szCs w:val="28"/>
        </w:rPr>
        <w:t xml:space="preserve">. Начальник УМВД России по Ульяновской области генерал-майор полиции Максим Петрушин представил участникам форума патриотические проекты, которые создают сотрудники ульяновской полиции. Была представлена книга «Чтобы помнили», подготовленная Государственным архивом новейшей истории </w:t>
      </w:r>
      <w:r>
        <w:rPr>
          <w:rFonts w:ascii="PT Astra Serif" w:hAnsi="PT Astra Serif"/>
          <w:szCs w:val="28"/>
        </w:rPr>
        <w:br/>
      </w:r>
      <w:r w:rsidRPr="00056F5E">
        <w:rPr>
          <w:rFonts w:ascii="PT Astra Serif" w:hAnsi="PT Astra Serif"/>
          <w:szCs w:val="28"/>
        </w:rPr>
        <w:t xml:space="preserve">и Государственным архивом Ульяновской области. Сборник включает в себя переписку и воспоминания </w:t>
      </w:r>
      <w:proofErr w:type="spellStart"/>
      <w:r w:rsidRPr="00056F5E">
        <w:rPr>
          <w:rFonts w:ascii="PT Astra Serif" w:hAnsi="PT Astra Serif"/>
          <w:szCs w:val="28"/>
        </w:rPr>
        <w:t>ульяновцев</w:t>
      </w:r>
      <w:proofErr w:type="spellEnd"/>
      <w:r w:rsidRPr="00056F5E">
        <w:rPr>
          <w:rFonts w:ascii="PT Astra Serif" w:hAnsi="PT Astra Serif"/>
          <w:szCs w:val="28"/>
        </w:rPr>
        <w:t>, прошедших через фашистские концлагеря в годы Великой Отечественной войны.</w:t>
      </w:r>
    </w:p>
    <w:p w14:paraId="5A98DEEA" w14:textId="77777777" w:rsidR="00A37318" w:rsidRDefault="00A37318" w:rsidP="00A37318">
      <w:pPr>
        <w:widowControl w:val="0"/>
        <w:rPr>
          <w:rFonts w:ascii="PT Astra Serif" w:hAnsi="PT Astra Serif"/>
          <w:szCs w:val="28"/>
        </w:rPr>
      </w:pPr>
      <w:r w:rsidRPr="0066395C">
        <w:rPr>
          <w:rFonts w:ascii="PT Astra Serif" w:hAnsi="PT Astra Serif"/>
          <w:szCs w:val="28"/>
        </w:rPr>
        <w:t>Книжная ярмарка нового формата «Герои на все времен</w:t>
      </w:r>
      <w:r>
        <w:rPr>
          <w:rFonts w:ascii="PT Astra Serif" w:hAnsi="PT Astra Serif"/>
          <w:szCs w:val="28"/>
        </w:rPr>
        <w:t>а</w:t>
      </w:r>
      <w:r w:rsidRPr="0066395C">
        <w:rPr>
          <w:rFonts w:ascii="PT Astra Serif" w:hAnsi="PT Astra Serif"/>
          <w:szCs w:val="28"/>
        </w:rPr>
        <w:t>» при поддержке Союза писателей России</w:t>
      </w:r>
      <w:r>
        <w:rPr>
          <w:rFonts w:ascii="PT Astra Serif" w:hAnsi="PT Astra Serif"/>
          <w:szCs w:val="28"/>
        </w:rPr>
        <w:t xml:space="preserve"> состоялась в Декаду Отечественной истории на</w:t>
      </w:r>
      <w:r w:rsidRPr="0066395C">
        <w:rPr>
          <w:rFonts w:ascii="PT Astra Serif" w:hAnsi="PT Astra Serif"/>
          <w:szCs w:val="28"/>
        </w:rPr>
        <w:t xml:space="preserve"> территории ТРЦ «</w:t>
      </w:r>
      <w:proofErr w:type="spellStart"/>
      <w:r w:rsidRPr="0066395C">
        <w:rPr>
          <w:rFonts w:ascii="PT Astra Serif" w:hAnsi="PT Astra Serif"/>
          <w:szCs w:val="28"/>
        </w:rPr>
        <w:t>Аквамолл</w:t>
      </w:r>
      <w:proofErr w:type="spellEnd"/>
      <w:r w:rsidRPr="0066395C">
        <w:rPr>
          <w:rFonts w:ascii="PT Astra Serif" w:hAnsi="PT Astra Serif"/>
          <w:szCs w:val="28"/>
        </w:rPr>
        <w:t xml:space="preserve">». </w:t>
      </w:r>
      <w:r>
        <w:rPr>
          <w:rFonts w:ascii="PT Astra Serif" w:hAnsi="PT Astra Serif"/>
          <w:szCs w:val="28"/>
        </w:rPr>
        <w:t>Т</w:t>
      </w:r>
      <w:r w:rsidRPr="0066395C">
        <w:rPr>
          <w:rFonts w:ascii="PT Astra Serif" w:hAnsi="PT Astra Serif"/>
          <w:szCs w:val="28"/>
        </w:rPr>
        <w:t xml:space="preserve">ворческие встречи с российскими писателями нового времени из городов Липецк, Волжск, Краснодар, Пермь, Москва; презентации книг, кинопоказы, мастер-классы, выставка-продажа книг ведущих издательств («Издательский дом «Марийское книжное издательство», АНО «Издательский дом </w:t>
      </w:r>
      <w:proofErr w:type="spellStart"/>
      <w:r w:rsidRPr="0066395C">
        <w:rPr>
          <w:rFonts w:ascii="PT Astra Serif" w:hAnsi="PT Astra Serif"/>
          <w:szCs w:val="28"/>
        </w:rPr>
        <w:t>Вахромеева</w:t>
      </w:r>
      <w:proofErr w:type="spellEnd"/>
      <w:r w:rsidRPr="0066395C">
        <w:rPr>
          <w:rFonts w:ascii="PT Astra Serif" w:hAnsi="PT Astra Serif"/>
          <w:szCs w:val="28"/>
        </w:rPr>
        <w:t>», ООО «Проспект», Издательская группа «Союз писателей», «Мордовское книжное издательство», «Татарское книжное издательство»</w:t>
      </w:r>
      <w:r>
        <w:rPr>
          <w:rFonts w:ascii="PT Astra Serif" w:hAnsi="PT Astra Serif"/>
          <w:szCs w:val="28"/>
        </w:rPr>
        <w:t xml:space="preserve"> и др.</w:t>
      </w:r>
      <w:r w:rsidRPr="0066395C">
        <w:rPr>
          <w:rFonts w:ascii="PT Astra Serif" w:hAnsi="PT Astra Serif"/>
          <w:szCs w:val="28"/>
        </w:rPr>
        <w:t>).</w:t>
      </w:r>
      <w:r>
        <w:rPr>
          <w:rFonts w:ascii="PT Astra Serif" w:hAnsi="PT Astra Serif"/>
          <w:szCs w:val="28"/>
        </w:rPr>
        <w:t xml:space="preserve"> Это был хороший опыт, успешная книжная торговля, и подтверждение нашей территории, как территории книги и чтения. </w:t>
      </w:r>
    </w:p>
    <w:p w14:paraId="35ACA587" w14:textId="14491CC2" w:rsidR="00A37318" w:rsidRDefault="00A37318" w:rsidP="00A37318">
      <w:pPr>
        <w:widowControl w:val="0"/>
        <w:rPr>
          <w:rFonts w:ascii="PT Astra Serif" w:hAnsi="PT Astra Serif"/>
          <w:szCs w:val="28"/>
        </w:rPr>
      </w:pPr>
      <w:r>
        <w:rPr>
          <w:rFonts w:ascii="PT Astra Serif" w:hAnsi="PT Astra Serif"/>
          <w:szCs w:val="28"/>
        </w:rPr>
        <w:t>В</w:t>
      </w:r>
      <w:r w:rsidRPr="00A64E09">
        <w:rPr>
          <w:rFonts w:ascii="PT Astra Serif" w:hAnsi="PT Astra Serif"/>
          <w:szCs w:val="28"/>
        </w:rPr>
        <w:t xml:space="preserve"> Год защитника Отечества ульяновская отрасль культуры продемонстрировала свою уникальную роль в укреплении патриотического духа и сохранении исторической памяти</w:t>
      </w:r>
      <w:r>
        <w:rPr>
          <w:rFonts w:ascii="PT Astra Serif" w:hAnsi="PT Astra Serif"/>
          <w:szCs w:val="28"/>
        </w:rPr>
        <w:t xml:space="preserve">, </w:t>
      </w:r>
      <w:r w:rsidRPr="00A64E09">
        <w:rPr>
          <w:rFonts w:ascii="PT Astra Serif" w:hAnsi="PT Astra Serif"/>
          <w:szCs w:val="28"/>
        </w:rPr>
        <w:t xml:space="preserve">поддержку ветеранов </w:t>
      </w:r>
      <w:r>
        <w:rPr>
          <w:rFonts w:ascii="PT Astra Serif" w:hAnsi="PT Astra Serif"/>
          <w:szCs w:val="28"/>
        </w:rPr>
        <w:br/>
      </w:r>
      <w:r w:rsidRPr="00A64E09">
        <w:rPr>
          <w:rFonts w:ascii="PT Astra Serif" w:hAnsi="PT Astra Serif"/>
          <w:szCs w:val="28"/>
        </w:rPr>
        <w:t>и военнослужащих.</w:t>
      </w:r>
    </w:p>
    <w:p w14:paraId="79CF2D23" w14:textId="08398F38" w:rsidR="00AD36CF" w:rsidRDefault="00AD36CF" w:rsidP="00FA7D1D">
      <w:pPr>
        <w:widowControl w:val="0"/>
        <w:contextualSpacing/>
        <w:rPr>
          <w:rFonts w:ascii="PT Astra Serif" w:eastAsia="Times New Roman" w:hAnsi="PT Astra Serif"/>
          <w:bCs/>
          <w:szCs w:val="28"/>
          <w:highlight w:val="green"/>
          <w:lang w:eastAsia="ru-RU"/>
        </w:rPr>
      </w:pPr>
    </w:p>
    <w:p w14:paraId="23381024" w14:textId="77777777" w:rsidR="008D5740" w:rsidRDefault="008D5740" w:rsidP="00FA7D1D">
      <w:pPr>
        <w:widowControl w:val="0"/>
        <w:contextualSpacing/>
        <w:rPr>
          <w:rFonts w:ascii="PT Astra Serif" w:eastAsia="Times New Roman" w:hAnsi="PT Astra Serif"/>
          <w:bCs/>
          <w:szCs w:val="28"/>
          <w:highlight w:val="green"/>
          <w:lang w:eastAsia="ru-RU"/>
        </w:rPr>
      </w:pPr>
    </w:p>
    <w:p w14:paraId="44B693A5" w14:textId="77777777" w:rsidR="00037E81" w:rsidRDefault="00037E81" w:rsidP="00FA7D1D">
      <w:pPr>
        <w:widowControl w:val="0"/>
        <w:contextualSpacing/>
        <w:rPr>
          <w:rFonts w:ascii="PT Astra Serif" w:eastAsia="Times New Roman" w:hAnsi="PT Astra Serif"/>
          <w:bCs/>
          <w:szCs w:val="28"/>
          <w:highlight w:val="green"/>
          <w:lang w:eastAsia="ru-RU"/>
        </w:rPr>
      </w:pPr>
    </w:p>
    <w:p w14:paraId="70EAE44F" w14:textId="7FAFE241" w:rsidR="00F9104F" w:rsidRDefault="00F9104F" w:rsidP="00F9104F">
      <w:pPr>
        <w:widowControl w:val="0"/>
        <w:ind w:firstLine="0"/>
        <w:jc w:val="center"/>
        <w:rPr>
          <w:rFonts w:ascii="PT Astra Serif" w:hAnsi="PT Astra Serif"/>
          <w:b/>
          <w:i/>
          <w:iCs/>
          <w:szCs w:val="28"/>
        </w:rPr>
      </w:pPr>
      <w:r w:rsidRPr="002A54CA">
        <w:rPr>
          <w:rFonts w:ascii="PT Astra Serif" w:hAnsi="PT Astra Serif"/>
          <w:b/>
          <w:i/>
          <w:iCs/>
          <w:szCs w:val="28"/>
        </w:rPr>
        <w:lastRenderedPageBreak/>
        <w:t>Результаты независимой оценка качества условий оказания услуг учреждениями культуры</w:t>
      </w:r>
    </w:p>
    <w:p w14:paraId="1987E66E" w14:textId="77777777" w:rsidR="00F9104F" w:rsidRPr="002A54CA" w:rsidRDefault="00F9104F" w:rsidP="00F9104F">
      <w:pPr>
        <w:widowControl w:val="0"/>
        <w:ind w:firstLine="0"/>
        <w:jc w:val="center"/>
        <w:rPr>
          <w:rFonts w:ascii="PT Astra Serif" w:hAnsi="PT Astra Serif"/>
          <w:b/>
          <w:i/>
          <w:iCs/>
          <w:szCs w:val="28"/>
        </w:rPr>
      </w:pPr>
    </w:p>
    <w:p w14:paraId="7E45A2CE" w14:textId="77777777" w:rsidR="00F9104F" w:rsidRPr="00F4544B" w:rsidRDefault="00F9104F" w:rsidP="00F9104F">
      <w:pPr>
        <w:widowControl w:val="0"/>
        <w:rPr>
          <w:rFonts w:ascii="PT Astra Serif" w:hAnsi="PT Astra Serif"/>
          <w:szCs w:val="28"/>
        </w:rPr>
      </w:pPr>
      <w:r w:rsidRPr="00F4544B">
        <w:rPr>
          <w:rFonts w:ascii="PT Astra Serif" w:hAnsi="PT Astra Serif"/>
          <w:szCs w:val="28"/>
        </w:rPr>
        <w:t xml:space="preserve">Независимая оценка качества условий оказания услуг организациями культуры Ульяновской области (далее – независимая оценка) в 2025 году, как и в предыдущие годы, проводилась на основании положений Федерального закона от 05.12.2017 №392-ФЗ «О внесении изменений в отдельные законодательные акты Российской Федерации по вопросам совершенствования проведения независимой оценки качества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w:t>
      </w:r>
    </w:p>
    <w:p w14:paraId="5083BFA2" w14:textId="77777777" w:rsidR="00F9104F" w:rsidRPr="00F4544B" w:rsidRDefault="00F9104F" w:rsidP="00F9104F">
      <w:pPr>
        <w:widowControl w:val="0"/>
        <w:rPr>
          <w:rFonts w:ascii="PT Astra Serif" w:hAnsi="PT Astra Serif"/>
          <w:szCs w:val="28"/>
        </w:rPr>
      </w:pPr>
      <w:r w:rsidRPr="00F4544B">
        <w:rPr>
          <w:rFonts w:ascii="PT Astra Serif" w:hAnsi="PT Astra Serif"/>
          <w:szCs w:val="28"/>
        </w:rPr>
        <w:t xml:space="preserve">Оценке по срокам её проведения в 2025 году </w:t>
      </w:r>
      <w:r w:rsidRPr="00F4544B">
        <w:rPr>
          <w:rFonts w:ascii="PT Astra Serif" w:hAnsi="PT Astra Serif"/>
          <w:szCs w:val="28"/>
          <w:lang w:eastAsia="ru-RU"/>
        </w:rPr>
        <w:t xml:space="preserve">подлежали 53 </w:t>
      </w:r>
      <w:r w:rsidRPr="00F4544B">
        <w:rPr>
          <w:rFonts w:ascii="PT Astra Serif" w:hAnsi="PT Astra Serif"/>
          <w:szCs w:val="28"/>
        </w:rPr>
        <w:t>муниципальных учреждения культуры</w:t>
      </w:r>
      <w:r w:rsidRPr="00F4544B">
        <w:rPr>
          <w:rFonts w:ascii="PT Astra Serif" w:hAnsi="PT Astra Serif"/>
          <w:szCs w:val="28"/>
          <w:lang w:eastAsia="ru-RU"/>
        </w:rPr>
        <w:t xml:space="preserve"> в 18 муниципальных образований</w:t>
      </w:r>
      <w:bookmarkStart w:id="28" w:name="_Hlk159498235"/>
      <w:r w:rsidRPr="00F4544B">
        <w:rPr>
          <w:rFonts w:ascii="PT Astra Serif" w:hAnsi="PT Astra Serif"/>
          <w:szCs w:val="28"/>
          <w:lang w:eastAsia="ru-RU"/>
        </w:rPr>
        <w:t xml:space="preserve"> Ульяновской области: Радищевский, Сенгилеевский, Чердаклинский, Павловский, Майнский, Старомайнский, Мелекесский, Новомалыклинский, Цильнинский, Старокулаткинский, Ульяновский, Барышский, Базарносызганский, Вешкаймский и Кузоватовский районы</w:t>
      </w:r>
      <w:bookmarkEnd w:id="28"/>
      <w:r w:rsidRPr="00F4544B">
        <w:rPr>
          <w:rFonts w:ascii="PT Astra Serif" w:hAnsi="PT Astra Serif"/>
          <w:szCs w:val="28"/>
          <w:lang w:eastAsia="ru-RU"/>
        </w:rPr>
        <w:t>, также города Ульяновск, Димитровград и Новоульяновск.</w:t>
      </w:r>
    </w:p>
    <w:p w14:paraId="695B7AFF" w14:textId="77777777" w:rsidR="00F9104F" w:rsidRPr="002A54CA" w:rsidRDefault="00F9104F" w:rsidP="00F9104F">
      <w:pPr>
        <w:widowControl w:val="0"/>
        <w:rPr>
          <w:rFonts w:ascii="PT Astra Serif" w:hAnsi="PT Astra Serif"/>
          <w:szCs w:val="28"/>
          <w:lang w:eastAsia="ru-RU"/>
        </w:rPr>
      </w:pPr>
      <w:r w:rsidRPr="002A54CA">
        <w:rPr>
          <w:rFonts w:ascii="PT Astra Serif" w:hAnsi="PT Astra Serif"/>
          <w:szCs w:val="28"/>
          <w:lang w:eastAsia="ru-RU"/>
        </w:rPr>
        <w:t>Все сведения размещены на официальном сайте для размещения информации о государственных и муниципальных учреждениях в сети «Интернет» bus.gov.ru.</w:t>
      </w:r>
    </w:p>
    <w:p w14:paraId="758A7DF9" w14:textId="3846F3CD" w:rsidR="00F9104F" w:rsidRPr="002A54CA" w:rsidRDefault="00F9104F" w:rsidP="00F9104F">
      <w:pPr>
        <w:widowControl w:val="0"/>
        <w:rPr>
          <w:rFonts w:ascii="PT Astra Serif" w:hAnsi="PT Astra Serif"/>
          <w:szCs w:val="28"/>
        </w:rPr>
      </w:pPr>
      <w:r w:rsidRPr="002A54CA">
        <w:rPr>
          <w:rFonts w:ascii="PT Astra Serif" w:hAnsi="PT Astra Serif"/>
          <w:szCs w:val="28"/>
          <w:lang w:eastAsia="ru-RU"/>
        </w:rPr>
        <w:t xml:space="preserve">В </w:t>
      </w:r>
      <w:r>
        <w:rPr>
          <w:rFonts w:ascii="PT Astra Serif" w:hAnsi="PT Astra Serif"/>
          <w:szCs w:val="28"/>
          <w:lang w:eastAsia="ru-RU"/>
        </w:rPr>
        <w:t>2025</w:t>
      </w:r>
      <w:r w:rsidRPr="002A54CA">
        <w:rPr>
          <w:rFonts w:ascii="PT Astra Serif" w:hAnsi="PT Astra Serif"/>
          <w:szCs w:val="28"/>
          <w:lang w:eastAsia="ru-RU"/>
        </w:rPr>
        <w:t xml:space="preserve"> году при проведении независимой оценки использовался приказ Минтруда России от 31.05.2018 №</w:t>
      </w:r>
      <w:r>
        <w:rPr>
          <w:rFonts w:ascii="PT Astra Serif" w:hAnsi="PT Astra Serif"/>
          <w:szCs w:val="28"/>
          <w:lang w:eastAsia="ru-RU"/>
        </w:rPr>
        <w:t> </w:t>
      </w:r>
      <w:r w:rsidRPr="002A54CA">
        <w:rPr>
          <w:rFonts w:ascii="PT Astra Serif" w:hAnsi="PT Astra Serif"/>
          <w:szCs w:val="28"/>
          <w:lang w:eastAsia="ru-RU"/>
        </w:rPr>
        <w:t>344н «Об утверждении единого порядка расчёта показателей, характеризующих общие критерии оценки качества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приказ Министерства культуры Российской Федерации от 27.04.2018 №</w:t>
      </w:r>
      <w:r>
        <w:rPr>
          <w:rFonts w:ascii="PT Astra Serif" w:hAnsi="PT Astra Serif"/>
          <w:szCs w:val="28"/>
          <w:lang w:eastAsia="ru-RU"/>
        </w:rPr>
        <w:t> </w:t>
      </w:r>
      <w:r w:rsidRPr="002A54CA">
        <w:rPr>
          <w:rFonts w:ascii="PT Astra Serif" w:hAnsi="PT Astra Serif"/>
          <w:szCs w:val="28"/>
          <w:lang w:eastAsia="ru-RU"/>
        </w:rPr>
        <w:t>599 «Об утверждении показателей, характеризующих общие критерии оценки качества условий оказания услуг организациями культуры».</w:t>
      </w:r>
      <w:r w:rsidRPr="002A54CA">
        <w:rPr>
          <w:rFonts w:ascii="PT Astra Serif" w:hAnsi="PT Astra Serif"/>
          <w:szCs w:val="28"/>
        </w:rPr>
        <w:t xml:space="preserve"> Использовались только общие критерии, дополнительные критерии не устанавливались.</w:t>
      </w:r>
    </w:p>
    <w:p w14:paraId="5D0FA487" w14:textId="2C6FA44C" w:rsidR="00F9104F" w:rsidRPr="006E48B4" w:rsidRDefault="00F9104F" w:rsidP="00F9104F">
      <w:pPr>
        <w:widowControl w:val="0"/>
        <w:rPr>
          <w:rFonts w:ascii="PT Astra Serif" w:hAnsi="PT Astra Serif"/>
          <w:szCs w:val="28"/>
        </w:rPr>
      </w:pPr>
      <w:r w:rsidRPr="006E48B4">
        <w:rPr>
          <w:rFonts w:ascii="PT Astra Serif" w:hAnsi="PT Astra Serif"/>
          <w:b/>
          <w:bCs/>
          <w:szCs w:val="28"/>
        </w:rPr>
        <w:t>Итоговая оценка</w:t>
      </w:r>
      <w:r w:rsidRPr="006E48B4">
        <w:rPr>
          <w:rFonts w:ascii="PT Astra Serif" w:hAnsi="PT Astra Serif"/>
          <w:szCs w:val="28"/>
        </w:rPr>
        <w:t xml:space="preserve"> качества условий оказания услуг по итогам 2024</w:t>
      </w:r>
      <w:r>
        <w:rPr>
          <w:rFonts w:ascii="PT Astra Serif" w:hAnsi="PT Astra Serif"/>
          <w:szCs w:val="28"/>
        </w:rPr>
        <w:t xml:space="preserve"> -</w:t>
      </w:r>
      <w:r w:rsidRPr="006E48B4">
        <w:rPr>
          <w:rFonts w:ascii="PT Astra Serif" w:hAnsi="PT Astra Serif"/>
          <w:szCs w:val="28"/>
        </w:rPr>
        <w:t xml:space="preserve">2025 годов составила </w:t>
      </w:r>
      <w:r w:rsidRPr="006E48B4">
        <w:rPr>
          <w:rFonts w:ascii="PT Astra Serif" w:hAnsi="PT Astra Serif"/>
          <w:b/>
          <w:bCs/>
          <w:szCs w:val="28"/>
        </w:rPr>
        <w:t>88,22 балла из 100</w:t>
      </w:r>
      <w:r w:rsidRPr="006E48B4">
        <w:rPr>
          <w:rFonts w:ascii="PT Astra Serif" w:hAnsi="PT Astra Serif"/>
          <w:szCs w:val="28"/>
        </w:rPr>
        <w:t>.</w:t>
      </w:r>
    </w:p>
    <w:p w14:paraId="3C27BE9D" w14:textId="08DD6007" w:rsidR="00F9104F" w:rsidRPr="006E48B4" w:rsidRDefault="00F9104F" w:rsidP="00F9104F">
      <w:pPr>
        <w:widowControl w:val="0"/>
        <w:rPr>
          <w:rFonts w:ascii="PT Astra Serif" w:hAnsi="PT Astra Serif"/>
          <w:szCs w:val="28"/>
        </w:rPr>
      </w:pPr>
      <w:bookmarkStart w:id="29" w:name="_Hlk159428903"/>
      <w:r w:rsidRPr="006E48B4">
        <w:rPr>
          <w:rFonts w:ascii="PT Astra Serif" w:hAnsi="PT Astra Serif"/>
          <w:szCs w:val="28"/>
        </w:rPr>
        <w:t>По сравнению с предыдущей трёхлеткой (2021</w:t>
      </w:r>
      <w:r w:rsidR="001D3D61">
        <w:rPr>
          <w:rFonts w:ascii="PT Astra Serif" w:hAnsi="PT Astra Serif"/>
          <w:szCs w:val="28"/>
        </w:rPr>
        <w:t xml:space="preserve"> </w:t>
      </w:r>
      <w:r w:rsidRPr="006E48B4">
        <w:rPr>
          <w:rFonts w:ascii="PT Astra Serif" w:hAnsi="PT Astra Serif"/>
          <w:szCs w:val="28"/>
        </w:rPr>
        <w:t>-</w:t>
      </w:r>
      <w:r w:rsidR="001D3D61">
        <w:rPr>
          <w:rFonts w:ascii="PT Astra Serif" w:hAnsi="PT Astra Serif"/>
          <w:szCs w:val="28"/>
        </w:rPr>
        <w:t xml:space="preserve"> </w:t>
      </w:r>
      <w:r w:rsidRPr="006E48B4">
        <w:rPr>
          <w:rFonts w:ascii="PT Astra Serif" w:hAnsi="PT Astra Serif"/>
          <w:szCs w:val="28"/>
        </w:rPr>
        <w:t>2023) рост итоговой оценки за 2024</w:t>
      </w:r>
      <w:r w:rsidR="001D3D61">
        <w:rPr>
          <w:rFonts w:ascii="PT Astra Serif" w:hAnsi="PT Astra Serif"/>
          <w:szCs w:val="28"/>
        </w:rPr>
        <w:t xml:space="preserve"> </w:t>
      </w:r>
      <w:r w:rsidRPr="006E48B4">
        <w:rPr>
          <w:rFonts w:ascii="PT Astra Serif" w:hAnsi="PT Astra Serif"/>
          <w:szCs w:val="28"/>
        </w:rPr>
        <w:t>-</w:t>
      </w:r>
      <w:r w:rsidR="001D3D61">
        <w:rPr>
          <w:rFonts w:ascii="PT Astra Serif" w:hAnsi="PT Astra Serif"/>
          <w:szCs w:val="28"/>
        </w:rPr>
        <w:t xml:space="preserve"> </w:t>
      </w:r>
      <w:r w:rsidRPr="006E48B4">
        <w:rPr>
          <w:rFonts w:ascii="PT Astra Serif" w:hAnsi="PT Astra Serif"/>
          <w:szCs w:val="28"/>
        </w:rPr>
        <w:t>2025 годы составил 104,7% или 3,9 балла. Увеличение произошло почти по каждому критерию, небольшое снижение есть по показателю «Доброжелательность, вежливость работников организаций» на 1,9 балла:</w:t>
      </w:r>
    </w:p>
    <w:p w14:paraId="5BC85244" w14:textId="23599DE7" w:rsidR="00F9104F" w:rsidRPr="006E48B4" w:rsidRDefault="00F9104F" w:rsidP="00F9104F">
      <w:pPr>
        <w:widowControl w:val="0"/>
        <w:rPr>
          <w:rFonts w:ascii="PT Astra Serif" w:hAnsi="PT Astra Serif"/>
          <w:szCs w:val="28"/>
          <w:lang w:eastAsia="ru-RU"/>
        </w:rPr>
      </w:pPr>
      <w:bookmarkStart w:id="30" w:name="_Hlk159428926"/>
      <w:bookmarkEnd w:id="29"/>
      <w:r w:rsidRPr="006E48B4">
        <w:rPr>
          <w:rFonts w:ascii="PT Astra Serif" w:hAnsi="PT Astra Serif"/>
          <w:szCs w:val="28"/>
          <w:lang w:eastAsia="ru-RU"/>
        </w:rPr>
        <w:t>открытость и доступность информации об организации – 89,15 баллов (73,4 балла),</w:t>
      </w:r>
    </w:p>
    <w:p w14:paraId="2F08F49D" w14:textId="5AD1D524" w:rsidR="00F9104F" w:rsidRPr="006E48B4" w:rsidRDefault="00F9104F" w:rsidP="00F9104F">
      <w:pPr>
        <w:widowControl w:val="0"/>
        <w:rPr>
          <w:rFonts w:ascii="PT Astra Serif" w:hAnsi="PT Astra Serif"/>
          <w:szCs w:val="28"/>
          <w:lang w:eastAsia="ru-RU"/>
        </w:rPr>
      </w:pPr>
      <w:r w:rsidRPr="006E48B4">
        <w:rPr>
          <w:rFonts w:ascii="PT Astra Serif" w:hAnsi="PT Astra Serif"/>
          <w:szCs w:val="28"/>
          <w:lang w:eastAsia="ru-RU"/>
        </w:rPr>
        <w:t xml:space="preserve">комфортность условий предоставления услуг </w:t>
      </w:r>
      <w:r w:rsidR="001D3D61">
        <w:rPr>
          <w:rFonts w:ascii="PT Astra Serif" w:hAnsi="PT Astra Serif"/>
          <w:szCs w:val="28"/>
          <w:lang w:eastAsia="ru-RU"/>
        </w:rPr>
        <w:t xml:space="preserve">- </w:t>
      </w:r>
      <w:r w:rsidRPr="006E48B4">
        <w:rPr>
          <w:rFonts w:ascii="PT Astra Serif" w:hAnsi="PT Astra Serif"/>
          <w:szCs w:val="28"/>
          <w:lang w:eastAsia="ru-RU"/>
        </w:rPr>
        <w:t>94,68 балла (92,2 балла),</w:t>
      </w:r>
    </w:p>
    <w:p w14:paraId="059CF2D2" w14:textId="1EFFC0CC" w:rsidR="00F9104F" w:rsidRPr="006E48B4" w:rsidRDefault="00F9104F" w:rsidP="00F9104F">
      <w:pPr>
        <w:widowControl w:val="0"/>
        <w:rPr>
          <w:rFonts w:ascii="PT Astra Serif" w:hAnsi="PT Astra Serif"/>
          <w:szCs w:val="28"/>
          <w:lang w:eastAsia="ru-RU"/>
        </w:rPr>
      </w:pPr>
      <w:r w:rsidRPr="006E48B4">
        <w:rPr>
          <w:rFonts w:ascii="PT Astra Serif" w:hAnsi="PT Astra Serif"/>
          <w:szCs w:val="28"/>
          <w:lang w:eastAsia="ru-RU"/>
        </w:rPr>
        <w:t>доступность услуг для инвалидов – 65,67 баллов (60,5 баллов),</w:t>
      </w:r>
    </w:p>
    <w:p w14:paraId="711C1636" w14:textId="044EB79C" w:rsidR="00F9104F" w:rsidRPr="006E48B4" w:rsidRDefault="00F9104F" w:rsidP="00F9104F">
      <w:pPr>
        <w:widowControl w:val="0"/>
        <w:rPr>
          <w:rFonts w:ascii="PT Astra Serif" w:hAnsi="PT Astra Serif"/>
          <w:szCs w:val="28"/>
          <w:lang w:eastAsia="ru-RU"/>
        </w:rPr>
      </w:pPr>
      <w:r w:rsidRPr="006E48B4">
        <w:rPr>
          <w:rFonts w:ascii="PT Astra Serif" w:hAnsi="PT Astra Serif"/>
          <w:szCs w:val="28"/>
          <w:lang w:eastAsia="ru-RU"/>
        </w:rPr>
        <w:t>доброжелательность, вежливость работников организаций 96 баллов (97,9 баллов),</w:t>
      </w:r>
    </w:p>
    <w:p w14:paraId="5D8D1119" w14:textId="584A4BD3" w:rsidR="00F9104F" w:rsidRPr="006E48B4" w:rsidRDefault="00F9104F" w:rsidP="00F9104F">
      <w:pPr>
        <w:widowControl w:val="0"/>
        <w:rPr>
          <w:rFonts w:ascii="PT Astra Serif" w:hAnsi="PT Astra Serif"/>
          <w:szCs w:val="28"/>
          <w:lang w:eastAsia="ru-RU"/>
        </w:rPr>
      </w:pPr>
      <w:r w:rsidRPr="006E48B4">
        <w:rPr>
          <w:rFonts w:ascii="PT Astra Serif" w:hAnsi="PT Astra Serif"/>
          <w:szCs w:val="28"/>
          <w:lang w:eastAsia="ru-RU"/>
        </w:rPr>
        <w:lastRenderedPageBreak/>
        <w:t>удовлетворенность условиями оказания услуг – 97,88 баллов (97,7 баллов).</w:t>
      </w:r>
    </w:p>
    <w:bookmarkEnd w:id="30"/>
    <w:p w14:paraId="07D5D31D" w14:textId="77777777" w:rsidR="00F9104F" w:rsidRPr="006E48B4" w:rsidRDefault="00F9104F" w:rsidP="00F9104F">
      <w:pPr>
        <w:widowControl w:val="0"/>
        <w:rPr>
          <w:rFonts w:ascii="PT Astra Serif" w:hAnsi="PT Astra Serif"/>
          <w:szCs w:val="28"/>
        </w:rPr>
      </w:pPr>
      <w:r w:rsidRPr="006E48B4">
        <w:rPr>
          <w:rFonts w:ascii="PT Astra Serif" w:hAnsi="PT Astra Serif"/>
          <w:szCs w:val="28"/>
        </w:rPr>
        <w:t xml:space="preserve">По итогам 2025 года </w:t>
      </w:r>
      <w:r w:rsidRPr="006E48B4">
        <w:rPr>
          <w:rFonts w:ascii="PT Astra Serif" w:hAnsi="PT Astra Serif"/>
          <w:b/>
          <w:bCs/>
          <w:szCs w:val="28"/>
        </w:rPr>
        <w:t>рейтинг</w:t>
      </w:r>
      <w:r w:rsidRPr="006E48B4">
        <w:rPr>
          <w:rFonts w:ascii="PT Astra Serif" w:hAnsi="PT Astra Serif"/>
          <w:szCs w:val="28"/>
        </w:rPr>
        <w:t xml:space="preserve"> учреждений по величине итоговой оценки </w:t>
      </w:r>
      <w:r w:rsidRPr="006E48B4">
        <w:rPr>
          <w:rFonts w:ascii="PT Astra Serif" w:hAnsi="PT Astra Serif"/>
          <w:b/>
          <w:bCs/>
          <w:szCs w:val="28"/>
        </w:rPr>
        <w:t>возглавляют</w:t>
      </w:r>
      <w:r w:rsidRPr="006E48B4">
        <w:rPr>
          <w:rFonts w:ascii="PT Astra Serif" w:hAnsi="PT Astra Serif"/>
          <w:szCs w:val="28"/>
        </w:rPr>
        <w:t>:</w:t>
      </w:r>
    </w:p>
    <w:p w14:paraId="3110A9A5" w14:textId="77777777" w:rsidR="00F9104F" w:rsidRPr="006E48B4" w:rsidRDefault="00F9104F" w:rsidP="00F9104F">
      <w:pPr>
        <w:widowControl w:val="0"/>
        <w:rPr>
          <w:rFonts w:ascii="PT Astra Serif" w:hAnsi="PT Astra Serif"/>
          <w:szCs w:val="28"/>
        </w:rPr>
      </w:pPr>
      <w:r w:rsidRPr="006E48B4">
        <w:rPr>
          <w:rFonts w:ascii="PT Astra Serif" w:hAnsi="PT Astra Serif"/>
          <w:szCs w:val="28"/>
        </w:rPr>
        <w:t xml:space="preserve">1 место – Муниципальное учреждение культуры «Майнский </w:t>
      </w:r>
      <w:proofErr w:type="spellStart"/>
      <w:r w:rsidRPr="006E48B4">
        <w:rPr>
          <w:rFonts w:ascii="PT Astra Serif" w:hAnsi="PT Astra Serif"/>
          <w:szCs w:val="28"/>
        </w:rPr>
        <w:t>историко</w:t>
      </w:r>
      <w:proofErr w:type="spellEnd"/>
      <w:r w:rsidRPr="006E48B4">
        <w:rPr>
          <w:rFonts w:ascii="PT Astra Serif" w:hAnsi="PT Astra Serif"/>
          <w:szCs w:val="28"/>
        </w:rPr>
        <w:t>–краеведческий музей» 97,8 балла.</w:t>
      </w:r>
    </w:p>
    <w:p w14:paraId="6748FBED" w14:textId="77777777" w:rsidR="00F9104F" w:rsidRPr="006E48B4" w:rsidRDefault="00F9104F" w:rsidP="00F9104F">
      <w:pPr>
        <w:widowControl w:val="0"/>
        <w:rPr>
          <w:rFonts w:ascii="PT Astra Serif" w:hAnsi="PT Astra Serif"/>
          <w:szCs w:val="28"/>
        </w:rPr>
      </w:pPr>
      <w:r w:rsidRPr="006E48B4">
        <w:rPr>
          <w:rFonts w:ascii="PT Astra Serif" w:hAnsi="PT Astra Serif"/>
          <w:szCs w:val="28"/>
        </w:rPr>
        <w:t>2 место – Муниципальное бюджетное учреждение культуры «Дворец Культуры 1 Мая» – 97,6 балла.</w:t>
      </w:r>
    </w:p>
    <w:p w14:paraId="75F59CE5" w14:textId="77777777" w:rsidR="00F9104F" w:rsidRPr="006E48B4" w:rsidRDefault="00F9104F" w:rsidP="00F9104F">
      <w:pPr>
        <w:widowControl w:val="0"/>
        <w:rPr>
          <w:rFonts w:ascii="PT Astra Serif" w:hAnsi="PT Astra Serif"/>
          <w:szCs w:val="28"/>
        </w:rPr>
      </w:pPr>
      <w:r w:rsidRPr="006E48B4">
        <w:rPr>
          <w:rFonts w:ascii="PT Astra Serif" w:hAnsi="PT Astra Serif"/>
          <w:szCs w:val="28"/>
        </w:rPr>
        <w:t>3 место – Муниципальное автономное учреждение культуры Центр культуры и досуга «Восход» – 97,36 балла.</w:t>
      </w:r>
    </w:p>
    <w:p w14:paraId="6A90E950" w14:textId="7F49F657" w:rsidR="00F9104F" w:rsidRDefault="00F9104F" w:rsidP="00F9104F">
      <w:pPr>
        <w:widowControl w:val="0"/>
        <w:rPr>
          <w:rFonts w:ascii="PT Astra Serif" w:hAnsi="PT Astra Serif"/>
          <w:szCs w:val="28"/>
        </w:rPr>
      </w:pPr>
      <w:r w:rsidRPr="006E48B4">
        <w:rPr>
          <w:rFonts w:ascii="PT Astra Serif" w:hAnsi="PT Astra Serif"/>
          <w:b/>
          <w:bCs/>
          <w:szCs w:val="28"/>
        </w:rPr>
        <w:t>Аутсайдер</w:t>
      </w:r>
      <w:r w:rsidRPr="006E48B4">
        <w:rPr>
          <w:rFonts w:ascii="PT Astra Serif" w:hAnsi="PT Astra Serif"/>
          <w:szCs w:val="28"/>
        </w:rPr>
        <w:t xml:space="preserve"> рейтинга – Муниципальное бюджетное учреждение культуры «</w:t>
      </w:r>
      <w:proofErr w:type="spellStart"/>
      <w:r w:rsidRPr="006E48B4">
        <w:rPr>
          <w:rFonts w:ascii="PT Astra Serif" w:hAnsi="PT Astra Serif"/>
          <w:szCs w:val="28"/>
        </w:rPr>
        <w:t>Вешкаймская</w:t>
      </w:r>
      <w:proofErr w:type="spellEnd"/>
      <w:r w:rsidRPr="006E48B4">
        <w:rPr>
          <w:rFonts w:ascii="PT Astra Serif" w:hAnsi="PT Astra Serif"/>
          <w:szCs w:val="28"/>
        </w:rPr>
        <w:t xml:space="preserve"> </w:t>
      </w:r>
      <w:proofErr w:type="spellStart"/>
      <w:r w:rsidRPr="006E48B4">
        <w:rPr>
          <w:rFonts w:ascii="PT Astra Serif" w:hAnsi="PT Astra Serif"/>
          <w:szCs w:val="28"/>
        </w:rPr>
        <w:t>межпоселенческая</w:t>
      </w:r>
      <w:proofErr w:type="spellEnd"/>
      <w:r w:rsidRPr="006E48B4">
        <w:rPr>
          <w:rFonts w:ascii="PT Astra Serif" w:hAnsi="PT Astra Serif"/>
          <w:szCs w:val="28"/>
        </w:rPr>
        <w:t xml:space="preserve"> библиотечная система» - 66,12 балла.</w:t>
      </w:r>
    </w:p>
    <w:p w14:paraId="471A0784" w14:textId="77777777" w:rsidR="00D240EF" w:rsidRDefault="00D240EF" w:rsidP="00E40766">
      <w:pPr>
        <w:widowControl w:val="0"/>
        <w:ind w:firstLine="0"/>
        <w:contextualSpacing/>
        <w:jc w:val="center"/>
        <w:rPr>
          <w:rFonts w:ascii="PT Astra Serif" w:hAnsi="PT Astra Serif"/>
          <w:b/>
          <w:iCs/>
          <w:sz w:val="20"/>
          <w:szCs w:val="20"/>
          <w:lang w:eastAsia="ru-RU"/>
        </w:rPr>
      </w:pPr>
    </w:p>
    <w:p w14:paraId="50C57342" w14:textId="138DEF17" w:rsidR="00AD6349" w:rsidRPr="00AD6349" w:rsidRDefault="00AD6349" w:rsidP="00E40766">
      <w:pPr>
        <w:widowControl w:val="0"/>
        <w:ind w:firstLine="0"/>
        <w:contextualSpacing/>
        <w:jc w:val="center"/>
        <w:rPr>
          <w:rFonts w:ascii="PT Astra Serif" w:hAnsi="PT Astra Serif"/>
          <w:b/>
          <w:iCs/>
          <w:sz w:val="20"/>
          <w:szCs w:val="20"/>
          <w:lang w:eastAsia="ru-RU"/>
        </w:rPr>
      </w:pPr>
      <w:r w:rsidRPr="00D92F94">
        <w:rPr>
          <w:rFonts w:ascii="PT Astra Serif" w:hAnsi="PT Astra Serif"/>
          <w:noProof/>
          <w:sz w:val="24"/>
          <w:szCs w:val="24"/>
          <w:lang w:eastAsia="ru-RU"/>
        </w:rPr>
        <w:drawing>
          <wp:inline distT="0" distB="0" distL="0" distR="0" wp14:anchorId="4A515E55" wp14:editId="4650D069">
            <wp:extent cx="6122822" cy="3145536"/>
            <wp:effectExtent l="0" t="0" r="0" b="0"/>
            <wp:docPr id="82" name="Диаграмма 82">
              <a:extLst xmlns:a="http://schemas.openxmlformats.org/drawingml/2006/main">
                <a:ext uri="{FF2B5EF4-FFF2-40B4-BE49-F238E27FC236}">
                  <a16:creationId xmlns:a16="http://schemas.microsoft.com/office/drawing/2014/main" id="{817B0524-A6CC-477A-9E52-B21F66D50F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AD6349">
        <w:rPr>
          <w:rFonts w:ascii="PT Astra Serif" w:hAnsi="PT Astra Serif"/>
          <w:b/>
          <w:iCs/>
          <w:sz w:val="20"/>
          <w:szCs w:val="20"/>
          <w:lang w:eastAsia="ru-RU"/>
        </w:rPr>
        <w:t>Итоговая оценка качества условий оказания в 2025 году</w:t>
      </w:r>
    </w:p>
    <w:p w14:paraId="47CF9571" w14:textId="52D6EE6C" w:rsidR="00AD36CF" w:rsidRDefault="00E40766" w:rsidP="00D240EF">
      <w:pPr>
        <w:widowControl w:val="0"/>
        <w:ind w:firstLine="0"/>
        <w:contextualSpacing/>
        <w:jc w:val="center"/>
        <w:rPr>
          <w:rFonts w:ascii="PT Astra Serif" w:eastAsia="Times New Roman" w:hAnsi="PT Astra Serif"/>
          <w:bCs/>
          <w:szCs w:val="28"/>
          <w:highlight w:val="green"/>
          <w:lang w:eastAsia="ru-RU"/>
        </w:rPr>
      </w:pPr>
      <w:r w:rsidRPr="00D92F94">
        <w:rPr>
          <w:rFonts w:ascii="PT Astra Serif" w:hAnsi="PT Astra Serif"/>
          <w:noProof/>
          <w:sz w:val="24"/>
          <w:szCs w:val="24"/>
          <w:lang w:eastAsia="ru-RU"/>
        </w:rPr>
        <w:drawing>
          <wp:inline distT="0" distB="0" distL="0" distR="0" wp14:anchorId="1A857616" wp14:editId="6BFD91A9">
            <wp:extent cx="5003445" cy="2904134"/>
            <wp:effectExtent l="0" t="0" r="0" b="0"/>
            <wp:docPr id="98" name="Диаграмма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0846A44" w14:textId="02B70BDC" w:rsidR="00E40766" w:rsidRPr="00E40766" w:rsidRDefault="00E40766" w:rsidP="00E40766">
      <w:pPr>
        <w:ind w:firstLine="0"/>
        <w:jc w:val="center"/>
        <w:rPr>
          <w:rFonts w:ascii="PT Astra Serif" w:hAnsi="PT Astra Serif"/>
          <w:b/>
          <w:sz w:val="20"/>
          <w:szCs w:val="20"/>
        </w:rPr>
      </w:pPr>
      <w:r w:rsidRPr="00E40766">
        <w:rPr>
          <w:rFonts w:ascii="PT Astra Serif" w:hAnsi="PT Astra Serif"/>
          <w:b/>
          <w:sz w:val="20"/>
          <w:szCs w:val="20"/>
        </w:rPr>
        <w:t>Итоговая оценка качества условий в разрезе общих показателей 2025 года</w:t>
      </w:r>
    </w:p>
    <w:p w14:paraId="48F8725C" w14:textId="77777777" w:rsidR="00D240EF" w:rsidRPr="0043345E" w:rsidRDefault="00D240EF" w:rsidP="00D240EF">
      <w:pPr>
        <w:widowControl w:val="0"/>
        <w:rPr>
          <w:rFonts w:ascii="PT Astra Serif" w:hAnsi="PT Astra Serif"/>
          <w:szCs w:val="28"/>
        </w:rPr>
      </w:pPr>
      <w:r w:rsidRPr="002A54CA">
        <w:rPr>
          <w:rFonts w:ascii="PT Astra Serif" w:hAnsi="PT Astra Serif"/>
          <w:szCs w:val="28"/>
        </w:rPr>
        <w:lastRenderedPageBreak/>
        <w:t xml:space="preserve">Итоговая оценка формировалась по 5 общим показателям по их значимости (весу), каждый из которых, в свою очередь, также максимально мог </w:t>
      </w:r>
      <w:r w:rsidRPr="0043345E">
        <w:rPr>
          <w:rFonts w:ascii="PT Astra Serif" w:hAnsi="PT Astra Serif"/>
          <w:szCs w:val="28"/>
        </w:rPr>
        <w:t>быть оценен в 100 баллов.</w:t>
      </w:r>
    </w:p>
    <w:p w14:paraId="7E4801F1" w14:textId="77777777" w:rsidR="00D240EF" w:rsidRPr="006E48B4" w:rsidRDefault="00D240EF" w:rsidP="00D240EF">
      <w:pPr>
        <w:widowControl w:val="0"/>
        <w:rPr>
          <w:rFonts w:ascii="PT Astra Serif" w:hAnsi="PT Astra Serif"/>
          <w:szCs w:val="28"/>
          <w:lang w:eastAsia="ru-RU"/>
        </w:rPr>
      </w:pPr>
      <w:bookmarkStart w:id="31" w:name="_Hlk159428759"/>
      <w:r w:rsidRPr="006E48B4">
        <w:rPr>
          <w:rFonts w:ascii="PT Astra Serif" w:hAnsi="PT Astra Serif"/>
          <w:szCs w:val="28"/>
          <w:lang w:eastAsia="ru-RU"/>
        </w:rPr>
        <w:t>В текущем периоде показатель «Удовлетворенность условиями оказания услуг» набрал один из наибольших баллов. Показатель доступность услуг для инвалидов остается с низким баллом. Предоставление услуг стало более комфортное, условия улучшились, но открытость и доступность информации остается на невысоком уровне и требует значительного внимания.</w:t>
      </w:r>
    </w:p>
    <w:bookmarkEnd w:id="31"/>
    <w:p w14:paraId="62ED8F03" w14:textId="77777777" w:rsidR="00E40766" w:rsidRDefault="00E40766" w:rsidP="00E40766">
      <w:pPr>
        <w:rPr>
          <w:rFonts w:ascii="PT Astra Serif" w:hAnsi="PT Astra Serif"/>
          <w:b/>
          <w:i/>
          <w:iCs/>
          <w:szCs w:val="28"/>
        </w:rPr>
      </w:pPr>
    </w:p>
    <w:p w14:paraId="7301CBB8" w14:textId="7E19E462" w:rsidR="00E40766" w:rsidRDefault="00E40766" w:rsidP="00E40766">
      <w:pPr>
        <w:widowControl w:val="0"/>
        <w:ind w:firstLine="0"/>
        <w:jc w:val="center"/>
        <w:rPr>
          <w:rFonts w:ascii="PT Astra Serif" w:hAnsi="PT Astra Serif"/>
          <w:b/>
          <w:i/>
          <w:iCs/>
          <w:szCs w:val="28"/>
        </w:rPr>
      </w:pPr>
      <w:r>
        <w:rPr>
          <w:rFonts w:ascii="PT Astra Serif" w:hAnsi="PT Astra Serif"/>
          <w:b/>
          <w:i/>
          <w:iCs/>
          <w:szCs w:val="28"/>
        </w:rPr>
        <w:t>Реализация полномочий в сфере креативных индустрий</w:t>
      </w:r>
    </w:p>
    <w:p w14:paraId="425B6C5A" w14:textId="77777777" w:rsidR="00E40766" w:rsidRPr="002A54CA" w:rsidRDefault="00E40766" w:rsidP="00E40766">
      <w:pPr>
        <w:widowControl w:val="0"/>
        <w:jc w:val="center"/>
        <w:rPr>
          <w:rFonts w:ascii="PT Astra Serif" w:hAnsi="PT Astra Serif"/>
          <w:b/>
          <w:i/>
          <w:iCs/>
          <w:szCs w:val="28"/>
        </w:rPr>
      </w:pPr>
    </w:p>
    <w:p w14:paraId="26F15A24" w14:textId="77777777" w:rsidR="00E40766" w:rsidRPr="001E64C3" w:rsidRDefault="00E40766" w:rsidP="00E40766">
      <w:pPr>
        <w:widowControl w:val="0"/>
        <w:rPr>
          <w:rFonts w:ascii="PT Astra Serif" w:hAnsi="PT Astra Serif"/>
          <w:szCs w:val="28"/>
        </w:rPr>
      </w:pPr>
      <w:r w:rsidRPr="001E64C3">
        <w:rPr>
          <w:rFonts w:ascii="PT Astra Serif" w:hAnsi="PT Astra Serif"/>
          <w:szCs w:val="28"/>
        </w:rPr>
        <w:t>Деятельность по развитию креативных индустрий в 2025 году носила комплексный характер, сочетая нормативно-правовое закрепление накопленного опыта с реализацией масштабных публичных проектов, направленных на формирование культурной идентичности и стимулирование экономики региона.</w:t>
      </w:r>
    </w:p>
    <w:p w14:paraId="141BDA24" w14:textId="1595E6D0" w:rsidR="00E40766" w:rsidRPr="001E64C3" w:rsidRDefault="00E40766" w:rsidP="00E40766">
      <w:pPr>
        <w:widowControl w:val="0"/>
        <w:rPr>
          <w:rFonts w:ascii="PT Astra Serif" w:hAnsi="PT Astra Serif"/>
          <w:szCs w:val="28"/>
        </w:rPr>
      </w:pPr>
      <w:r w:rsidRPr="001E64C3">
        <w:rPr>
          <w:rFonts w:ascii="PT Astra Serif" w:hAnsi="PT Astra Serif"/>
          <w:szCs w:val="28"/>
        </w:rPr>
        <w:t>Создан Региональный реестр субъектов креативных индустрий, осуществляющих свою деятельность на территории Ульяновской области. Реестр формируется в соответствии с утвержденным Приказом №</w:t>
      </w:r>
      <w:r>
        <w:rPr>
          <w:rFonts w:ascii="PT Astra Serif" w:hAnsi="PT Astra Serif"/>
          <w:szCs w:val="28"/>
        </w:rPr>
        <w:t> </w:t>
      </w:r>
      <w:r w:rsidRPr="001E64C3">
        <w:rPr>
          <w:rFonts w:ascii="PT Astra Serif" w:hAnsi="PT Astra Serif"/>
          <w:szCs w:val="28"/>
        </w:rPr>
        <w:t>13 от 01.10.2025. Министерства искусства и культурной политики Ульяновской области «Об утверждении Правил формирования и ведения реестра субъектов креативных (творческих) индустрий, осуществляющих деятельность на территории Ульяновской области».</w:t>
      </w:r>
    </w:p>
    <w:p w14:paraId="0B8C605D" w14:textId="77777777" w:rsidR="00E40766" w:rsidRPr="001E64C3" w:rsidRDefault="00E40766" w:rsidP="00E40766">
      <w:pPr>
        <w:widowControl w:val="0"/>
        <w:rPr>
          <w:rFonts w:ascii="PT Astra Serif" w:hAnsi="PT Astra Serif"/>
          <w:szCs w:val="28"/>
        </w:rPr>
      </w:pPr>
      <w:r w:rsidRPr="001E64C3">
        <w:rPr>
          <w:rFonts w:ascii="PT Astra Serif" w:hAnsi="PT Astra Serif"/>
          <w:szCs w:val="28"/>
        </w:rPr>
        <w:t xml:space="preserve">Системная работа по привлечению внебюджетного финансирования через </w:t>
      </w:r>
      <w:proofErr w:type="spellStart"/>
      <w:r w:rsidRPr="001E64C3">
        <w:rPr>
          <w:rFonts w:ascii="PT Astra Serif" w:hAnsi="PT Astra Serif"/>
          <w:szCs w:val="28"/>
        </w:rPr>
        <w:t>грантовые</w:t>
      </w:r>
      <w:proofErr w:type="spellEnd"/>
      <w:r w:rsidRPr="001E64C3">
        <w:rPr>
          <w:rFonts w:ascii="PT Astra Serif" w:hAnsi="PT Astra Serif"/>
          <w:szCs w:val="28"/>
        </w:rPr>
        <w:t xml:space="preserve"> механизмы являлась одним из ключевых приоритетов в 2025 году.</w:t>
      </w:r>
    </w:p>
    <w:p w14:paraId="235975A0" w14:textId="1BF2EC0C" w:rsidR="00E40766" w:rsidRPr="001E64C3" w:rsidRDefault="00E40766" w:rsidP="00E40766">
      <w:pPr>
        <w:widowControl w:val="0"/>
        <w:rPr>
          <w:rFonts w:ascii="PT Astra Serif" w:hAnsi="PT Astra Serif"/>
          <w:szCs w:val="28"/>
        </w:rPr>
      </w:pPr>
      <w:r w:rsidRPr="001E64C3">
        <w:rPr>
          <w:rFonts w:ascii="PT Astra Serif" w:hAnsi="PT Astra Serif"/>
          <w:szCs w:val="28"/>
        </w:rPr>
        <w:t xml:space="preserve">По результатам второй волны 2025 года Ульяновская область вошла </w:t>
      </w:r>
      <w:r>
        <w:rPr>
          <w:rFonts w:ascii="PT Astra Serif" w:hAnsi="PT Astra Serif"/>
          <w:szCs w:val="28"/>
        </w:rPr>
        <w:br/>
      </w:r>
      <w:r w:rsidRPr="001E64C3">
        <w:rPr>
          <w:rFonts w:ascii="PT Astra Serif" w:hAnsi="PT Astra Serif"/>
          <w:szCs w:val="28"/>
        </w:rPr>
        <w:t xml:space="preserve">в топ-10 регионов по числу поддержанных в конкурсе ПФКИ проектов. </w:t>
      </w:r>
      <w:r w:rsidRPr="001E64C3">
        <w:rPr>
          <w:rFonts w:ascii="PT Astra Serif" w:eastAsia="Times New Roman" w:hAnsi="PT Astra Serif"/>
          <w:szCs w:val="28"/>
        </w:rPr>
        <w:t>По итогам 2025 года творческими командами Ульяновской области было подано 328 заявок, из которых выиграно 47 заявок на сумму 67,9 млн рублей.</w:t>
      </w:r>
    </w:p>
    <w:p w14:paraId="3A024A8D" w14:textId="602D0F73" w:rsidR="00E40766" w:rsidRPr="001E64C3" w:rsidRDefault="00E40766" w:rsidP="00E40766">
      <w:pPr>
        <w:widowControl w:val="0"/>
        <w:rPr>
          <w:rFonts w:ascii="PT Astra Serif" w:hAnsi="PT Astra Serif"/>
          <w:szCs w:val="28"/>
        </w:rPr>
      </w:pPr>
      <w:r w:rsidRPr="001E64C3">
        <w:rPr>
          <w:rFonts w:ascii="PT Astra Serif" w:hAnsi="PT Astra Serif"/>
          <w:szCs w:val="28"/>
        </w:rPr>
        <w:t xml:space="preserve">Общий объем привлеченных внебюджетных средств 15,7 млн рублей из внебюджетных источников, включая федеральные и региональные гранты, полученные в партнерстве с другими НКО, ООО и ИП, а также средства, полученные от собственных мероприятий. В сумму привлечённых средств вошли: Музыкальный фестиваль Баржа </w:t>
      </w:r>
      <w:proofErr w:type="spellStart"/>
      <w:r w:rsidRPr="001E64C3">
        <w:rPr>
          <w:rFonts w:ascii="PT Astra Serif" w:hAnsi="PT Astra Serif"/>
          <w:szCs w:val="28"/>
        </w:rPr>
        <w:t>Live</w:t>
      </w:r>
      <w:proofErr w:type="spellEnd"/>
      <w:r w:rsidRPr="001E64C3">
        <w:rPr>
          <w:rFonts w:ascii="PT Astra Serif" w:hAnsi="PT Astra Serif"/>
          <w:szCs w:val="28"/>
        </w:rPr>
        <w:t xml:space="preserve"> (8,7 млн рублей), Искусство </w:t>
      </w:r>
      <w:r>
        <w:rPr>
          <w:rFonts w:ascii="PT Astra Serif" w:hAnsi="PT Astra Serif"/>
          <w:szCs w:val="28"/>
        </w:rPr>
        <w:br/>
      </w:r>
      <w:r w:rsidRPr="001E64C3">
        <w:rPr>
          <w:rFonts w:ascii="PT Astra Serif" w:hAnsi="PT Astra Serif"/>
          <w:szCs w:val="28"/>
        </w:rPr>
        <w:t xml:space="preserve">в наличниках (2,8 млн рублей), </w:t>
      </w:r>
      <w:r w:rsidRPr="001E64C3">
        <w:rPr>
          <w:rFonts w:ascii="PT Astra Serif" w:eastAsia="PT Astra Serif" w:hAnsi="PT Astra Serif" w:cs="PT Astra Serif"/>
          <w:szCs w:val="28"/>
        </w:rPr>
        <w:t xml:space="preserve">Литературный фестиваль </w:t>
      </w:r>
      <w:r>
        <w:rPr>
          <w:rFonts w:ascii="PT Astra Serif" w:eastAsia="PT Astra Serif" w:hAnsi="PT Astra Serif" w:cs="PT Astra Serif"/>
          <w:szCs w:val="28"/>
        </w:rPr>
        <w:t>«</w:t>
      </w:r>
      <w:r w:rsidRPr="001E64C3">
        <w:rPr>
          <w:rFonts w:ascii="PT Astra Serif" w:eastAsia="PT Astra Serif" w:hAnsi="PT Astra Serif" w:cs="PT Astra Serif"/>
          <w:szCs w:val="28"/>
        </w:rPr>
        <w:t>33</w:t>
      </w:r>
      <w:r>
        <w:rPr>
          <w:rFonts w:ascii="PT Astra Serif" w:eastAsia="PT Astra Serif" w:hAnsi="PT Astra Serif" w:cs="PT Astra Serif"/>
          <w:szCs w:val="28"/>
        </w:rPr>
        <w:t>»</w:t>
      </w:r>
      <w:r w:rsidRPr="001E64C3">
        <w:rPr>
          <w:rFonts w:ascii="PT Astra Serif" w:eastAsia="PT Astra Serif" w:hAnsi="PT Astra Serif" w:cs="PT Astra Serif"/>
          <w:szCs w:val="28"/>
        </w:rPr>
        <w:t xml:space="preserve"> (5,7 млн рублей), внебюджетные средства, полученные от мероприятий «Квартал» (118,4 тыс. рублей).</w:t>
      </w:r>
    </w:p>
    <w:p w14:paraId="04F2CB62" w14:textId="3FCF7853" w:rsidR="00E40766" w:rsidRPr="001E64C3" w:rsidRDefault="00E40766" w:rsidP="00E40766">
      <w:pPr>
        <w:widowControl w:val="0"/>
        <w:rPr>
          <w:rFonts w:ascii="PT Astra Serif" w:hAnsi="PT Astra Serif"/>
          <w:szCs w:val="28"/>
        </w:rPr>
      </w:pPr>
      <w:r w:rsidRPr="001E64C3">
        <w:rPr>
          <w:rFonts w:ascii="PT Astra Serif" w:hAnsi="PT Astra Serif"/>
          <w:szCs w:val="28"/>
        </w:rPr>
        <w:t xml:space="preserve">В ноябре 2025 года по итогам первой волны 2026 года победу </w:t>
      </w:r>
      <w:r>
        <w:rPr>
          <w:rFonts w:ascii="PT Astra Serif" w:hAnsi="PT Astra Serif"/>
          <w:szCs w:val="28"/>
        </w:rPr>
        <w:br/>
      </w:r>
      <w:r w:rsidRPr="001E64C3">
        <w:rPr>
          <w:rFonts w:ascii="PT Astra Serif" w:hAnsi="PT Astra Serif"/>
          <w:szCs w:val="28"/>
        </w:rPr>
        <w:t xml:space="preserve">в </w:t>
      </w:r>
      <w:proofErr w:type="spellStart"/>
      <w:r w:rsidRPr="001E64C3">
        <w:rPr>
          <w:rFonts w:ascii="PT Astra Serif" w:hAnsi="PT Astra Serif"/>
          <w:szCs w:val="28"/>
        </w:rPr>
        <w:t>грантовом</w:t>
      </w:r>
      <w:proofErr w:type="spellEnd"/>
      <w:r w:rsidRPr="001E64C3">
        <w:rPr>
          <w:rFonts w:ascii="PT Astra Serif" w:hAnsi="PT Astra Serif"/>
          <w:szCs w:val="28"/>
        </w:rPr>
        <w:t xml:space="preserve"> конкурсе ПФКИ одержал проект «УАЗ: искусство движения» на сумму 19,4 млн рублей.</w:t>
      </w:r>
    </w:p>
    <w:p w14:paraId="71711F01" w14:textId="77777777" w:rsidR="00E40766" w:rsidRPr="001E64C3" w:rsidRDefault="00E40766" w:rsidP="00E40766">
      <w:pPr>
        <w:widowControl w:val="0"/>
        <w:rPr>
          <w:rFonts w:ascii="PT Astra Serif" w:hAnsi="PT Astra Serif"/>
          <w:szCs w:val="28"/>
        </w:rPr>
      </w:pPr>
      <w:r w:rsidRPr="001E64C3">
        <w:rPr>
          <w:rFonts w:ascii="PT Astra Serif" w:hAnsi="PT Astra Serif"/>
          <w:szCs w:val="28"/>
        </w:rPr>
        <w:t xml:space="preserve">Международное сотрудничество в 2025 году было направлено на интеграцию Ульяновской области в глобальный культурный и гуманитарный контекст, укрепление позиций региона на международной арене и развитие </w:t>
      </w:r>
      <w:r w:rsidRPr="001E64C3">
        <w:rPr>
          <w:rFonts w:ascii="PT Astra Serif" w:hAnsi="PT Astra Serif"/>
          <w:szCs w:val="28"/>
        </w:rPr>
        <w:lastRenderedPageBreak/>
        <w:t>молодежной публичной дипломатии, в первую очередь через деятельность Проектного офиса международного молодежного сотрудничества «Россия-БРИКС.</w:t>
      </w:r>
    </w:p>
    <w:p w14:paraId="1BBF503E" w14:textId="470B6DED" w:rsidR="00E40766" w:rsidRPr="001E64C3" w:rsidRDefault="00E40766" w:rsidP="00E40766">
      <w:pPr>
        <w:widowControl w:val="0"/>
        <w:rPr>
          <w:rFonts w:ascii="PT Astra Serif" w:hAnsi="PT Astra Serif"/>
          <w:szCs w:val="28"/>
        </w:rPr>
      </w:pPr>
      <w:r w:rsidRPr="001E64C3">
        <w:rPr>
          <w:rFonts w:ascii="PT Astra Serif" w:hAnsi="PT Astra Serif"/>
          <w:szCs w:val="28"/>
        </w:rPr>
        <w:t>По итогам исследования Российского совета по международным делам (РСМД), опубликованного в 2025 году, Ульяновская область заняла 4-е место в рейтинге публичной дипломатии российских регионов за 2023</w:t>
      </w:r>
      <w:r>
        <w:rPr>
          <w:rFonts w:ascii="PT Astra Serif" w:hAnsi="PT Astra Serif"/>
          <w:szCs w:val="28"/>
        </w:rPr>
        <w:t xml:space="preserve"> </w:t>
      </w:r>
      <w:r w:rsidRPr="001E64C3">
        <w:rPr>
          <w:rFonts w:ascii="PT Astra Serif" w:hAnsi="PT Astra Serif"/>
          <w:szCs w:val="28"/>
        </w:rPr>
        <w:t>–</w:t>
      </w:r>
      <w:r>
        <w:rPr>
          <w:rFonts w:ascii="PT Astra Serif" w:hAnsi="PT Astra Serif"/>
          <w:szCs w:val="28"/>
        </w:rPr>
        <w:t xml:space="preserve"> </w:t>
      </w:r>
      <w:r w:rsidRPr="001E64C3">
        <w:rPr>
          <w:rFonts w:ascii="PT Astra Serif" w:hAnsi="PT Astra Serif"/>
          <w:szCs w:val="28"/>
        </w:rPr>
        <w:t xml:space="preserve">2024 гг., </w:t>
      </w:r>
      <w:r>
        <w:rPr>
          <w:rFonts w:ascii="PT Astra Serif" w:hAnsi="PT Astra Serif"/>
          <w:szCs w:val="28"/>
        </w:rPr>
        <w:br/>
      </w:r>
      <w:r w:rsidRPr="001E64C3">
        <w:rPr>
          <w:rFonts w:ascii="PT Astra Serif" w:hAnsi="PT Astra Serif"/>
          <w:szCs w:val="28"/>
        </w:rPr>
        <w:t xml:space="preserve">а в информационном </w:t>
      </w:r>
      <w:proofErr w:type="spellStart"/>
      <w:r w:rsidRPr="001E64C3">
        <w:rPr>
          <w:rFonts w:ascii="PT Astra Serif" w:hAnsi="PT Astra Serif"/>
          <w:szCs w:val="28"/>
        </w:rPr>
        <w:t>субрейтинге</w:t>
      </w:r>
      <w:proofErr w:type="spellEnd"/>
      <w:r w:rsidRPr="001E64C3">
        <w:rPr>
          <w:rFonts w:ascii="PT Astra Serif" w:hAnsi="PT Astra Serif"/>
          <w:szCs w:val="28"/>
        </w:rPr>
        <w:t xml:space="preserve"> – 1-е место по стране. В исследовании отмечен фокус региона на теме БРИКС и креативных направлениях гуманитарного сотрудничества, а ключевыми </w:t>
      </w:r>
      <w:proofErr w:type="spellStart"/>
      <w:r w:rsidRPr="001E64C3">
        <w:rPr>
          <w:rFonts w:ascii="PT Astra Serif" w:hAnsi="PT Astra Serif"/>
          <w:szCs w:val="28"/>
        </w:rPr>
        <w:t>акторами</w:t>
      </w:r>
      <w:proofErr w:type="spellEnd"/>
      <w:r w:rsidRPr="001E64C3">
        <w:rPr>
          <w:rFonts w:ascii="PT Astra Serif" w:hAnsi="PT Astra Serif"/>
          <w:szCs w:val="28"/>
        </w:rPr>
        <w:t xml:space="preserve"> названы Проектный офис «Россия-БРИКС» и Фонд креативных индустрий Ульяновской области.</w:t>
      </w:r>
    </w:p>
    <w:p w14:paraId="4C794807" w14:textId="77777777" w:rsidR="00AD36CF" w:rsidRDefault="00AD36CF" w:rsidP="00E40766">
      <w:pPr>
        <w:widowControl w:val="0"/>
        <w:contextualSpacing/>
        <w:rPr>
          <w:rFonts w:ascii="PT Astra Serif" w:eastAsia="Times New Roman" w:hAnsi="PT Astra Serif"/>
          <w:bCs/>
          <w:szCs w:val="28"/>
          <w:highlight w:val="green"/>
          <w:lang w:eastAsia="ru-RU"/>
        </w:rPr>
      </w:pPr>
    </w:p>
    <w:p w14:paraId="477F4222" w14:textId="77777777" w:rsidR="00E40766" w:rsidRPr="00CB0DE7" w:rsidRDefault="00E40766" w:rsidP="00E40766">
      <w:pPr>
        <w:widowControl w:val="0"/>
        <w:jc w:val="center"/>
        <w:rPr>
          <w:rFonts w:ascii="PT Astra Serif" w:hAnsi="PT Astra Serif"/>
          <w:b/>
          <w:sz w:val="20"/>
          <w:szCs w:val="20"/>
        </w:rPr>
      </w:pPr>
      <w:bookmarkStart w:id="32" w:name="_Hlk162971795"/>
    </w:p>
    <w:p w14:paraId="7818FE3F" w14:textId="2923B374" w:rsidR="00E40766" w:rsidRPr="007A1945" w:rsidRDefault="00E40766" w:rsidP="00E40766">
      <w:pPr>
        <w:pStyle w:val="2f6"/>
        <w:widowControl w:val="0"/>
        <w:shd w:val="clear" w:color="auto" w:fill="auto"/>
        <w:outlineLvl w:val="9"/>
        <w:rPr>
          <w:rFonts w:eastAsiaTheme="minorHAnsi"/>
          <w:szCs w:val="28"/>
        </w:rPr>
      </w:pPr>
      <w:bookmarkStart w:id="33" w:name="_Toc132045584"/>
      <w:bookmarkStart w:id="34" w:name="_Toc132100699"/>
      <w:bookmarkEnd w:id="32"/>
      <w:r w:rsidRPr="00E40766">
        <w:rPr>
          <w:rFonts w:eastAsiaTheme="minorHAnsi"/>
          <w:szCs w:val="28"/>
        </w:rPr>
        <w:t>Задачи в сфере культуры на 202</w:t>
      </w:r>
      <w:r>
        <w:rPr>
          <w:rFonts w:eastAsiaTheme="minorHAnsi"/>
          <w:szCs w:val="28"/>
        </w:rPr>
        <w:t>6</w:t>
      </w:r>
      <w:r w:rsidRPr="00E40766">
        <w:rPr>
          <w:rFonts w:eastAsiaTheme="minorHAnsi"/>
          <w:szCs w:val="28"/>
        </w:rPr>
        <w:t xml:space="preserve"> год</w:t>
      </w:r>
      <w:bookmarkEnd w:id="33"/>
      <w:bookmarkEnd w:id="34"/>
    </w:p>
    <w:p w14:paraId="1CBAF78C" w14:textId="77777777" w:rsidR="00AD36CF" w:rsidRDefault="00AD36CF" w:rsidP="00E40766">
      <w:pPr>
        <w:widowControl w:val="0"/>
        <w:contextualSpacing/>
        <w:rPr>
          <w:rFonts w:ascii="PT Astra Serif" w:eastAsia="Times New Roman" w:hAnsi="PT Astra Serif"/>
          <w:bCs/>
          <w:szCs w:val="28"/>
          <w:highlight w:val="green"/>
          <w:lang w:eastAsia="ru-RU"/>
        </w:rPr>
      </w:pPr>
    </w:p>
    <w:p w14:paraId="45F54670" w14:textId="77777777" w:rsidR="00E40766" w:rsidRPr="007A1945" w:rsidRDefault="00E40766" w:rsidP="00E40766">
      <w:pPr>
        <w:rPr>
          <w:rFonts w:ascii="PT Astra Serif" w:hAnsi="PT Astra Serif"/>
          <w:szCs w:val="28"/>
          <w:shd w:val="clear" w:color="auto" w:fill="FBFBFB"/>
        </w:rPr>
      </w:pPr>
      <w:r w:rsidRPr="007A1945">
        <w:rPr>
          <w:rFonts w:ascii="PT Astra Serif" w:hAnsi="PT Astra Serif"/>
          <w:b/>
          <w:bCs/>
          <w:szCs w:val="28"/>
          <w:shd w:val="clear" w:color="auto" w:fill="FBFBFB"/>
        </w:rPr>
        <w:t>Ключевые задачи</w:t>
      </w:r>
      <w:r w:rsidRPr="007A1945">
        <w:rPr>
          <w:rFonts w:ascii="PT Astra Serif" w:hAnsi="PT Astra Serif"/>
          <w:szCs w:val="28"/>
          <w:shd w:val="clear" w:color="auto" w:fill="FBFBFB"/>
        </w:rPr>
        <w:t xml:space="preserve">, поставленные перед отраслью «Культура» в </w:t>
      </w:r>
      <w:r w:rsidRPr="007A1945">
        <w:rPr>
          <w:rFonts w:ascii="PT Astra Serif" w:hAnsi="PT Astra Serif"/>
          <w:b/>
          <w:bCs/>
          <w:szCs w:val="28"/>
          <w:shd w:val="clear" w:color="auto" w:fill="FBFBFB"/>
        </w:rPr>
        <w:t>202</w:t>
      </w:r>
      <w:r>
        <w:rPr>
          <w:rFonts w:ascii="PT Astra Serif" w:hAnsi="PT Astra Serif"/>
          <w:b/>
          <w:bCs/>
          <w:szCs w:val="28"/>
          <w:shd w:val="clear" w:color="auto" w:fill="FBFBFB"/>
        </w:rPr>
        <w:t>6</w:t>
      </w:r>
      <w:r w:rsidRPr="007A1945">
        <w:rPr>
          <w:rFonts w:ascii="PT Astra Serif" w:hAnsi="PT Astra Serif"/>
          <w:b/>
          <w:bCs/>
          <w:szCs w:val="28"/>
          <w:shd w:val="clear" w:color="auto" w:fill="FBFBFB"/>
        </w:rPr>
        <w:t xml:space="preserve"> году</w:t>
      </w:r>
      <w:r w:rsidRPr="007A1945">
        <w:rPr>
          <w:rFonts w:ascii="PT Astra Serif" w:hAnsi="PT Astra Serif"/>
          <w:szCs w:val="28"/>
          <w:shd w:val="clear" w:color="auto" w:fill="FBFBFB"/>
        </w:rPr>
        <w:t>, а именно:</w:t>
      </w:r>
    </w:p>
    <w:p w14:paraId="6D9C13AC" w14:textId="29952DD9" w:rsidR="00E40766" w:rsidRPr="007A1945" w:rsidRDefault="00E40766" w:rsidP="00E40766">
      <w:pPr>
        <w:rPr>
          <w:rFonts w:ascii="PT Astra Serif" w:hAnsi="PT Astra Serif"/>
          <w:szCs w:val="28"/>
          <w:shd w:val="clear" w:color="auto" w:fill="FBFBFB"/>
        </w:rPr>
      </w:pPr>
      <w:r w:rsidRPr="00B304E0">
        <w:rPr>
          <w:rFonts w:ascii="PT Astra Serif" w:hAnsi="PT Astra Serif"/>
          <w:szCs w:val="28"/>
          <w:shd w:val="clear" w:color="auto" w:fill="FBFBFB"/>
        </w:rPr>
        <w:t>реализация национального проекта «Семья» с увеличением посещаемости до 22,4 млн</w:t>
      </w:r>
      <w:r w:rsidR="00D240EF">
        <w:rPr>
          <w:rFonts w:ascii="PT Astra Serif" w:hAnsi="PT Astra Serif"/>
          <w:szCs w:val="28"/>
          <w:shd w:val="clear" w:color="auto" w:fill="FBFBFB"/>
        </w:rPr>
        <w:t>.</w:t>
      </w:r>
      <w:r w:rsidRPr="00B304E0">
        <w:rPr>
          <w:rFonts w:ascii="PT Astra Serif" w:hAnsi="PT Astra Serif"/>
          <w:szCs w:val="28"/>
          <w:shd w:val="clear" w:color="auto" w:fill="FBFBFB"/>
        </w:rPr>
        <w:t xml:space="preserve"> посещений</w:t>
      </w:r>
      <w:r w:rsidRPr="00461F34">
        <w:rPr>
          <w:rFonts w:ascii="PT Astra Serif" w:hAnsi="PT Astra Serif"/>
          <w:szCs w:val="28"/>
          <w:shd w:val="clear" w:color="auto" w:fill="FBFBFB"/>
        </w:rPr>
        <w:t xml:space="preserve"> и приростом вовлеченности</w:t>
      </w:r>
      <w:r>
        <w:rPr>
          <w:rFonts w:ascii="PT Astra Serif" w:hAnsi="PT Astra Serif"/>
          <w:szCs w:val="28"/>
          <w:shd w:val="clear" w:color="auto" w:fill="FBFBFB"/>
        </w:rPr>
        <w:br/>
      </w:r>
      <w:r w:rsidRPr="00461F34">
        <w:rPr>
          <w:rFonts w:ascii="PT Astra Serif" w:hAnsi="PT Astra Serif"/>
          <w:szCs w:val="28"/>
          <w:shd w:val="clear" w:color="auto" w:fill="FBFBFB"/>
        </w:rPr>
        <w:t xml:space="preserve">в культурную деятельность населения </w:t>
      </w:r>
      <w:r w:rsidRPr="00736EC8">
        <w:rPr>
          <w:rFonts w:ascii="PT Astra Serif" w:hAnsi="PT Astra Serif"/>
          <w:szCs w:val="28"/>
          <w:shd w:val="clear" w:color="auto" w:fill="FBFBFB"/>
        </w:rPr>
        <w:t>на 3%;</w:t>
      </w:r>
    </w:p>
    <w:p w14:paraId="17ABA2C0" w14:textId="1C2BDA6F" w:rsidR="00E40766" w:rsidRPr="007A1945" w:rsidRDefault="00E40766" w:rsidP="00E40766">
      <w:pPr>
        <w:rPr>
          <w:rFonts w:ascii="PT Astra Serif" w:hAnsi="PT Astra Serif"/>
          <w:szCs w:val="28"/>
          <w:shd w:val="clear" w:color="auto" w:fill="FBFBFB"/>
        </w:rPr>
      </w:pPr>
      <w:r w:rsidRPr="007A1945">
        <w:rPr>
          <w:rFonts w:ascii="PT Astra Serif" w:hAnsi="PT Astra Serif"/>
          <w:szCs w:val="28"/>
          <w:shd w:val="clear" w:color="auto" w:fill="FBFBFB"/>
        </w:rPr>
        <w:t>реализация Стратегии развития отрасли с повышением эффективности оказания услуг учреждений культуры: расширение спектра услуг, повышение доступа услуг государственной профессиональной культуры на селе, развитие негосударственного сектора;</w:t>
      </w:r>
    </w:p>
    <w:p w14:paraId="2E8F5D91" w14:textId="1EC04ED9" w:rsidR="00E40766" w:rsidRDefault="00E40766" w:rsidP="00E40766">
      <w:pPr>
        <w:rPr>
          <w:rFonts w:ascii="PT Astra Serif" w:hAnsi="PT Astra Serif"/>
          <w:szCs w:val="28"/>
          <w:shd w:val="clear" w:color="auto" w:fill="FBFBFB"/>
        </w:rPr>
      </w:pPr>
      <w:r w:rsidRPr="007A1945">
        <w:rPr>
          <w:rFonts w:ascii="PT Astra Serif" w:hAnsi="PT Astra Serif"/>
          <w:szCs w:val="28"/>
          <w:shd w:val="clear" w:color="auto" w:fill="FBFBFB"/>
        </w:rPr>
        <w:t xml:space="preserve">повышение уровня благосостояния работающих в отрасли путем повышения средней заработной платы до </w:t>
      </w:r>
      <w:r>
        <w:rPr>
          <w:rFonts w:ascii="PT Astra Serif" w:hAnsi="PT Astra Serif"/>
          <w:szCs w:val="28"/>
          <w:shd w:val="clear" w:color="auto" w:fill="FBFBFB"/>
        </w:rPr>
        <w:t>54</w:t>
      </w:r>
      <w:r w:rsidRPr="007A1945">
        <w:rPr>
          <w:rFonts w:ascii="PT Astra Serif" w:hAnsi="PT Astra Serif"/>
          <w:szCs w:val="28"/>
          <w:shd w:val="clear" w:color="auto" w:fill="FBFBFB"/>
        </w:rPr>
        <w:t xml:space="preserve"> тыс. рублей и сокращением разрыва </w:t>
      </w:r>
      <w:proofErr w:type="gramStart"/>
      <w:r>
        <w:rPr>
          <w:rFonts w:ascii="PT Astra Serif" w:hAnsi="PT Astra Serif"/>
          <w:szCs w:val="28"/>
          <w:shd w:val="clear" w:color="auto" w:fill="FBFBFB"/>
        </w:rPr>
        <w:t>от медианой</w:t>
      </w:r>
      <w:proofErr w:type="gramEnd"/>
      <w:r>
        <w:rPr>
          <w:rFonts w:ascii="PT Astra Serif" w:hAnsi="PT Astra Serif"/>
          <w:szCs w:val="28"/>
          <w:shd w:val="clear" w:color="auto" w:fill="FBFBFB"/>
        </w:rPr>
        <w:t xml:space="preserve"> до 3 - 5</w:t>
      </w:r>
      <w:r w:rsidRPr="007A1945">
        <w:rPr>
          <w:rFonts w:ascii="PT Astra Serif" w:hAnsi="PT Astra Serif"/>
          <w:szCs w:val="28"/>
          <w:shd w:val="clear" w:color="auto" w:fill="FBFBFB"/>
        </w:rPr>
        <w:t>%</w:t>
      </w:r>
      <w:r>
        <w:rPr>
          <w:rFonts w:ascii="PT Astra Serif" w:hAnsi="PT Astra Serif"/>
          <w:szCs w:val="28"/>
          <w:shd w:val="clear" w:color="auto" w:fill="FBFBFB"/>
        </w:rPr>
        <w:t>,</w:t>
      </w:r>
    </w:p>
    <w:p w14:paraId="4D0557E5" w14:textId="4080FCAB" w:rsidR="00E40766" w:rsidRPr="00E33F0A" w:rsidRDefault="00E40766" w:rsidP="00E40766">
      <w:pPr>
        <w:rPr>
          <w:rFonts w:ascii="PT Astra Serif" w:hAnsi="PT Astra Serif"/>
          <w:szCs w:val="28"/>
          <w:shd w:val="clear" w:color="auto" w:fill="FBFBFB"/>
        </w:rPr>
      </w:pPr>
      <w:r w:rsidRPr="009B284E">
        <w:rPr>
          <w:rFonts w:ascii="PT Astra Serif" w:hAnsi="PT Astra Serif"/>
          <w:highlight w:val="white"/>
        </w:rPr>
        <w:t>повышения эффективности системы подготовки специалистов</w:t>
      </w:r>
      <w:r>
        <w:rPr>
          <w:rFonts w:ascii="PT Astra Serif" w:hAnsi="PT Astra Serif"/>
          <w:highlight w:val="white"/>
        </w:rPr>
        <w:br/>
      </w:r>
      <w:r w:rsidRPr="009B284E">
        <w:rPr>
          <w:rFonts w:ascii="PT Astra Serif" w:hAnsi="PT Astra Serif"/>
          <w:highlight w:val="white"/>
        </w:rPr>
        <w:t xml:space="preserve">для отрасли </w:t>
      </w:r>
      <w:r>
        <w:rPr>
          <w:rFonts w:ascii="PT Astra Serif" w:hAnsi="PT Astra Serif"/>
          <w:highlight w:val="white"/>
        </w:rPr>
        <w:t xml:space="preserve">путем расширения практики </w:t>
      </w:r>
      <w:r w:rsidRPr="00E33F0A">
        <w:rPr>
          <w:rFonts w:ascii="PT Astra Serif" w:hAnsi="PT Astra Serif"/>
          <w:highlight w:val="white"/>
        </w:rPr>
        <w:t>закрепления специалистов</w:t>
      </w:r>
      <w:r>
        <w:rPr>
          <w:rFonts w:ascii="PT Astra Serif" w:hAnsi="PT Astra Serif"/>
          <w:highlight w:val="white"/>
        </w:rPr>
        <w:br/>
      </w:r>
      <w:r w:rsidRPr="00E33F0A">
        <w:rPr>
          <w:rFonts w:ascii="PT Astra Serif" w:hAnsi="PT Astra Serif"/>
          <w:highlight w:val="white"/>
        </w:rPr>
        <w:t>по договорам целевой подготовки</w:t>
      </w:r>
      <w:r>
        <w:rPr>
          <w:rFonts w:ascii="PT Astra Serif" w:hAnsi="PT Astra Serif"/>
          <w:highlight w:val="white"/>
        </w:rPr>
        <w:t>,</w:t>
      </w:r>
    </w:p>
    <w:p w14:paraId="6109CC53" w14:textId="6952FEA5" w:rsidR="00E40766" w:rsidRPr="00E33F0A" w:rsidRDefault="00E40766" w:rsidP="00E40766">
      <w:pPr>
        <w:rPr>
          <w:rFonts w:ascii="PT Astra Serif" w:hAnsi="PT Astra Serif"/>
          <w:szCs w:val="28"/>
        </w:rPr>
      </w:pPr>
      <w:r>
        <w:rPr>
          <w:rFonts w:ascii="PT Astra Serif" w:hAnsi="PT Astra Serif"/>
          <w:szCs w:val="28"/>
          <w:shd w:val="clear" w:color="auto" w:fill="FBFBFB"/>
        </w:rPr>
        <w:t xml:space="preserve">повышение эффективности, приносящей доход деятельности учреждений культуры, обеспечение </w:t>
      </w:r>
      <w:r>
        <w:rPr>
          <w:rFonts w:ascii="PT Astra Serif" w:hAnsi="PT Astra Serif"/>
          <w:szCs w:val="28"/>
        </w:rPr>
        <w:t xml:space="preserve">доходности до объемов </w:t>
      </w:r>
      <w:r w:rsidRPr="00E33F0A">
        <w:rPr>
          <w:rFonts w:ascii="PT Astra Serif" w:hAnsi="PT Astra Serif"/>
          <w:szCs w:val="28"/>
        </w:rPr>
        <w:t>до 380 млн рублей,</w:t>
      </w:r>
    </w:p>
    <w:p w14:paraId="4FF067B7" w14:textId="1882A313" w:rsidR="00E40766" w:rsidRPr="00E33F0A" w:rsidRDefault="00E40766" w:rsidP="00E40766">
      <w:pPr>
        <w:ind w:firstLine="567"/>
        <w:rPr>
          <w:rFonts w:ascii="PT Astra Serif" w:hAnsi="PT Astra Serif"/>
        </w:rPr>
      </w:pPr>
      <w:r w:rsidRPr="00E33F0A">
        <w:rPr>
          <w:rFonts w:ascii="PT Astra Serif" w:hAnsi="PT Astra Serif"/>
        </w:rPr>
        <w:t xml:space="preserve">увеличение числа владельцев Пушкинских </w:t>
      </w:r>
      <w:r w:rsidRPr="0067166D">
        <w:rPr>
          <w:rFonts w:ascii="PT Astra Serif" w:hAnsi="PT Astra Serif"/>
        </w:rPr>
        <w:t>карт – молодых людей</w:t>
      </w:r>
      <w:r>
        <w:rPr>
          <w:rFonts w:ascii="PT Astra Serif" w:hAnsi="PT Astra Serif"/>
        </w:rPr>
        <w:br/>
      </w:r>
      <w:r w:rsidRPr="0067166D">
        <w:rPr>
          <w:rFonts w:ascii="PT Astra Serif" w:hAnsi="PT Astra Serif"/>
        </w:rPr>
        <w:t xml:space="preserve">в возрасте от 14 до 22 лет, подключившихся к проекту </w:t>
      </w:r>
      <w:r w:rsidRPr="00736EC8">
        <w:rPr>
          <w:rFonts w:ascii="PT Astra Serif" w:hAnsi="PT Astra Serif"/>
        </w:rPr>
        <w:t>до 90% от общего</w:t>
      </w:r>
      <w:r w:rsidRPr="0067166D">
        <w:rPr>
          <w:rFonts w:ascii="PT Astra Serif" w:hAnsi="PT Astra Serif"/>
        </w:rPr>
        <w:t xml:space="preserve"> количества потенциальных владельцев, обеспечение доходности учреждений культуры от реализации мероприятий для данной категории посетителей</w:t>
      </w:r>
      <w:r>
        <w:rPr>
          <w:rFonts w:ascii="PT Astra Serif" w:hAnsi="PT Astra Serif"/>
        </w:rPr>
        <w:br/>
      </w:r>
      <w:r w:rsidRPr="00736EC8">
        <w:rPr>
          <w:rFonts w:ascii="PT Astra Serif" w:hAnsi="PT Astra Serif"/>
        </w:rPr>
        <w:t>на 20-25%,</w:t>
      </w:r>
      <w:r w:rsidRPr="0067166D">
        <w:rPr>
          <w:rFonts w:ascii="PT Astra Serif" w:hAnsi="PT Astra Serif"/>
        </w:rPr>
        <w:t xml:space="preserve"> доли реализованных билетов государственных и муниципальных учреждений 75% от общего числа,</w:t>
      </w:r>
    </w:p>
    <w:p w14:paraId="54C7AFF8" w14:textId="77777777" w:rsidR="00E40766" w:rsidRPr="0067166D" w:rsidRDefault="00E40766" w:rsidP="00E40766">
      <w:pPr>
        <w:rPr>
          <w:rFonts w:ascii="PT Astra Serif" w:hAnsi="PT Astra Serif"/>
          <w:bCs/>
          <w:szCs w:val="28"/>
        </w:rPr>
      </w:pPr>
      <w:r w:rsidRPr="0067166D">
        <w:rPr>
          <w:rFonts w:ascii="PT Astra Serif" w:hAnsi="PT Astra Serif"/>
          <w:bCs/>
          <w:szCs w:val="28"/>
        </w:rPr>
        <w:t>Кроме того, среди приоритетов является решение следующих задач:</w:t>
      </w:r>
    </w:p>
    <w:p w14:paraId="0BB6AACB" w14:textId="582ECA66" w:rsidR="00E40766" w:rsidRDefault="00E40766" w:rsidP="00E40766">
      <w:pPr>
        <w:rPr>
          <w:rFonts w:ascii="PT Astra Serif" w:hAnsi="PT Astra Serif"/>
          <w:bCs/>
          <w:szCs w:val="28"/>
        </w:rPr>
      </w:pPr>
      <w:r>
        <w:rPr>
          <w:rFonts w:ascii="PT Astra Serif" w:hAnsi="PT Astra Serif"/>
          <w:bCs/>
          <w:szCs w:val="28"/>
        </w:rPr>
        <w:t>р</w:t>
      </w:r>
      <w:r w:rsidRPr="00114300">
        <w:rPr>
          <w:rFonts w:ascii="PT Astra Serif" w:hAnsi="PT Astra Serif"/>
          <w:bCs/>
          <w:szCs w:val="28"/>
        </w:rPr>
        <w:t xml:space="preserve">азработка </w:t>
      </w:r>
      <w:r>
        <w:rPr>
          <w:rFonts w:ascii="PT Astra Serif" w:hAnsi="PT Astra Serif"/>
          <w:bCs/>
          <w:szCs w:val="28"/>
        </w:rPr>
        <w:t>и утверждение плана</w:t>
      </w:r>
      <w:r w:rsidRPr="00114300">
        <w:rPr>
          <w:rFonts w:ascii="PT Astra Serif" w:hAnsi="PT Astra Serif"/>
          <w:bCs/>
          <w:szCs w:val="28"/>
        </w:rPr>
        <w:t xml:space="preserve"> Стратегии культурной политики Ульяновской области до 2030 года</w:t>
      </w:r>
      <w:r>
        <w:rPr>
          <w:rFonts w:ascii="PT Astra Serif" w:hAnsi="PT Astra Serif"/>
          <w:bCs/>
          <w:szCs w:val="28"/>
        </w:rPr>
        <w:t xml:space="preserve"> и на период до 2036 года;</w:t>
      </w:r>
    </w:p>
    <w:p w14:paraId="79C2DE39" w14:textId="4404779A" w:rsidR="00E40766" w:rsidRDefault="00E40766" w:rsidP="00E40766">
      <w:pPr>
        <w:rPr>
          <w:rFonts w:ascii="PT Astra Serif" w:hAnsi="PT Astra Serif"/>
          <w:bCs/>
          <w:szCs w:val="28"/>
        </w:rPr>
      </w:pPr>
      <w:r w:rsidRPr="00C63C1E">
        <w:rPr>
          <w:rFonts w:ascii="PT Astra Serif" w:hAnsi="PT Astra Serif"/>
          <w:bCs/>
          <w:szCs w:val="28"/>
        </w:rPr>
        <w:t>проведение мероприятий в соответствии с Указом Президента РФ</w:t>
      </w:r>
      <w:r w:rsidR="00D240EF">
        <w:rPr>
          <w:rFonts w:ascii="PT Astra Serif" w:hAnsi="PT Astra Serif"/>
          <w:bCs/>
          <w:szCs w:val="28"/>
        </w:rPr>
        <w:t xml:space="preserve"> </w:t>
      </w:r>
      <w:r>
        <w:rPr>
          <w:rFonts w:ascii="PT Astra Serif" w:hAnsi="PT Astra Serif"/>
          <w:bCs/>
          <w:szCs w:val="28"/>
        </w:rPr>
        <w:t>от 25.12.2025 № </w:t>
      </w:r>
      <w:r w:rsidRPr="00C63C1E">
        <w:rPr>
          <w:rFonts w:ascii="PT Astra Serif" w:hAnsi="PT Astra Serif"/>
          <w:bCs/>
          <w:szCs w:val="28"/>
        </w:rPr>
        <w:t>962 «О проведении в Российской Федерации Года единства народов России»;</w:t>
      </w:r>
    </w:p>
    <w:p w14:paraId="43D41E8D" w14:textId="4B2D4557" w:rsidR="00E40766" w:rsidRDefault="00E40766" w:rsidP="00E40766">
      <w:pPr>
        <w:rPr>
          <w:rFonts w:ascii="PT Astra Serif" w:hAnsi="PT Astra Serif"/>
          <w:bCs/>
          <w:szCs w:val="28"/>
        </w:rPr>
      </w:pPr>
      <w:r>
        <w:rPr>
          <w:rFonts w:ascii="PT Astra Serif" w:hAnsi="PT Astra Serif"/>
          <w:bCs/>
          <w:szCs w:val="28"/>
        </w:rPr>
        <w:lastRenderedPageBreak/>
        <w:t xml:space="preserve">реализация проектов, в рамках Указа Президента </w:t>
      </w:r>
      <w:r w:rsidRPr="008150EA">
        <w:rPr>
          <w:rFonts w:ascii="PT Astra Serif" w:hAnsi="PT Astra Serif"/>
          <w:bCs/>
          <w:szCs w:val="28"/>
        </w:rPr>
        <w:t>Р</w:t>
      </w:r>
      <w:r>
        <w:rPr>
          <w:rFonts w:ascii="PT Astra Serif" w:hAnsi="PT Astra Serif"/>
          <w:bCs/>
          <w:szCs w:val="28"/>
        </w:rPr>
        <w:t>Ф от 26.02.2024 № </w:t>
      </w:r>
      <w:r w:rsidRPr="008150EA">
        <w:rPr>
          <w:rFonts w:ascii="PT Astra Serif" w:hAnsi="PT Astra Serif"/>
          <w:bCs/>
          <w:szCs w:val="28"/>
        </w:rPr>
        <w:t xml:space="preserve">140 </w:t>
      </w:r>
      <w:r>
        <w:rPr>
          <w:rFonts w:ascii="PT Astra Serif" w:hAnsi="PT Astra Serif"/>
          <w:bCs/>
          <w:szCs w:val="28"/>
        </w:rPr>
        <w:t>«</w:t>
      </w:r>
      <w:r w:rsidRPr="008150EA">
        <w:rPr>
          <w:rFonts w:ascii="PT Astra Serif" w:hAnsi="PT Astra Serif"/>
          <w:bCs/>
          <w:szCs w:val="28"/>
        </w:rPr>
        <w:t>О праздновании 150-летия Союза театральных деятелей Российской Федерации</w:t>
      </w:r>
      <w:r>
        <w:rPr>
          <w:rFonts w:ascii="PT Astra Serif" w:hAnsi="PT Astra Serif"/>
          <w:bCs/>
          <w:szCs w:val="28"/>
        </w:rPr>
        <w:t>», в том числе «Театральный поезд»;</w:t>
      </w:r>
      <w:r w:rsidRPr="008150EA">
        <w:rPr>
          <w:rFonts w:ascii="PT Astra Serif" w:hAnsi="PT Astra Serif"/>
          <w:bCs/>
          <w:szCs w:val="28"/>
        </w:rPr>
        <w:t xml:space="preserve"> </w:t>
      </w:r>
    </w:p>
    <w:p w14:paraId="3BA4EC27" w14:textId="3E1C3E90" w:rsidR="00E40766" w:rsidRPr="00114300" w:rsidRDefault="00E40766" w:rsidP="00E40766">
      <w:pPr>
        <w:rPr>
          <w:rFonts w:ascii="PT Astra Serif" w:hAnsi="PT Astra Serif"/>
          <w:bCs/>
          <w:szCs w:val="28"/>
        </w:rPr>
      </w:pPr>
      <w:r>
        <w:rPr>
          <w:rFonts w:ascii="PT Astra Serif" w:hAnsi="PT Astra Serif"/>
          <w:bCs/>
          <w:szCs w:val="28"/>
        </w:rPr>
        <w:t xml:space="preserve">развитие выездных проектов театров и филармонических коллективов </w:t>
      </w:r>
      <w:r>
        <w:rPr>
          <w:rFonts w:ascii="PT Astra Serif" w:hAnsi="PT Astra Serif"/>
          <w:bCs/>
          <w:szCs w:val="28"/>
        </w:rPr>
        <w:br/>
        <w:t>в рамках регионального проекта «Искусство без границ»»;</w:t>
      </w:r>
    </w:p>
    <w:p w14:paraId="41046158" w14:textId="0DAB000A" w:rsidR="00E40766" w:rsidRDefault="00E40766" w:rsidP="00E40766">
      <w:pPr>
        <w:rPr>
          <w:rFonts w:ascii="PT Astra Serif" w:hAnsi="PT Astra Serif"/>
          <w:bCs/>
          <w:szCs w:val="28"/>
        </w:rPr>
      </w:pPr>
      <w:proofErr w:type="spellStart"/>
      <w:r w:rsidRPr="00C63C1E">
        <w:rPr>
          <w:rFonts w:ascii="PT Astra Serif" w:hAnsi="PT Astra Serif"/>
          <w:bCs/>
          <w:szCs w:val="28"/>
        </w:rPr>
        <w:t>Симбирско</w:t>
      </w:r>
      <w:proofErr w:type="spellEnd"/>
      <w:r w:rsidRPr="00C63C1E">
        <w:rPr>
          <w:rFonts w:ascii="PT Astra Serif" w:hAnsi="PT Astra Serif"/>
          <w:bCs/>
          <w:szCs w:val="28"/>
        </w:rPr>
        <w:t>-ульяновское культурное наследие формировали величайшие люди России, сохранение памяти и наследия наших земляков, достижений региона – основа культурной политики: в 2026 году мы будем отмечать несколько знаменательных дат: 260-летие Н.М.</w:t>
      </w:r>
      <w:r w:rsidR="00D240EF">
        <w:rPr>
          <w:rFonts w:ascii="PT Astra Serif" w:hAnsi="PT Astra Serif"/>
          <w:bCs/>
          <w:szCs w:val="28"/>
        </w:rPr>
        <w:t> </w:t>
      </w:r>
      <w:r w:rsidRPr="00C63C1E">
        <w:rPr>
          <w:rFonts w:ascii="PT Astra Serif" w:hAnsi="PT Astra Serif"/>
          <w:bCs/>
          <w:szCs w:val="28"/>
        </w:rPr>
        <w:t xml:space="preserve">Карамзина, 50-летие основания филиала публичного акционерного общества «Авиационный комплекс </w:t>
      </w:r>
      <w:proofErr w:type="spellStart"/>
      <w:r w:rsidRPr="00C63C1E">
        <w:rPr>
          <w:rFonts w:ascii="PT Astra Serif" w:hAnsi="PT Astra Serif"/>
          <w:bCs/>
          <w:szCs w:val="28"/>
        </w:rPr>
        <w:t>им.С.В</w:t>
      </w:r>
      <w:proofErr w:type="spellEnd"/>
      <w:r w:rsidRPr="00C63C1E">
        <w:rPr>
          <w:rFonts w:ascii="PT Astra Serif" w:hAnsi="PT Astra Serif"/>
          <w:bCs/>
          <w:szCs w:val="28"/>
        </w:rPr>
        <w:t>.</w:t>
      </w:r>
      <w:r w:rsidR="00D240EF">
        <w:rPr>
          <w:rFonts w:ascii="PT Astra Serif" w:hAnsi="PT Astra Serif"/>
          <w:bCs/>
          <w:szCs w:val="28"/>
        </w:rPr>
        <w:t> </w:t>
      </w:r>
      <w:r w:rsidRPr="00C63C1E">
        <w:rPr>
          <w:rFonts w:ascii="PT Astra Serif" w:hAnsi="PT Astra Serif"/>
          <w:bCs/>
          <w:szCs w:val="28"/>
        </w:rPr>
        <w:t>Ильюшина» - Авиастар» (Указ Президента РФ от 02.12.2025 № 880)</w:t>
      </w:r>
    </w:p>
    <w:p w14:paraId="60174A41" w14:textId="60BD4A20" w:rsidR="00E40766" w:rsidRPr="00701AA7" w:rsidRDefault="00E40766" w:rsidP="00E40766">
      <w:pPr>
        <w:rPr>
          <w:rFonts w:ascii="PT Astra Serif" w:hAnsi="PT Astra Serif"/>
          <w:bCs/>
          <w:szCs w:val="28"/>
        </w:rPr>
      </w:pPr>
      <w:r w:rsidRPr="00701AA7">
        <w:rPr>
          <w:rFonts w:ascii="PT Astra Serif" w:hAnsi="PT Astra Serif"/>
          <w:bCs/>
          <w:szCs w:val="28"/>
        </w:rPr>
        <w:t xml:space="preserve">популяризация проекта «Культура для школьников» через привлечение школьников к участию в мероприятиях учреждений культуры региона: просмотры спектаклей, кино, участие в мастер-классах, </w:t>
      </w:r>
      <w:proofErr w:type="spellStart"/>
      <w:r w:rsidRPr="00701AA7">
        <w:rPr>
          <w:rFonts w:ascii="PT Astra Serif" w:hAnsi="PT Astra Serif"/>
          <w:bCs/>
          <w:szCs w:val="28"/>
        </w:rPr>
        <w:t>квестах</w:t>
      </w:r>
      <w:proofErr w:type="spellEnd"/>
      <w:r w:rsidRPr="00701AA7">
        <w:rPr>
          <w:rFonts w:ascii="PT Astra Serif" w:hAnsi="PT Astra Serif"/>
          <w:bCs/>
          <w:szCs w:val="28"/>
        </w:rPr>
        <w:t xml:space="preserve">, </w:t>
      </w:r>
      <w:proofErr w:type="spellStart"/>
      <w:r w:rsidRPr="00701AA7">
        <w:rPr>
          <w:rFonts w:ascii="PT Astra Serif" w:hAnsi="PT Astra Serif"/>
          <w:bCs/>
          <w:szCs w:val="28"/>
        </w:rPr>
        <w:t>квизах</w:t>
      </w:r>
      <w:proofErr w:type="spellEnd"/>
      <w:r w:rsidRPr="00701AA7">
        <w:rPr>
          <w:rFonts w:ascii="PT Astra Serif" w:hAnsi="PT Astra Serif"/>
          <w:bCs/>
          <w:szCs w:val="28"/>
        </w:rPr>
        <w:t>, использование сервисов цифровой культуры, а также участие</w:t>
      </w:r>
      <w:r>
        <w:rPr>
          <w:rFonts w:ascii="PT Astra Serif" w:hAnsi="PT Astra Serif"/>
          <w:bCs/>
          <w:szCs w:val="28"/>
        </w:rPr>
        <w:t xml:space="preserve"> </w:t>
      </w:r>
      <w:r w:rsidRPr="00701AA7">
        <w:rPr>
          <w:rFonts w:ascii="PT Astra Serif" w:hAnsi="PT Astra Serif"/>
          <w:bCs/>
          <w:szCs w:val="28"/>
        </w:rPr>
        <w:t xml:space="preserve">во всероссийских акциях в рамках реализации проекта (в </w:t>
      </w:r>
      <w:r w:rsidR="00D240EF">
        <w:rPr>
          <w:rFonts w:ascii="PT Astra Serif" w:hAnsi="PT Astra Serif"/>
          <w:bCs/>
          <w:szCs w:val="28"/>
        </w:rPr>
        <w:t>том числе</w:t>
      </w:r>
      <w:r w:rsidRPr="00701AA7">
        <w:rPr>
          <w:rFonts w:ascii="PT Astra Serif" w:hAnsi="PT Astra Serif"/>
          <w:bCs/>
          <w:szCs w:val="28"/>
        </w:rPr>
        <w:t xml:space="preserve"> «Культурный марафон»).</w:t>
      </w:r>
    </w:p>
    <w:p w14:paraId="78887EEB" w14:textId="5F249519" w:rsidR="00E40766" w:rsidRPr="00701AA7" w:rsidRDefault="00E40766" w:rsidP="00E40766">
      <w:pPr>
        <w:rPr>
          <w:rFonts w:ascii="PT Astra Serif" w:hAnsi="PT Astra Serif"/>
          <w:bCs/>
          <w:szCs w:val="28"/>
        </w:rPr>
      </w:pPr>
      <w:r>
        <w:rPr>
          <w:rFonts w:ascii="PT Astra Serif" w:hAnsi="PT Astra Serif"/>
          <w:bCs/>
          <w:szCs w:val="28"/>
        </w:rPr>
        <w:t>б</w:t>
      </w:r>
      <w:r w:rsidRPr="00114300">
        <w:rPr>
          <w:rFonts w:ascii="PT Astra Serif" w:hAnsi="PT Astra Serif"/>
          <w:bCs/>
          <w:szCs w:val="28"/>
        </w:rPr>
        <w:t xml:space="preserve">ольшое место </w:t>
      </w:r>
      <w:r>
        <w:rPr>
          <w:rFonts w:ascii="PT Astra Serif" w:hAnsi="PT Astra Serif"/>
          <w:bCs/>
          <w:szCs w:val="28"/>
        </w:rPr>
        <w:t>в работе ведомства будет</w:t>
      </w:r>
      <w:r w:rsidRPr="00114300">
        <w:rPr>
          <w:rFonts w:ascii="PT Astra Serif" w:hAnsi="PT Astra Serif"/>
          <w:bCs/>
          <w:szCs w:val="28"/>
        </w:rPr>
        <w:t xml:space="preserve"> отведено содержательному наполнению учреждений культуры творческим и просветительским контентом, направленным на духовно-нравственное развитие граждан</w:t>
      </w:r>
      <w:r>
        <w:rPr>
          <w:rFonts w:ascii="PT Astra Serif" w:hAnsi="PT Astra Serif"/>
          <w:bCs/>
          <w:szCs w:val="28"/>
        </w:rPr>
        <w:br/>
      </w:r>
      <w:r w:rsidRPr="00114300">
        <w:rPr>
          <w:rFonts w:ascii="PT Astra Serif" w:hAnsi="PT Astra Serif"/>
          <w:bCs/>
          <w:szCs w:val="28"/>
        </w:rPr>
        <w:t>и формирование семейных ценностей. Это музейные выставки</w:t>
      </w:r>
      <w:r>
        <w:rPr>
          <w:rFonts w:ascii="PT Astra Serif" w:hAnsi="PT Astra Serif"/>
          <w:bCs/>
          <w:szCs w:val="28"/>
        </w:rPr>
        <w:t xml:space="preserve">, в том числе федеральные партнёрские проекты, мероприятия </w:t>
      </w:r>
      <w:r w:rsidRPr="00701AA7">
        <w:rPr>
          <w:rFonts w:ascii="PT Astra Serif" w:hAnsi="PT Astra Serif"/>
          <w:bCs/>
          <w:szCs w:val="28"/>
        </w:rPr>
        <w:t>архивов и библиотек</w:t>
      </w:r>
      <w:r>
        <w:rPr>
          <w:rFonts w:ascii="PT Astra Serif" w:hAnsi="PT Astra Serif"/>
          <w:bCs/>
          <w:szCs w:val="28"/>
        </w:rPr>
        <w:t>;</w:t>
      </w:r>
      <w:r w:rsidRPr="00701AA7">
        <w:rPr>
          <w:rFonts w:ascii="PT Astra Serif" w:hAnsi="PT Astra Serif"/>
          <w:bCs/>
          <w:szCs w:val="28"/>
        </w:rPr>
        <w:t xml:space="preserve"> творческие проекты некоммерческих организаций</w:t>
      </w:r>
      <w:r>
        <w:rPr>
          <w:rFonts w:ascii="PT Astra Serif" w:hAnsi="PT Astra Serif"/>
          <w:bCs/>
          <w:szCs w:val="28"/>
        </w:rPr>
        <w:t xml:space="preserve"> в партнёрстве с ОГУК,</w:t>
      </w:r>
      <w:r>
        <w:rPr>
          <w:rFonts w:ascii="PT Astra Serif" w:hAnsi="PT Astra Serif"/>
          <w:bCs/>
          <w:szCs w:val="28"/>
        </w:rPr>
        <w:br/>
        <w:t>в том числе мероприятия, посвящённые 75-летию Регионального отделения Союза писателей России</w:t>
      </w:r>
      <w:r w:rsidRPr="00701AA7">
        <w:rPr>
          <w:rFonts w:ascii="PT Astra Serif" w:hAnsi="PT Astra Serif"/>
          <w:bCs/>
          <w:szCs w:val="28"/>
        </w:rPr>
        <w:t xml:space="preserve"> и многое другое</w:t>
      </w:r>
      <w:r>
        <w:rPr>
          <w:rFonts w:ascii="PT Astra Serif" w:hAnsi="PT Astra Serif"/>
          <w:bCs/>
          <w:szCs w:val="28"/>
        </w:rPr>
        <w:t>.</w:t>
      </w:r>
    </w:p>
    <w:p w14:paraId="2779FF60" w14:textId="1A3CEFC8" w:rsidR="00E40766" w:rsidRDefault="00E40766" w:rsidP="00E40766">
      <w:pPr>
        <w:rPr>
          <w:rFonts w:ascii="PT Astra Serif" w:hAnsi="PT Astra Serif"/>
          <w:bCs/>
          <w:szCs w:val="28"/>
        </w:rPr>
      </w:pPr>
      <w:r w:rsidRPr="007A1945">
        <w:rPr>
          <w:rFonts w:ascii="PT Astra Serif" w:hAnsi="PT Astra Serif"/>
          <w:bCs/>
          <w:szCs w:val="28"/>
        </w:rPr>
        <w:t xml:space="preserve">Таким образом, тактические приоритеты Министерства </w:t>
      </w:r>
      <w:r>
        <w:rPr>
          <w:rFonts w:ascii="PT Astra Serif" w:hAnsi="PT Astra Serif"/>
          <w:bCs/>
          <w:szCs w:val="28"/>
        </w:rPr>
        <w:t xml:space="preserve">искусства </w:t>
      </w:r>
      <w:r>
        <w:rPr>
          <w:rFonts w:ascii="PT Astra Serif" w:hAnsi="PT Astra Serif"/>
          <w:bCs/>
          <w:szCs w:val="28"/>
        </w:rPr>
        <w:br/>
        <w:t xml:space="preserve">и культурной политики Ульяновской области </w:t>
      </w:r>
      <w:r w:rsidRPr="007A1945">
        <w:rPr>
          <w:rFonts w:ascii="PT Astra Serif" w:hAnsi="PT Astra Serif"/>
          <w:bCs/>
          <w:szCs w:val="28"/>
        </w:rPr>
        <w:t xml:space="preserve">и отрасли направлены на защиту и укрепление традиционных российских духовно-нравственных ценностей, культуры и исторической памяти через концентрацию творческих проектов </w:t>
      </w:r>
      <w:r>
        <w:rPr>
          <w:rFonts w:ascii="PT Astra Serif" w:hAnsi="PT Astra Serif"/>
          <w:bCs/>
          <w:szCs w:val="28"/>
        </w:rPr>
        <w:br/>
      </w:r>
      <w:r w:rsidRPr="007A1945">
        <w:rPr>
          <w:rFonts w:ascii="PT Astra Serif" w:hAnsi="PT Astra Serif"/>
          <w:bCs/>
          <w:szCs w:val="28"/>
        </w:rPr>
        <w:t>и финансовых ресурсов.</w:t>
      </w:r>
    </w:p>
    <w:p w14:paraId="13E375F3" w14:textId="77777777" w:rsidR="00AD36CF" w:rsidRDefault="00AD36CF" w:rsidP="00FA7D1D">
      <w:pPr>
        <w:widowControl w:val="0"/>
        <w:contextualSpacing/>
        <w:rPr>
          <w:rFonts w:ascii="PT Astra Serif" w:eastAsia="Times New Roman" w:hAnsi="PT Astra Serif"/>
          <w:bCs/>
          <w:szCs w:val="28"/>
          <w:highlight w:val="green"/>
          <w:lang w:eastAsia="ru-RU"/>
        </w:rPr>
      </w:pPr>
    </w:p>
    <w:p w14:paraId="167D5695" w14:textId="573B315E" w:rsidR="00FA7D1D" w:rsidRDefault="00FA7D1D">
      <w:pPr>
        <w:spacing w:after="160" w:line="259" w:lineRule="auto"/>
        <w:ind w:firstLine="0"/>
        <w:jc w:val="left"/>
        <w:rPr>
          <w:rFonts w:ascii="PT Astra Serif" w:eastAsia="Times New Roman" w:hAnsi="PT Astra Serif"/>
          <w:szCs w:val="28"/>
        </w:rPr>
      </w:pPr>
      <w:r>
        <w:rPr>
          <w:rFonts w:ascii="PT Astra Serif" w:eastAsia="Times New Roman" w:hAnsi="PT Astra Serif"/>
          <w:szCs w:val="28"/>
        </w:rPr>
        <w:br w:type="page"/>
      </w:r>
    </w:p>
    <w:p w14:paraId="496030E8" w14:textId="61CB1411" w:rsidR="00B5646F" w:rsidRPr="00B5646F" w:rsidRDefault="00C9425F" w:rsidP="00B5646F">
      <w:pPr>
        <w:keepNext/>
        <w:keepLines/>
        <w:widowControl w:val="0"/>
        <w:shd w:val="clear" w:color="auto" w:fill="FFFFFF"/>
        <w:ind w:firstLine="0"/>
        <w:jc w:val="center"/>
        <w:outlineLvl w:val="0"/>
        <w:rPr>
          <w:rFonts w:ascii="PT Astra Serif" w:eastAsia="Calibri" w:hAnsi="PT Astra Serif" w:cs="Times New Roman"/>
          <w:b/>
          <w:color w:val="000000" w:themeColor="text1"/>
          <w:szCs w:val="28"/>
          <w:lang w:eastAsia="x-none"/>
        </w:rPr>
      </w:pPr>
      <w:bookmarkStart w:id="35" w:name="_Toc193721667"/>
      <w:bookmarkStart w:id="36" w:name="_Toc226016704"/>
      <w:r w:rsidRPr="00C9425F">
        <w:rPr>
          <w:rFonts w:ascii="PT Astra Serif" w:eastAsia="Calibri" w:hAnsi="PT Astra Serif" w:cs="Times New Roman"/>
          <w:b/>
          <w:color w:val="000000" w:themeColor="text1"/>
          <w:szCs w:val="28"/>
          <w:lang w:eastAsia="x-none"/>
        </w:rPr>
        <w:lastRenderedPageBreak/>
        <w:t>ОХРАН</w:t>
      </w:r>
      <w:r>
        <w:rPr>
          <w:rFonts w:ascii="PT Astra Serif" w:eastAsia="Calibri" w:hAnsi="PT Astra Serif" w:cs="Times New Roman"/>
          <w:b/>
          <w:color w:val="000000" w:themeColor="text1"/>
          <w:szCs w:val="28"/>
          <w:lang w:eastAsia="x-none"/>
        </w:rPr>
        <w:t>А</w:t>
      </w:r>
      <w:r w:rsidRPr="00C9425F">
        <w:rPr>
          <w:rFonts w:ascii="PT Astra Serif" w:eastAsia="Calibri" w:hAnsi="PT Astra Serif" w:cs="Times New Roman"/>
          <w:b/>
          <w:color w:val="000000" w:themeColor="text1"/>
          <w:szCs w:val="28"/>
          <w:lang w:eastAsia="x-none"/>
        </w:rPr>
        <w:t xml:space="preserve"> ОБЪЕКТОВ КУЛЬТУРНОГО НАСЛЕДИЯ</w:t>
      </w:r>
      <w:bookmarkEnd w:id="35"/>
      <w:bookmarkEnd w:id="36"/>
    </w:p>
    <w:p w14:paraId="0A410C40" w14:textId="480ABC06" w:rsidR="00B5646F" w:rsidRDefault="00B5646F" w:rsidP="00B5646F">
      <w:pPr>
        <w:widowControl w:val="0"/>
        <w:rPr>
          <w:rFonts w:ascii="PT Astra Serif" w:eastAsia="Calibri" w:hAnsi="PT Astra Serif"/>
          <w:bCs/>
        </w:rPr>
      </w:pPr>
    </w:p>
    <w:p w14:paraId="251F33BC"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r w:rsidRPr="00CB6232">
        <w:rPr>
          <w:rFonts w:ascii="PT Astra Serif" w:eastAsia="Times New Roman" w:hAnsi="PT Astra Serif" w:cs="Times New Roman"/>
          <w:b/>
          <w:szCs w:val="28"/>
          <w:lang w:eastAsia="ru-RU"/>
        </w:rPr>
        <w:t>Краткая характеристика состояния отрасли</w:t>
      </w:r>
    </w:p>
    <w:p w14:paraId="391071CA"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p>
    <w:p w14:paraId="46EA1897"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 xml:space="preserve">В 2025 году на территории Ульяновской области переданные полномочия Российской Федерации по государственной охране объектов культурного наследия федерального значения осуществлялись </w:t>
      </w:r>
      <w:r w:rsidRPr="008041FC">
        <w:rPr>
          <w:rFonts w:ascii="PT Astra Serif" w:eastAsia="Times New Roman" w:hAnsi="PT Astra Serif" w:cs="Times New Roman"/>
          <w:b/>
          <w:szCs w:val="20"/>
          <w:lang w:eastAsia="ru-RU"/>
        </w:rPr>
        <w:t>Управлением по охране объектов культурного наследия администрации Губернатора Ульяновской области</w:t>
      </w:r>
      <w:r w:rsidRPr="00CB6232">
        <w:rPr>
          <w:rFonts w:ascii="PT Astra Serif" w:eastAsia="Times New Roman" w:hAnsi="PT Astra Serif" w:cs="Times New Roman"/>
          <w:szCs w:val="20"/>
          <w:lang w:eastAsia="ru-RU"/>
        </w:rPr>
        <w:t xml:space="preserve"> (далее – Управление). Управление не является юридическим лицом, не наделено статусом самостоятельного исполнительного органа и является структурным подразделением Правительства Ульяновской области. Управление не распоряжается денежными средствами.</w:t>
      </w:r>
    </w:p>
    <w:p w14:paraId="1DBE3A44"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Структура Управления состоит из двух департаментов:</w:t>
      </w:r>
    </w:p>
    <w:p w14:paraId="25CDFB47"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1. Департамент сохранения и учета объектов культурного наследия.</w:t>
      </w:r>
    </w:p>
    <w:p w14:paraId="6A2D8B96"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2. Департамент государственного контроля и судебного представительства.</w:t>
      </w:r>
    </w:p>
    <w:p w14:paraId="7050ED8E" w14:textId="77777777" w:rsidR="00CB6232" w:rsidRPr="00CB6232" w:rsidRDefault="00CB6232" w:rsidP="00CB6232">
      <w:pPr>
        <w:widowControl w:val="0"/>
        <w:rPr>
          <w:rFonts w:ascii="PT Astra Serif" w:eastAsia="Times New Roman" w:hAnsi="PT Astra Serif" w:cs="Times New Roman"/>
          <w:szCs w:val="20"/>
          <w:lang w:eastAsia="ru-RU"/>
        </w:rPr>
      </w:pPr>
      <w:r w:rsidRPr="008041FC">
        <w:rPr>
          <w:rFonts w:ascii="PT Astra Serif" w:eastAsia="Times New Roman" w:hAnsi="PT Astra Serif" w:cs="Times New Roman"/>
          <w:b/>
          <w:szCs w:val="20"/>
          <w:lang w:eastAsia="ru-RU"/>
        </w:rPr>
        <w:t>Штатная численность Управления составляет 8 штатных единиц</w:t>
      </w:r>
      <w:r w:rsidRPr="00CB6232">
        <w:rPr>
          <w:rFonts w:ascii="PT Astra Serif" w:eastAsia="Times New Roman" w:hAnsi="PT Astra Serif" w:cs="Times New Roman"/>
          <w:szCs w:val="20"/>
          <w:lang w:eastAsia="ru-RU"/>
        </w:rPr>
        <w:t>, 1 из которых финансируется за счёт средств субвенции из федерального бюджета и занимается реализацией переданных полномочий.</w:t>
      </w:r>
    </w:p>
    <w:p w14:paraId="6BB64849" w14:textId="746B7DFA" w:rsidR="00CB6232" w:rsidRPr="00CB6232" w:rsidRDefault="00CB6232" w:rsidP="00CB6232">
      <w:pPr>
        <w:widowControl w:val="0"/>
        <w:rPr>
          <w:rFonts w:ascii="PT Astra Serif" w:eastAsia="Times New Roman" w:hAnsi="PT Astra Serif" w:cs="Times New Roman"/>
          <w:szCs w:val="20"/>
          <w:lang w:eastAsia="ru-RU"/>
        </w:rPr>
      </w:pPr>
      <w:r w:rsidRPr="008041FC">
        <w:rPr>
          <w:rFonts w:ascii="PT Astra Serif" w:eastAsia="Times New Roman" w:hAnsi="PT Astra Serif" w:cs="Times New Roman"/>
          <w:b/>
          <w:szCs w:val="20"/>
          <w:lang w:eastAsia="ru-RU"/>
        </w:rPr>
        <w:t>Объ</w:t>
      </w:r>
      <w:r w:rsidR="008041FC" w:rsidRPr="008041FC">
        <w:rPr>
          <w:rFonts w:ascii="PT Astra Serif" w:eastAsia="Times New Roman" w:hAnsi="PT Astra Serif" w:cs="Times New Roman"/>
          <w:b/>
          <w:szCs w:val="20"/>
          <w:lang w:eastAsia="ru-RU"/>
        </w:rPr>
        <w:t>ё</w:t>
      </w:r>
      <w:r w:rsidRPr="008041FC">
        <w:rPr>
          <w:rFonts w:ascii="PT Astra Serif" w:eastAsia="Times New Roman" w:hAnsi="PT Astra Serif" w:cs="Times New Roman"/>
          <w:b/>
          <w:szCs w:val="20"/>
          <w:lang w:eastAsia="ru-RU"/>
        </w:rPr>
        <w:t>м финансирования</w:t>
      </w:r>
      <w:r w:rsidRPr="00CB6232">
        <w:rPr>
          <w:rFonts w:ascii="PT Astra Serif" w:eastAsia="Times New Roman" w:hAnsi="PT Astra Serif" w:cs="Times New Roman"/>
          <w:szCs w:val="20"/>
          <w:lang w:eastAsia="ru-RU"/>
        </w:rPr>
        <w:t xml:space="preserve"> деятельности в 2025 году – </w:t>
      </w:r>
      <w:r w:rsidRPr="008041FC">
        <w:rPr>
          <w:rFonts w:ascii="PT Astra Serif" w:eastAsia="Times New Roman" w:hAnsi="PT Astra Serif" w:cs="Times New Roman"/>
          <w:b/>
          <w:szCs w:val="20"/>
          <w:lang w:eastAsia="ru-RU"/>
        </w:rPr>
        <w:t>2 100 000 рублей</w:t>
      </w:r>
      <w:r w:rsidRPr="00CB6232">
        <w:rPr>
          <w:rFonts w:ascii="PT Astra Serif" w:eastAsia="Times New Roman" w:hAnsi="PT Astra Serif" w:cs="Times New Roman"/>
          <w:szCs w:val="20"/>
          <w:lang w:eastAsia="ru-RU"/>
        </w:rPr>
        <w:t>.</w:t>
      </w:r>
    </w:p>
    <w:p w14:paraId="4B000158"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Дополнительное финансирование из федерального бюджета в 2025 году не предоставлялось.</w:t>
      </w:r>
    </w:p>
    <w:p w14:paraId="5A406B4D"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Итоговое фактическое финансирование – 2 100 000 рублей.</w:t>
      </w:r>
    </w:p>
    <w:p w14:paraId="74615D1C"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В 2024 году финансирование из областного бюджета составило 4 000 000 рублей.</w:t>
      </w:r>
    </w:p>
    <w:p w14:paraId="563DE9D7"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В отчётном периоде Управлением осуществлялись плановые мероприятия по всем основным направлениям деятельности.</w:t>
      </w:r>
    </w:p>
    <w:p w14:paraId="2040C1E3" w14:textId="77777777" w:rsidR="00CB6232" w:rsidRPr="00CB6232" w:rsidRDefault="00CB6232" w:rsidP="00CB6232">
      <w:pPr>
        <w:widowControl w:val="0"/>
        <w:rPr>
          <w:rFonts w:ascii="PT Astra Serif" w:eastAsia="Times New Roman" w:hAnsi="PT Astra Serif" w:cs="Times New Roman"/>
          <w:b/>
          <w:szCs w:val="28"/>
          <w:u w:val="single"/>
          <w:lang w:eastAsia="ru-RU"/>
        </w:rPr>
      </w:pPr>
    </w:p>
    <w:p w14:paraId="6F5AE0B4"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r w:rsidRPr="00CB6232">
        <w:rPr>
          <w:rFonts w:ascii="PT Astra Serif" w:eastAsia="Times New Roman" w:hAnsi="PT Astra Serif" w:cs="Times New Roman"/>
          <w:b/>
          <w:szCs w:val="28"/>
          <w:lang w:eastAsia="ru-RU"/>
        </w:rPr>
        <w:t>Итоги реализации национальных (федеральных) проектов (программ)</w:t>
      </w:r>
    </w:p>
    <w:p w14:paraId="0C6B3EEC" w14:textId="77777777" w:rsidR="00CB6232" w:rsidRPr="00CB6232" w:rsidRDefault="00CB6232" w:rsidP="00CB6232">
      <w:pPr>
        <w:widowControl w:val="0"/>
        <w:rPr>
          <w:rFonts w:ascii="PT Astra Serif" w:eastAsia="Times New Roman" w:hAnsi="PT Astra Serif" w:cs="Times New Roman"/>
          <w:b/>
          <w:szCs w:val="28"/>
          <w:u w:val="single"/>
          <w:lang w:eastAsia="ru-RU"/>
        </w:rPr>
      </w:pPr>
    </w:p>
    <w:p w14:paraId="09599C02"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Указ Президента РФ от 21.07.2020 № 474 «О национальных целях развития Российской Федерации на период до 2030 года не регулирует вопросы сохранения культурного наследия и не устанавливает задачи в этой сфере.</w:t>
      </w:r>
    </w:p>
    <w:p w14:paraId="4DC2BC03"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Единый план по достижению национальных целей развития Российской Федерации на период до 2024 года и на плановый период до 2030 года не регулирует вопросы сохранения объектов культурного наследия.</w:t>
      </w:r>
    </w:p>
    <w:p w14:paraId="42B39D46"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Национальные проекты России не затрагивают вопросы сохранения культурного наследия.</w:t>
      </w:r>
    </w:p>
    <w:p w14:paraId="7FA56CA1" w14:textId="77777777" w:rsidR="00CB6232" w:rsidRPr="00CB6232" w:rsidRDefault="00CB6232" w:rsidP="00CB6232">
      <w:pPr>
        <w:widowControl w:val="0"/>
        <w:autoSpaceDE w:val="0"/>
        <w:autoSpaceDN w:val="0"/>
        <w:adjustRightInd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Инициативы социально-экономического развития Российской Федерации до 2030 года, утверждённые Распоряжением Правительства РФ от 06.10.2021 № 2816-р, не включают в себя инициатив по сохранению объектов культурного наследия.</w:t>
      </w:r>
    </w:p>
    <w:p w14:paraId="08455367" w14:textId="77777777" w:rsidR="00CB6232" w:rsidRPr="00CB6232" w:rsidRDefault="00CB6232" w:rsidP="00CB6232">
      <w:pPr>
        <w:widowControl w:val="0"/>
        <w:rPr>
          <w:rFonts w:ascii="PT Astra Serif" w:eastAsia="Times New Roman" w:hAnsi="PT Astra Serif" w:cs="Times New Roman"/>
          <w:szCs w:val="28"/>
          <w:lang w:eastAsia="ru-RU"/>
        </w:rPr>
      </w:pPr>
    </w:p>
    <w:p w14:paraId="669D5415"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r w:rsidRPr="00CB6232">
        <w:rPr>
          <w:rFonts w:ascii="PT Astra Serif" w:eastAsia="Times New Roman" w:hAnsi="PT Astra Serif" w:cs="Times New Roman"/>
          <w:b/>
          <w:szCs w:val="28"/>
          <w:lang w:eastAsia="ru-RU"/>
        </w:rPr>
        <w:lastRenderedPageBreak/>
        <w:t>Итоги 2025 года.</w:t>
      </w:r>
    </w:p>
    <w:p w14:paraId="3CAF9647" w14:textId="77777777" w:rsidR="00CB6232" w:rsidRPr="00CB6232" w:rsidRDefault="00CB6232" w:rsidP="00CB6232">
      <w:pPr>
        <w:widowControl w:val="0"/>
        <w:rPr>
          <w:rFonts w:ascii="PT Astra Serif" w:eastAsia="Times New Roman" w:hAnsi="PT Astra Serif" w:cs="Times New Roman"/>
          <w:szCs w:val="20"/>
          <w:lang w:eastAsia="ru-RU"/>
        </w:rPr>
      </w:pPr>
    </w:p>
    <w:p w14:paraId="3724E3CE" w14:textId="262F58B9"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По состоянию на 31 декабря 2025 года на территории Ульяновской области </w:t>
      </w:r>
      <w:r w:rsidRPr="008041FC">
        <w:rPr>
          <w:rFonts w:ascii="PT Astra Serif" w:eastAsia="Times New Roman" w:hAnsi="PT Astra Serif" w:cs="Times New Roman"/>
          <w:b/>
          <w:szCs w:val="28"/>
          <w:lang w:eastAsia="ru-RU"/>
        </w:rPr>
        <w:t>расположено 1</w:t>
      </w:r>
      <w:r w:rsidR="008041FC" w:rsidRPr="008041FC">
        <w:rPr>
          <w:rFonts w:ascii="PT Astra Serif" w:eastAsia="Times New Roman" w:hAnsi="PT Astra Serif" w:cs="Times New Roman"/>
          <w:b/>
          <w:szCs w:val="28"/>
          <w:lang w:eastAsia="ru-RU"/>
        </w:rPr>
        <w:t> </w:t>
      </w:r>
      <w:r w:rsidRPr="008041FC">
        <w:rPr>
          <w:rFonts w:ascii="PT Astra Serif" w:eastAsia="Times New Roman" w:hAnsi="PT Astra Serif" w:cs="Times New Roman"/>
          <w:b/>
          <w:szCs w:val="28"/>
          <w:lang w:eastAsia="ru-RU"/>
        </w:rPr>
        <w:t>565 объектов культурного наследия</w:t>
      </w:r>
      <w:r w:rsidRPr="00CB6232">
        <w:rPr>
          <w:rFonts w:ascii="PT Astra Serif" w:eastAsia="Times New Roman" w:hAnsi="PT Astra Serif" w:cs="Times New Roman"/>
          <w:szCs w:val="28"/>
          <w:lang w:eastAsia="ru-RU"/>
        </w:rPr>
        <w:t xml:space="preserve">, из них: 86 объектов культурного наследия федерального значения, 565 объектов культурного наследия регионального значения, 373 объекта культурного наследия местного (муниципального) значения, 541 выявленный объект культурного наследия. </w:t>
      </w:r>
    </w:p>
    <w:p w14:paraId="1D4430A7"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Утверждены</w:t>
      </w:r>
      <w:r w:rsidRPr="00CB6232">
        <w:rPr>
          <w:rFonts w:eastAsia="Times New Roman" w:cs="Times New Roman"/>
          <w:szCs w:val="20"/>
          <w:lang w:eastAsia="ru-RU"/>
        </w:rPr>
        <w:t xml:space="preserve"> </w:t>
      </w:r>
      <w:r w:rsidRPr="00CB6232">
        <w:rPr>
          <w:rFonts w:ascii="PT Astra Serif" w:eastAsia="Times New Roman" w:hAnsi="PT Astra Serif" w:cs="Times New Roman"/>
          <w:szCs w:val="28"/>
          <w:lang w:eastAsia="ru-RU"/>
        </w:rPr>
        <w:t>объектам культурного наследия:</w:t>
      </w:r>
    </w:p>
    <w:p w14:paraId="5C0B2FD6" w14:textId="77777777" w:rsidR="00CB6232" w:rsidRPr="00CB6232" w:rsidRDefault="00CB6232" w:rsidP="00CB6232">
      <w:pPr>
        <w:widowControl w:val="0"/>
        <w:tabs>
          <w:tab w:val="left" w:pos="1134"/>
        </w:tabs>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зоны охраны - 45% (392 объекта культурного наследия);</w:t>
      </w:r>
    </w:p>
    <w:p w14:paraId="34371549" w14:textId="77777777" w:rsidR="00CB6232" w:rsidRPr="00CB6232" w:rsidRDefault="00CB6232" w:rsidP="00CB6232">
      <w:pPr>
        <w:widowControl w:val="0"/>
        <w:tabs>
          <w:tab w:val="left" w:pos="993"/>
        </w:tabs>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границы территорий - 74% (744 объекта культурного наследия);</w:t>
      </w:r>
    </w:p>
    <w:p w14:paraId="4038649E" w14:textId="77777777" w:rsidR="00CB6232" w:rsidRPr="00CB6232" w:rsidRDefault="00CB6232" w:rsidP="00CB6232">
      <w:pPr>
        <w:widowControl w:val="0"/>
        <w:tabs>
          <w:tab w:val="left" w:pos="993"/>
        </w:tabs>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предметы охраны - 43% (429 объекта культурного наследия).</w:t>
      </w:r>
    </w:p>
    <w:p w14:paraId="4E78C5BC" w14:textId="77777777" w:rsidR="00CB6232" w:rsidRPr="00CB6232" w:rsidRDefault="00CB6232" w:rsidP="00CB6232">
      <w:pPr>
        <w:widowControl w:val="0"/>
        <w:tabs>
          <w:tab w:val="left" w:pos="993"/>
        </w:tabs>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Установлены информационные надписи и обозначения на 56% объектов культурного наследия (440).</w:t>
      </w:r>
    </w:p>
    <w:p w14:paraId="0A4689F4"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В рамках реализации полномочий в области государственной охраны объектов культурного наследия Управлением и муниципальными образованиями Ульяновской области в 2025 году:</w:t>
      </w:r>
    </w:p>
    <w:p w14:paraId="4F270226"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выдано 1 задание на проведение работ по сохранению объектов культурного наследия федерального значения;</w:t>
      </w:r>
    </w:p>
    <w:p w14:paraId="268A4199"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согласовано 4 комплекта проектной документации на проведение работ по сохранению объектов культурного наследия федерального значения;</w:t>
      </w:r>
    </w:p>
    <w:p w14:paraId="21036399" w14:textId="77777777" w:rsidR="00CB6232" w:rsidRPr="00CB6232" w:rsidRDefault="00CB6232" w:rsidP="00CB6232">
      <w:pPr>
        <w:widowControl w:val="0"/>
        <w:rPr>
          <w:rFonts w:ascii="PT Astra Serif" w:eastAsia="Times New Roman" w:hAnsi="PT Astra Serif" w:cs="Times New Roman"/>
          <w:bCs/>
          <w:szCs w:val="28"/>
          <w:lang w:eastAsia="ru-RU"/>
        </w:rPr>
      </w:pPr>
      <w:r w:rsidRPr="00CB6232">
        <w:rPr>
          <w:rFonts w:ascii="PT Astra Serif" w:eastAsia="Times New Roman" w:hAnsi="PT Astra Serif" w:cs="Times New Roman"/>
          <w:szCs w:val="28"/>
          <w:lang w:eastAsia="ru-RU"/>
        </w:rPr>
        <w:t>согласовано 2 комплекта отчетной документации на объекты культурного наследия федерального значения;</w:t>
      </w:r>
    </w:p>
    <w:p w14:paraId="1A10B655"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выдано 40 разрешений на проведение работ по сохранению объектов культурного наследия федерального значения.</w:t>
      </w:r>
    </w:p>
    <w:p w14:paraId="0E2F94E0"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Кроме того, в течение года Управлением на постоянной основе осуществлялась работа по государственной охране объектов культурного наследия Ульяновской области. </w:t>
      </w:r>
    </w:p>
    <w:p w14:paraId="526F1F7A"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В течение 2025 года по Государственной программе Ульяновской области «Развитие культуры, туризма и сохранение объектов культурного наследия в Ульяновской области» </w:t>
      </w:r>
      <w:r w:rsidRPr="008041FC">
        <w:rPr>
          <w:rFonts w:ascii="PT Astra Serif" w:eastAsia="Times New Roman" w:hAnsi="PT Astra Serif" w:cs="Times New Roman"/>
          <w:b/>
          <w:szCs w:val="28"/>
          <w:lang w:eastAsia="ru-RU"/>
        </w:rPr>
        <w:t>разработаны</w:t>
      </w:r>
      <w:r w:rsidRPr="00CB6232">
        <w:rPr>
          <w:rFonts w:ascii="PT Astra Serif" w:eastAsia="Times New Roman" w:hAnsi="PT Astra Serif" w:cs="Times New Roman"/>
          <w:szCs w:val="28"/>
          <w:lang w:eastAsia="ru-RU"/>
        </w:rPr>
        <w:t>:</w:t>
      </w:r>
    </w:p>
    <w:p w14:paraId="0C177DD0"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1) границы территорий 7 объектам культурного наследия регионального значения, </w:t>
      </w:r>
    </w:p>
    <w:p w14:paraId="7C425D04"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2) зоны охраны 2 объектам культурного наследия регионального значения; </w:t>
      </w:r>
    </w:p>
    <w:p w14:paraId="18F75519"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3) предметы охраны 5 объектам культурного наследия регионального значения; </w:t>
      </w:r>
    </w:p>
    <w:p w14:paraId="63885042"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4) в отношении 9 выявленных объектов культурного наследия проведены государственные историко-культурные экспертизы;</w:t>
      </w:r>
    </w:p>
    <w:p w14:paraId="7F7BEC4F"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5) изготовлены Х</w:t>
      </w:r>
      <w:r w:rsidRPr="00CB6232">
        <w:rPr>
          <w:rFonts w:ascii="PT Astra Serif" w:eastAsia="Times New Roman" w:hAnsi="PT Astra Serif" w:cs="Times New Roman"/>
          <w:szCs w:val="28"/>
          <w:lang w:val="en-US" w:eastAsia="ru-RU"/>
        </w:rPr>
        <w:t>ml</w:t>
      </w:r>
      <w:r w:rsidRPr="00CB6232">
        <w:rPr>
          <w:rFonts w:ascii="PT Astra Serif" w:eastAsia="Times New Roman" w:hAnsi="PT Astra Serif" w:cs="Times New Roman"/>
          <w:szCs w:val="28"/>
          <w:lang w:eastAsia="ru-RU"/>
        </w:rPr>
        <w:t xml:space="preserve">-схемы со сведениями о границах территорий 31 объекта культурного наследия. </w:t>
      </w:r>
    </w:p>
    <w:p w14:paraId="502587F6" w14:textId="56C17866"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В 2025 году проведены </w:t>
      </w:r>
      <w:r w:rsidRPr="008041FC">
        <w:rPr>
          <w:rFonts w:ascii="PT Astra Serif" w:eastAsia="Times New Roman" w:hAnsi="PT Astra Serif" w:cs="Times New Roman"/>
          <w:b/>
          <w:bCs/>
          <w:color w:val="000000"/>
          <w:szCs w:val="28"/>
          <w:lang w:eastAsia="ru-RU"/>
        </w:rPr>
        <w:t xml:space="preserve">работы по сохранению 11 объектов </w:t>
      </w:r>
      <w:r w:rsidRPr="00CB6232">
        <w:rPr>
          <w:rFonts w:ascii="PT Astra Serif" w:eastAsia="Times New Roman" w:hAnsi="PT Astra Serif" w:cs="Times New Roman"/>
          <w:bCs/>
          <w:color w:val="000000"/>
          <w:szCs w:val="28"/>
          <w:lang w:eastAsia="ru-RU"/>
        </w:rPr>
        <w:t xml:space="preserve">культурного наследия на общую сумму 464 миллиона 415 тысяч 800 рублей, </w:t>
      </w:r>
      <w:r w:rsidR="008041FC">
        <w:rPr>
          <w:rFonts w:ascii="PT Astra Serif" w:eastAsia="Times New Roman" w:hAnsi="PT Astra Serif" w:cs="Times New Roman"/>
          <w:bCs/>
          <w:color w:val="000000"/>
          <w:szCs w:val="28"/>
          <w:lang w:eastAsia="ru-RU"/>
        </w:rPr>
        <w:br/>
      </w:r>
      <w:r w:rsidRPr="00CB6232">
        <w:rPr>
          <w:rFonts w:ascii="PT Astra Serif" w:eastAsia="Times New Roman" w:hAnsi="PT Astra Serif" w:cs="Times New Roman"/>
          <w:bCs/>
          <w:color w:val="000000"/>
          <w:szCs w:val="28"/>
          <w:lang w:eastAsia="ru-RU"/>
        </w:rPr>
        <w:t xml:space="preserve">в </w:t>
      </w:r>
      <w:r w:rsidR="008041FC">
        <w:rPr>
          <w:rFonts w:ascii="PT Astra Serif" w:eastAsia="Times New Roman" w:hAnsi="PT Astra Serif" w:cs="Times New Roman"/>
          <w:bCs/>
          <w:color w:val="000000"/>
          <w:szCs w:val="28"/>
          <w:lang w:eastAsia="ru-RU"/>
        </w:rPr>
        <w:t>том числе</w:t>
      </w:r>
      <w:r w:rsidRPr="00CB6232">
        <w:rPr>
          <w:rFonts w:ascii="PT Astra Serif" w:eastAsia="Times New Roman" w:hAnsi="PT Astra Serif" w:cs="Times New Roman"/>
          <w:bCs/>
          <w:color w:val="000000"/>
          <w:szCs w:val="28"/>
          <w:lang w:eastAsia="ru-RU"/>
        </w:rPr>
        <w:t xml:space="preserve"> 153 миллиона 262 тысячи 100 рублей из федерального бюджета, 280 миллионов 753 тысячи 900 рублей из регионального бюджета, </w:t>
      </w:r>
      <w:r w:rsidR="008041FC">
        <w:rPr>
          <w:rFonts w:ascii="PT Astra Serif" w:eastAsia="Times New Roman" w:hAnsi="PT Astra Serif" w:cs="Times New Roman"/>
          <w:bCs/>
          <w:color w:val="000000"/>
          <w:szCs w:val="28"/>
          <w:lang w:eastAsia="ru-RU"/>
        </w:rPr>
        <w:br/>
      </w:r>
      <w:r w:rsidRPr="00CB6232">
        <w:rPr>
          <w:rFonts w:ascii="PT Astra Serif" w:eastAsia="Times New Roman" w:hAnsi="PT Astra Serif" w:cs="Times New Roman"/>
          <w:bCs/>
          <w:color w:val="000000"/>
          <w:szCs w:val="28"/>
          <w:lang w:eastAsia="ru-RU"/>
        </w:rPr>
        <w:lastRenderedPageBreak/>
        <w:t>22 миллиона 374 тысячи 820 рублей из местного (муниципального) бюджета, 8 миллионов 25 тысяч рублей из внебюджетных источников финансирования.</w:t>
      </w:r>
    </w:p>
    <w:p w14:paraId="4ADDCC8C" w14:textId="6B554894"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 xml:space="preserve">В 2025 году выдано 1 задание на работы по сохранению объекта культурного наследия федерального значения «Здание симбирской мужской классической гимназии, где учился Ленин Владимир Ильич в 1880 – 1887 гг.» (г. Ульяновск, ул. Спасская, 18/2); 40 разрешений на работы по сохранению </w:t>
      </w:r>
      <w:r w:rsidR="008041FC">
        <w:rPr>
          <w:rFonts w:ascii="PT Astra Serif" w:eastAsia="Times New Roman" w:hAnsi="PT Astra Serif" w:cs="Times New Roman"/>
          <w:szCs w:val="28"/>
        </w:rPr>
        <w:br/>
      </w:r>
      <w:r w:rsidRPr="00CB6232">
        <w:rPr>
          <w:rFonts w:ascii="PT Astra Serif" w:eastAsia="Times New Roman" w:hAnsi="PT Astra Serif" w:cs="Times New Roman"/>
          <w:szCs w:val="28"/>
        </w:rPr>
        <w:t>11 объектов культурного наследия федерального значения:</w:t>
      </w:r>
    </w:p>
    <w:p w14:paraId="39FCEB14" w14:textId="3AE21A98"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szCs w:val="28"/>
        </w:rPr>
        <w:t xml:space="preserve">1. </w:t>
      </w:r>
      <w:r w:rsidRPr="00CB6232">
        <w:rPr>
          <w:rFonts w:ascii="PT Astra Serif" w:eastAsia="Times New Roman" w:hAnsi="PT Astra Serif" w:cs="Times New Roman"/>
          <w:bCs/>
          <w:color w:val="000000"/>
          <w:szCs w:val="28"/>
          <w:lang w:eastAsia="ru-RU"/>
        </w:rPr>
        <w:t xml:space="preserve">Здание гостиницы «Пассаж», где с мая по июнь 1918 г. жил советский государственный и партийный деятель </w:t>
      </w:r>
      <w:proofErr w:type="spellStart"/>
      <w:r w:rsidRPr="00CB6232">
        <w:rPr>
          <w:rFonts w:ascii="PT Astra Serif" w:eastAsia="Times New Roman" w:hAnsi="PT Astra Serif" w:cs="Times New Roman"/>
          <w:bCs/>
          <w:color w:val="000000"/>
          <w:szCs w:val="28"/>
          <w:lang w:eastAsia="ru-RU"/>
        </w:rPr>
        <w:t>Варейкис</w:t>
      </w:r>
      <w:proofErr w:type="spellEnd"/>
      <w:r w:rsidRPr="00CB6232">
        <w:rPr>
          <w:rFonts w:ascii="PT Astra Serif" w:eastAsia="Times New Roman" w:hAnsi="PT Astra Serif" w:cs="Times New Roman"/>
          <w:bCs/>
          <w:color w:val="000000"/>
          <w:szCs w:val="28"/>
          <w:lang w:eastAsia="ru-RU"/>
        </w:rPr>
        <w:t xml:space="preserve"> Иосиф Михайлович </w:t>
      </w:r>
      <w:r w:rsidR="008041FC">
        <w:rPr>
          <w:rFonts w:ascii="PT Astra Serif" w:eastAsia="Times New Roman" w:hAnsi="PT Astra Serif" w:cs="Times New Roman"/>
          <w:bCs/>
          <w:color w:val="000000"/>
          <w:szCs w:val="28"/>
          <w:lang w:eastAsia="ru-RU"/>
        </w:rPr>
        <w:br/>
      </w:r>
      <w:r w:rsidRPr="00CB6232">
        <w:rPr>
          <w:rFonts w:ascii="PT Astra Serif" w:eastAsia="Times New Roman" w:hAnsi="PT Astra Serif" w:cs="Times New Roman"/>
          <w:bCs/>
          <w:color w:val="000000"/>
          <w:szCs w:val="28"/>
          <w:lang w:eastAsia="ru-RU"/>
        </w:rPr>
        <w:t>(г. Ульяновск, ул. Гончарова, 38/8);</w:t>
      </w:r>
    </w:p>
    <w:p w14:paraId="36D33E66"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2. Церковь Воскресения, 1906-1911 годы (г. Ульяновск, ул. </w:t>
      </w:r>
      <w:proofErr w:type="spellStart"/>
      <w:r w:rsidRPr="00CB6232">
        <w:rPr>
          <w:rFonts w:ascii="PT Astra Serif" w:eastAsia="Times New Roman" w:hAnsi="PT Astra Serif" w:cs="Times New Roman"/>
          <w:bCs/>
          <w:color w:val="000000"/>
          <w:szCs w:val="28"/>
          <w:lang w:eastAsia="ru-RU"/>
        </w:rPr>
        <w:t>К.Маркса</w:t>
      </w:r>
      <w:proofErr w:type="spellEnd"/>
      <w:r w:rsidRPr="00CB6232">
        <w:rPr>
          <w:rFonts w:ascii="PT Astra Serif" w:eastAsia="Times New Roman" w:hAnsi="PT Astra Serif" w:cs="Times New Roman"/>
          <w:bCs/>
          <w:color w:val="000000"/>
          <w:szCs w:val="28"/>
          <w:lang w:eastAsia="ru-RU"/>
        </w:rPr>
        <w:t>, 54);</w:t>
      </w:r>
    </w:p>
    <w:p w14:paraId="610DAA9E" w14:textId="37DC7D3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3. Здание Мемориального центра, сооруженное в честь 100-летия со дня рождения Ленина Владимира Ильича (г. Ул</w:t>
      </w:r>
      <w:r w:rsidR="008041FC">
        <w:rPr>
          <w:rFonts w:ascii="PT Astra Serif" w:eastAsia="Times New Roman" w:hAnsi="PT Astra Serif" w:cs="Times New Roman"/>
          <w:bCs/>
          <w:color w:val="000000"/>
          <w:szCs w:val="28"/>
          <w:lang w:eastAsia="ru-RU"/>
        </w:rPr>
        <w:t xml:space="preserve">ьяновск, пл. Ленина, д. 1, </w:t>
      </w:r>
      <w:proofErr w:type="spellStart"/>
      <w:proofErr w:type="gramStart"/>
      <w:r w:rsidR="008041FC">
        <w:rPr>
          <w:rFonts w:ascii="PT Astra Serif" w:eastAsia="Times New Roman" w:hAnsi="PT Astra Serif" w:cs="Times New Roman"/>
          <w:bCs/>
          <w:color w:val="000000"/>
          <w:szCs w:val="28"/>
          <w:lang w:eastAsia="ru-RU"/>
        </w:rPr>
        <w:t>лит.</w:t>
      </w:r>
      <w:r w:rsidRPr="00CB6232">
        <w:rPr>
          <w:rFonts w:ascii="PT Astra Serif" w:eastAsia="Times New Roman" w:hAnsi="PT Astra Serif" w:cs="Times New Roman"/>
          <w:bCs/>
          <w:color w:val="000000"/>
          <w:szCs w:val="28"/>
          <w:lang w:eastAsia="ru-RU"/>
        </w:rPr>
        <w:t>А</w:t>
      </w:r>
      <w:proofErr w:type="spellEnd"/>
      <w:proofErr w:type="gramEnd"/>
      <w:r w:rsidRPr="00CB6232">
        <w:rPr>
          <w:rFonts w:ascii="PT Astra Serif" w:eastAsia="Times New Roman" w:hAnsi="PT Astra Serif" w:cs="Times New Roman"/>
          <w:bCs/>
          <w:color w:val="000000"/>
          <w:szCs w:val="28"/>
          <w:lang w:eastAsia="ru-RU"/>
        </w:rPr>
        <w:t>, а);</w:t>
      </w:r>
    </w:p>
    <w:p w14:paraId="645747E3" w14:textId="48A2F56E"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4. Дом, в котором жила семья Ульяновых в 1878 - 1887 гг. В доме – мемориальный музей В.И.</w:t>
      </w:r>
      <w:r w:rsidR="008041FC">
        <w:rPr>
          <w:rFonts w:ascii="PT Astra Serif" w:eastAsia="Times New Roman" w:hAnsi="PT Astra Serif" w:cs="Times New Roman"/>
          <w:bCs/>
          <w:color w:val="000000"/>
          <w:szCs w:val="28"/>
          <w:lang w:eastAsia="ru-RU"/>
        </w:rPr>
        <w:t> </w:t>
      </w:r>
      <w:r w:rsidRPr="00CB6232">
        <w:rPr>
          <w:rFonts w:ascii="PT Astra Serif" w:eastAsia="Times New Roman" w:hAnsi="PT Astra Serif" w:cs="Times New Roman"/>
          <w:bCs/>
          <w:color w:val="000000"/>
          <w:szCs w:val="28"/>
          <w:lang w:eastAsia="ru-RU"/>
        </w:rPr>
        <w:t>Ленина (г. Ульяновск, ул. Ленина, 68);</w:t>
      </w:r>
    </w:p>
    <w:p w14:paraId="036DBD2A"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5. Здание Мариинской женской гимназии, где у учившихся здесь Анны Ильиничны и Ольги Ильиничны Ульяновых на торжественных актах бывал Ленин Владимир Ильич (г. Ульяновск, ул. Льва Толстого, 97);</w:t>
      </w:r>
    </w:p>
    <w:p w14:paraId="23FEA4BD"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6. Здание губернского правления (г. Ульяновск, б-р Новый Венец, 1);</w:t>
      </w:r>
    </w:p>
    <w:p w14:paraId="7B02AE23"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7. Дом-памятник писателю Гончарову Ивану Александровичу, построенный на средства, собранные по Всероссийской подписке </w:t>
      </w:r>
      <w:r w:rsidRPr="00CB6232">
        <w:rPr>
          <w:rFonts w:ascii="PT Astra Serif" w:eastAsia="Times New Roman" w:hAnsi="PT Astra Serif" w:cs="Times New Roman"/>
          <w:bCs/>
          <w:color w:val="000000"/>
          <w:szCs w:val="28"/>
          <w:lang w:eastAsia="ru-RU"/>
        </w:rPr>
        <w:br/>
        <w:t>(г. Ульяновск, бульвар Новый Венец, 3/4);</w:t>
      </w:r>
    </w:p>
    <w:p w14:paraId="30DF7FDC"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8. Здание пансионата Симбирской мужской классической гимназии, </w:t>
      </w:r>
      <w:r w:rsidRPr="00CB6232">
        <w:rPr>
          <w:rFonts w:ascii="PT Astra Serif" w:eastAsia="Times New Roman" w:hAnsi="PT Astra Serif" w:cs="Times New Roman"/>
          <w:bCs/>
          <w:color w:val="000000"/>
          <w:szCs w:val="28"/>
          <w:lang w:eastAsia="ru-RU"/>
        </w:rPr>
        <w:br/>
        <w:t>в котором Ленин Владимир Ильич неоднократно бывал у своих товарищей-гимназистов в период учебы в гимназии (г. Ульяновск, ул. Спасская, 14/5);</w:t>
      </w:r>
    </w:p>
    <w:p w14:paraId="0938DA3D"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9. Здание симбирской мужской классической гимназии, где учился Ленин Владимир Ильич в 1880 – 1887 гг. (г. Ульяновск, ул. Спасская, 18/2);</w:t>
      </w:r>
    </w:p>
    <w:p w14:paraId="65191C4B"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10. Дом Языкова Николая Михайловича, в котором в 1833 году проездом из Петербурга в Оренбург останавливался А.С. Пушкин </w:t>
      </w:r>
      <w:r w:rsidRPr="00CB6232">
        <w:rPr>
          <w:rFonts w:ascii="PT Astra Serif" w:eastAsia="Times New Roman" w:hAnsi="PT Astra Serif" w:cs="Times New Roman"/>
          <w:bCs/>
          <w:color w:val="000000"/>
          <w:szCs w:val="28"/>
          <w:lang w:eastAsia="ru-RU"/>
        </w:rPr>
        <w:br/>
        <w:t>(г. Ульяновск, ул. Спасская, 22;)</w:t>
      </w:r>
    </w:p>
    <w:p w14:paraId="0F5F43B0" w14:textId="77777777" w:rsidR="00CB6232" w:rsidRPr="00CB6232" w:rsidRDefault="00CB6232" w:rsidP="00CB6232">
      <w:pPr>
        <w:widowControl w:val="0"/>
        <w:rPr>
          <w:rFonts w:ascii="PT Astra Serif" w:eastAsia="Times New Roman" w:hAnsi="PT Astra Serif" w:cs="Times New Roman"/>
          <w:bCs/>
          <w:color w:val="000000"/>
          <w:szCs w:val="28"/>
          <w:lang w:eastAsia="ru-RU"/>
        </w:rPr>
      </w:pPr>
      <w:r w:rsidRPr="00CB6232">
        <w:rPr>
          <w:rFonts w:ascii="PT Astra Serif" w:eastAsia="Times New Roman" w:hAnsi="PT Astra Serif" w:cs="Times New Roman"/>
          <w:bCs/>
          <w:color w:val="000000"/>
          <w:szCs w:val="28"/>
          <w:lang w:eastAsia="ru-RU"/>
        </w:rPr>
        <w:t xml:space="preserve">11. Дом, в котором с 1850 по 1855 гг. жил Огарев Николай Платонович (Ульяновская область, Инзенский район, с. </w:t>
      </w:r>
      <w:proofErr w:type="spellStart"/>
      <w:r w:rsidRPr="00CB6232">
        <w:rPr>
          <w:rFonts w:ascii="PT Astra Serif" w:eastAsia="Times New Roman" w:hAnsi="PT Astra Serif" w:cs="Times New Roman"/>
          <w:bCs/>
          <w:color w:val="000000"/>
          <w:szCs w:val="28"/>
          <w:lang w:eastAsia="ru-RU"/>
        </w:rPr>
        <w:t>Проломиха</w:t>
      </w:r>
      <w:proofErr w:type="spellEnd"/>
      <w:r w:rsidRPr="00CB6232">
        <w:rPr>
          <w:rFonts w:ascii="PT Astra Serif" w:eastAsia="Times New Roman" w:hAnsi="PT Astra Serif" w:cs="Times New Roman"/>
          <w:bCs/>
          <w:color w:val="000000"/>
          <w:szCs w:val="28"/>
          <w:lang w:eastAsia="ru-RU"/>
        </w:rPr>
        <w:t>, северо-восточная окраина села)</w:t>
      </w:r>
    </w:p>
    <w:p w14:paraId="54B473A1"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 xml:space="preserve">Рассмотрено 4 комплекта проектной документации на проведение работ по сохранению объектов культурного наследия федерального значения: </w:t>
      </w:r>
    </w:p>
    <w:p w14:paraId="29C4C646"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 xml:space="preserve">здание Мариинской женской гимназии, где у учившихся здесь Анны Ильиничны и Ольги Ильиничны Ульяновых на торжественных актах бывал Ленин Владимир Ильич (г. Ульяновск, ул. Льва Толстого, 97); </w:t>
      </w:r>
    </w:p>
    <w:p w14:paraId="7CF73CA6" w14:textId="5F82B2A8" w:rsidR="00CB6232" w:rsidRPr="00CB6232" w:rsidRDefault="00CB6232" w:rsidP="00CB6232">
      <w:pPr>
        <w:widowControl w:val="0"/>
        <w:tabs>
          <w:tab w:val="left" w:pos="360"/>
        </w:tabs>
        <w:autoSpaceDE w:val="0"/>
        <w:autoSpaceDN w:val="0"/>
        <w:adjustRightInd w:val="0"/>
        <w:rPr>
          <w:rFonts w:ascii="PT Astra Serif" w:eastAsia="Times New Roman" w:hAnsi="PT Astra Serif" w:cs="Arial"/>
          <w:szCs w:val="28"/>
        </w:rPr>
      </w:pPr>
      <w:r w:rsidRPr="00CB6232">
        <w:rPr>
          <w:rFonts w:ascii="PT Astra Serif" w:eastAsia="Times New Roman" w:hAnsi="PT Astra Serif" w:cs="Arial"/>
          <w:szCs w:val="28"/>
        </w:rPr>
        <w:t xml:space="preserve">здание бывшего кадетского корпуса, где 11 июля 1918 г. был ликвидирован левоэсеровский </w:t>
      </w:r>
      <w:proofErr w:type="spellStart"/>
      <w:r w:rsidRPr="00CB6232">
        <w:rPr>
          <w:rFonts w:ascii="PT Astra Serif" w:eastAsia="Times New Roman" w:hAnsi="PT Astra Serif" w:cs="Arial"/>
          <w:szCs w:val="28"/>
        </w:rPr>
        <w:t>муравьёвский</w:t>
      </w:r>
      <w:proofErr w:type="spellEnd"/>
      <w:r w:rsidRPr="00CB6232">
        <w:rPr>
          <w:rFonts w:ascii="PT Astra Serif" w:eastAsia="Times New Roman" w:hAnsi="PT Astra Serif" w:cs="Arial"/>
          <w:szCs w:val="28"/>
        </w:rPr>
        <w:t xml:space="preserve"> мятеж. Здесь в марте - июле </w:t>
      </w:r>
      <w:r w:rsidR="008041FC">
        <w:rPr>
          <w:rFonts w:ascii="PT Astra Serif" w:eastAsia="Times New Roman" w:hAnsi="PT Astra Serif" w:cs="Arial"/>
          <w:szCs w:val="28"/>
        </w:rPr>
        <w:br/>
      </w:r>
      <w:r w:rsidRPr="00CB6232">
        <w:rPr>
          <w:rFonts w:ascii="PT Astra Serif" w:eastAsia="Times New Roman" w:hAnsi="PT Astra Serif" w:cs="Arial"/>
          <w:szCs w:val="28"/>
        </w:rPr>
        <w:t xml:space="preserve">1918 г. помещался Симбирский комитет РКП/б/ и исполком Совета рабочих, крестьянских и солдатских депутатов Симбирской губернии (г. Ульяновск, </w:t>
      </w:r>
      <w:r w:rsidR="008041FC">
        <w:rPr>
          <w:rFonts w:ascii="PT Astra Serif" w:eastAsia="Times New Roman" w:hAnsi="PT Astra Serif" w:cs="Arial"/>
          <w:szCs w:val="28"/>
        </w:rPr>
        <w:br/>
      </w:r>
      <w:r w:rsidRPr="00CB6232">
        <w:rPr>
          <w:rFonts w:ascii="PT Astra Serif" w:eastAsia="Times New Roman" w:hAnsi="PT Astra Serif" w:cs="Arial"/>
          <w:szCs w:val="28"/>
        </w:rPr>
        <w:t>ул. Спасская, 7);</w:t>
      </w:r>
    </w:p>
    <w:p w14:paraId="33DEA89D"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Arial"/>
          <w:szCs w:val="28"/>
        </w:rPr>
        <w:t xml:space="preserve">здание пансионата Симбирской мужской классической гимназии, </w:t>
      </w:r>
      <w:r w:rsidRPr="00CB6232">
        <w:rPr>
          <w:rFonts w:ascii="PT Astra Serif" w:eastAsia="Times New Roman" w:hAnsi="PT Astra Serif" w:cs="Arial"/>
          <w:szCs w:val="28"/>
        </w:rPr>
        <w:br/>
      </w:r>
      <w:r w:rsidRPr="00CB6232">
        <w:rPr>
          <w:rFonts w:ascii="PT Astra Serif" w:eastAsia="Times New Roman" w:hAnsi="PT Astra Serif" w:cs="Arial"/>
          <w:szCs w:val="28"/>
        </w:rPr>
        <w:lastRenderedPageBreak/>
        <w:t>в котором Ленин Владимир Ильич неоднократно бывал у своих товарищей-гимназистов в период учебы в гимназии (г. Ульяновск, ул. Спасская, 14/5);</w:t>
      </w:r>
    </w:p>
    <w:p w14:paraId="7FF74FB2"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здание симбирской мужской классической гимназии, где учился Ленин Владимир Ильич в 1880 – 1887 гг. (г. Ульяновск, ул. Спасская, 18);</w:t>
      </w:r>
    </w:p>
    <w:p w14:paraId="4DB95680"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Рассмотрено и согласовано 2 комплекта отчетной документации, на объекты культурного наследия федерального значения:</w:t>
      </w:r>
    </w:p>
    <w:p w14:paraId="5A3849A2" w14:textId="282D1C4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Церковь Воскресения, 1906</w:t>
      </w:r>
      <w:r w:rsidR="008041FC">
        <w:rPr>
          <w:rFonts w:ascii="PT Astra Serif" w:eastAsia="Times New Roman" w:hAnsi="PT Astra Serif" w:cs="Times New Roman"/>
          <w:szCs w:val="28"/>
        </w:rPr>
        <w:t xml:space="preserve"> </w:t>
      </w:r>
      <w:r w:rsidRPr="00CB6232">
        <w:rPr>
          <w:rFonts w:ascii="PT Astra Serif" w:eastAsia="Times New Roman" w:hAnsi="PT Astra Serif" w:cs="Times New Roman"/>
          <w:szCs w:val="28"/>
        </w:rPr>
        <w:t>-</w:t>
      </w:r>
      <w:r w:rsidR="008041FC">
        <w:rPr>
          <w:rFonts w:ascii="PT Astra Serif" w:eastAsia="Times New Roman" w:hAnsi="PT Astra Serif" w:cs="Times New Roman"/>
          <w:szCs w:val="28"/>
        </w:rPr>
        <w:t xml:space="preserve"> </w:t>
      </w:r>
      <w:r w:rsidRPr="00CB6232">
        <w:rPr>
          <w:rFonts w:ascii="PT Astra Serif" w:eastAsia="Times New Roman" w:hAnsi="PT Astra Serif" w:cs="Times New Roman"/>
          <w:szCs w:val="28"/>
        </w:rPr>
        <w:t>1911 годы (г. Ульяновск, ул. Карла Маркса, 54);</w:t>
      </w:r>
    </w:p>
    <w:p w14:paraId="3C6DC396"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здание губернского правления (г. Ульяновск, бульвар Новый Венец, 1).</w:t>
      </w:r>
    </w:p>
    <w:p w14:paraId="59F5355F" w14:textId="301EFF73"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 xml:space="preserve">Ведутся работы по ремонту уникального объекта советской эпохи, аналогов которому нет на всей территории бывшего СССР - «Здание Мемориального центра, сооруженное в честь 100-летия со дня рождения Ленина Владимира Ильича», пл. 100-летия со дня рождения Ленина, 1 (выполнен ремонт крыши, фасадов, гранитной платформы, завершены работы по приспособление малого зала под зал камерной и органной музыки, </w:t>
      </w:r>
      <w:r w:rsidR="00830BA9">
        <w:rPr>
          <w:rFonts w:ascii="PT Astra Serif" w:eastAsia="Times New Roman" w:hAnsi="PT Astra Serif" w:cs="Times New Roman"/>
          <w:szCs w:val="28"/>
        </w:rPr>
        <w:br/>
      </w:r>
      <w:r w:rsidRPr="00CB6232">
        <w:rPr>
          <w:rFonts w:ascii="PT Astra Serif" w:eastAsia="Times New Roman" w:hAnsi="PT Astra Serif" w:cs="Times New Roman"/>
          <w:szCs w:val="28"/>
        </w:rPr>
        <w:t xml:space="preserve">в настоящее время продолжаются работы по ремонту помещений </w:t>
      </w:r>
      <w:r w:rsidRPr="00CB6232">
        <w:rPr>
          <w:rFonts w:ascii="PT Astra Serif" w:eastAsia="Times New Roman" w:hAnsi="PT Astra Serif" w:cs="Times New Roman"/>
          <w:szCs w:val="28"/>
        </w:rPr>
        <w:br/>
        <w:t xml:space="preserve">и инженерных систем). Здание сооружено в 1967 - 1970 годах с целью </w:t>
      </w:r>
      <w:proofErr w:type="spellStart"/>
      <w:r w:rsidRPr="00CB6232">
        <w:rPr>
          <w:rFonts w:ascii="PT Astra Serif" w:eastAsia="Times New Roman" w:hAnsi="PT Astra Serif" w:cs="Times New Roman"/>
          <w:szCs w:val="28"/>
        </w:rPr>
        <w:t>мем</w:t>
      </w:r>
      <w:r w:rsidR="008041FC">
        <w:rPr>
          <w:rFonts w:ascii="PT Astra Serif" w:eastAsia="Times New Roman" w:hAnsi="PT Astra Serif" w:cs="Times New Roman"/>
          <w:szCs w:val="28"/>
        </w:rPr>
        <w:t>ориализации</w:t>
      </w:r>
      <w:proofErr w:type="spellEnd"/>
      <w:r w:rsidR="008041FC">
        <w:rPr>
          <w:rFonts w:ascii="PT Astra Serif" w:eastAsia="Times New Roman" w:hAnsi="PT Astra Serif" w:cs="Times New Roman"/>
          <w:szCs w:val="28"/>
        </w:rPr>
        <w:t xml:space="preserve"> места рождения В.И. </w:t>
      </w:r>
      <w:r w:rsidRPr="00CB6232">
        <w:rPr>
          <w:rFonts w:ascii="PT Astra Serif" w:eastAsia="Times New Roman" w:hAnsi="PT Astra Serif" w:cs="Times New Roman"/>
          <w:szCs w:val="28"/>
        </w:rPr>
        <w:t xml:space="preserve">Ленина. За все эти годы капитальный ремонт ни разу не проводился. </w:t>
      </w:r>
    </w:p>
    <w:p w14:paraId="2F0D5C39" w14:textId="77777777" w:rsidR="00CB6232" w:rsidRPr="00CB6232" w:rsidRDefault="00CB6232" w:rsidP="00CB6232">
      <w:pPr>
        <w:widowControl w:val="0"/>
        <w:tabs>
          <w:tab w:val="left" w:pos="360"/>
        </w:tabs>
        <w:autoSpaceDE w:val="0"/>
        <w:autoSpaceDN w:val="0"/>
        <w:adjustRightInd w:val="0"/>
        <w:rPr>
          <w:rFonts w:ascii="PT Astra Serif" w:eastAsia="Times New Roman" w:hAnsi="PT Astra Serif" w:cs="Times New Roman"/>
          <w:szCs w:val="28"/>
        </w:rPr>
      </w:pPr>
      <w:r w:rsidRPr="00CB6232">
        <w:rPr>
          <w:rFonts w:ascii="PT Astra Serif" w:eastAsia="Times New Roman" w:hAnsi="PT Astra Serif" w:cs="Times New Roman"/>
          <w:szCs w:val="28"/>
        </w:rPr>
        <w:t xml:space="preserve">На сегодняшний день полностью завершен ремонт и приспособление помещения под зал органной музыки, работы по ремонту крыши, облицовке фасадов мрамором, ремонту гранитной платформы, замене оконных заполнений, ремонту помещений и инженерных систем (электроснабжения, кондиционирования, отопления, водоснабжения и водоотведения, </w:t>
      </w:r>
      <w:proofErr w:type="spellStart"/>
      <w:r w:rsidRPr="00CB6232">
        <w:rPr>
          <w:rFonts w:ascii="PT Astra Serif" w:eastAsia="Times New Roman" w:hAnsi="PT Astra Serif" w:cs="Times New Roman"/>
          <w:szCs w:val="28"/>
        </w:rPr>
        <w:t>пожарооповещения</w:t>
      </w:r>
      <w:proofErr w:type="spellEnd"/>
      <w:r w:rsidRPr="00CB6232">
        <w:rPr>
          <w:rFonts w:ascii="PT Astra Serif" w:eastAsia="Times New Roman" w:hAnsi="PT Astra Serif" w:cs="Times New Roman"/>
          <w:szCs w:val="28"/>
        </w:rPr>
        <w:t xml:space="preserve"> и пожаротушения).</w:t>
      </w:r>
    </w:p>
    <w:p w14:paraId="2E97C0F6" w14:textId="6EE2F392"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На 2026 год запланировано продолжить начатые в 2023 году ремонтно-реставрационные работы на 2 объектах федерального значения «Здание симбирской мужской классической гимназии, где учился Ленин Владимир Ильич в 1880 – 1887 гг. (г. Ульяновск, ул. Спасская, 18/2), «Здание гостиницы «Пассаж», где с мая по июнь 1918 г. жил советский государственный </w:t>
      </w:r>
      <w:r w:rsidR="00830BA9">
        <w:rPr>
          <w:rFonts w:ascii="PT Astra Serif" w:eastAsia="Times New Roman" w:hAnsi="PT Astra Serif" w:cs="Times New Roman"/>
          <w:szCs w:val="28"/>
          <w:lang w:eastAsia="ru-RU"/>
        </w:rPr>
        <w:br/>
      </w:r>
      <w:r w:rsidRPr="00CB6232">
        <w:rPr>
          <w:rFonts w:ascii="PT Astra Serif" w:eastAsia="Times New Roman" w:hAnsi="PT Astra Serif" w:cs="Times New Roman"/>
          <w:szCs w:val="28"/>
          <w:lang w:eastAsia="ru-RU"/>
        </w:rPr>
        <w:t xml:space="preserve">и партийный деятель </w:t>
      </w:r>
      <w:r w:rsidR="00830BA9">
        <w:rPr>
          <w:rFonts w:ascii="PT Astra Serif" w:eastAsia="Times New Roman" w:hAnsi="PT Astra Serif" w:cs="Times New Roman"/>
          <w:szCs w:val="28"/>
          <w:lang w:eastAsia="ru-RU"/>
        </w:rPr>
        <w:t>И.М. </w:t>
      </w:r>
      <w:proofErr w:type="spellStart"/>
      <w:r w:rsidRPr="00CB6232">
        <w:rPr>
          <w:rFonts w:ascii="PT Astra Serif" w:eastAsia="Times New Roman" w:hAnsi="PT Astra Serif" w:cs="Times New Roman"/>
          <w:szCs w:val="28"/>
          <w:lang w:eastAsia="ru-RU"/>
        </w:rPr>
        <w:t>Варейкис</w:t>
      </w:r>
      <w:proofErr w:type="spellEnd"/>
      <w:r w:rsidRPr="00CB6232">
        <w:rPr>
          <w:rFonts w:ascii="PT Astra Serif" w:eastAsia="Times New Roman" w:hAnsi="PT Astra Serif" w:cs="Times New Roman"/>
          <w:szCs w:val="28"/>
          <w:lang w:eastAsia="ru-RU"/>
        </w:rPr>
        <w:t xml:space="preserve">» (г. Ульяновск, ул. Гончарова, 38/8) </w:t>
      </w:r>
    </w:p>
    <w:p w14:paraId="0ED2776F"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Продолжаются начатые в 2025 году ремонтно-реставрационные работы объектов культурного наследия федерального значения «Здание Мариинской женской гимназии, где у учившихся здесь Анны Ильиничны и Ольги Ильиничны Ульяновых на торжественных актах бывал Ленин Владимир Ильич» (г. Ульяновск, ул. Льва Толстого, 97) и «Дом Языкова Николая Михайловича, в котором в 1833 году проездом из Петербурга в Оренбург останавливался А.С. Пушкин» (г. Ульяновск, ул. Спасская, 22).</w:t>
      </w:r>
    </w:p>
    <w:p w14:paraId="3B3C9D8A" w14:textId="77777777" w:rsidR="00CB6232" w:rsidRPr="00CB6232" w:rsidRDefault="00CB6232" w:rsidP="00CB6232">
      <w:pPr>
        <w:widowControl w:val="0"/>
        <w:rPr>
          <w:rFonts w:ascii="PT Astra Serif" w:eastAsia="Times New Roman" w:hAnsi="PT Astra Serif" w:cs="Times New Roman"/>
          <w:szCs w:val="28"/>
          <w:lang w:eastAsia="ru-RU"/>
        </w:rPr>
      </w:pPr>
      <w:r w:rsidRPr="00CB6232">
        <w:rPr>
          <w:rFonts w:ascii="PT Astra Serif" w:eastAsia="Times New Roman" w:hAnsi="PT Astra Serif" w:cs="Times New Roman"/>
          <w:szCs w:val="28"/>
          <w:lang w:eastAsia="ru-RU"/>
        </w:rPr>
        <w:t xml:space="preserve">Выполнен комплекс противоаварийных и консервационных работ объекта культурного наследия федерального значения «Дом, в котором </w:t>
      </w:r>
      <w:r w:rsidRPr="00CB6232">
        <w:rPr>
          <w:rFonts w:ascii="PT Astra Serif" w:eastAsia="Times New Roman" w:hAnsi="PT Astra Serif" w:cs="Times New Roman"/>
          <w:szCs w:val="28"/>
          <w:lang w:eastAsia="ru-RU"/>
        </w:rPr>
        <w:br/>
        <w:t xml:space="preserve">с 1850 по 1855 гг. жил Огарев Николай Платонович» (Ульяновская область, Инзенский район, с. </w:t>
      </w:r>
      <w:proofErr w:type="spellStart"/>
      <w:r w:rsidRPr="00CB6232">
        <w:rPr>
          <w:rFonts w:ascii="PT Astra Serif" w:eastAsia="Times New Roman" w:hAnsi="PT Astra Serif" w:cs="Times New Roman"/>
          <w:szCs w:val="28"/>
          <w:lang w:eastAsia="ru-RU"/>
        </w:rPr>
        <w:t>Проломиха</w:t>
      </w:r>
      <w:proofErr w:type="spellEnd"/>
      <w:r w:rsidRPr="00CB6232">
        <w:rPr>
          <w:rFonts w:ascii="PT Astra Serif" w:eastAsia="Times New Roman" w:hAnsi="PT Astra Serif" w:cs="Times New Roman"/>
          <w:szCs w:val="28"/>
          <w:lang w:eastAsia="ru-RU"/>
        </w:rPr>
        <w:t>, северо-восточная окраина села).</w:t>
      </w:r>
    </w:p>
    <w:p w14:paraId="1F748429" w14:textId="77777777" w:rsidR="00CB6232" w:rsidRPr="00CB6232" w:rsidRDefault="00CB6232" w:rsidP="00CB6232">
      <w:pPr>
        <w:widowControl w:val="0"/>
        <w:autoSpaceDE w:val="0"/>
        <w:autoSpaceDN w:val="0"/>
        <w:adjustRightInd w:val="0"/>
        <w:rPr>
          <w:rFonts w:ascii="PT Astra Serif" w:eastAsia="Calibri" w:hAnsi="PT Astra Serif" w:cs="Times New Roman"/>
          <w:szCs w:val="28"/>
          <w:lang w:eastAsia="ru-RU"/>
        </w:rPr>
      </w:pPr>
      <w:r w:rsidRPr="00CB6232">
        <w:rPr>
          <w:rFonts w:ascii="PT Astra Serif" w:eastAsia="Calibri" w:hAnsi="PT Astra Serif" w:cs="Times New Roman"/>
          <w:szCs w:val="28"/>
          <w:lang w:eastAsia="ru-RU"/>
        </w:rPr>
        <w:t xml:space="preserve">В 2025 году в рамках популяризации объектов культурного наследия, расположенных на территории Ульяновской области, проведены следующие мероприятия: </w:t>
      </w:r>
    </w:p>
    <w:p w14:paraId="53FEE83E" w14:textId="77777777" w:rsidR="00CB6232" w:rsidRPr="00CB6232" w:rsidRDefault="00CB6232" w:rsidP="00CB6232">
      <w:pPr>
        <w:widowControl w:val="0"/>
        <w:autoSpaceDE w:val="0"/>
        <w:autoSpaceDN w:val="0"/>
        <w:adjustRightInd w:val="0"/>
        <w:rPr>
          <w:rFonts w:ascii="PT Astra Serif" w:eastAsia="Calibri" w:hAnsi="PT Astra Serif" w:cs="Times New Roman"/>
          <w:szCs w:val="28"/>
          <w:lang w:eastAsia="ru-RU"/>
        </w:rPr>
      </w:pPr>
      <w:r w:rsidRPr="00CB6232">
        <w:rPr>
          <w:rFonts w:ascii="PT Astra Serif" w:eastAsia="Calibri" w:hAnsi="PT Astra Serif" w:cs="Times New Roman"/>
          <w:szCs w:val="28"/>
          <w:lang w:eastAsia="ru-RU"/>
        </w:rPr>
        <w:lastRenderedPageBreak/>
        <w:t xml:space="preserve">1. Проведена акция «Под силу каждому!» в ходе, которой проведено благоустройство территорий объектов культурного наследия федерального значения «Могильник», IX - XI вв. и «Бюст И.А. Гончарова», 1948 г. </w:t>
      </w:r>
      <w:r w:rsidRPr="00CB6232">
        <w:rPr>
          <w:rFonts w:ascii="PT Astra Serif" w:eastAsia="Calibri" w:hAnsi="PT Astra Serif" w:cs="Times New Roman"/>
          <w:szCs w:val="28"/>
          <w:lang w:eastAsia="ru-RU"/>
        </w:rPr>
        <w:br/>
        <w:t xml:space="preserve">(г. Ульяновск, пер. Карамзина, сквер). </w:t>
      </w:r>
    </w:p>
    <w:p w14:paraId="75207A12" w14:textId="77777777" w:rsidR="00CB6232" w:rsidRPr="00CB6232" w:rsidRDefault="00CB6232" w:rsidP="00CB6232">
      <w:pPr>
        <w:widowControl w:val="0"/>
        <w:autoSpaceDE w:val="0"/>
        <w:autoSpaceDN w:val="0"/>
        <w:adjustRightInd w:val="0"/>
        <w:rPr>
          <w:rFonts w:ascii="PT Astra Serif" w:eastAsia="Calibri" w:hAnsi="PT Astra Serif" w:cs="Courier New"/>
          <w:szCs w:val="28"/>
          <w:lang w:eastAsia="ru-RU"/>
        </w:rPr>
      </w:pPr>
      <w:r w:rsidRPr="00CB6232">
        <w:rPr>
          <w:rFonts w:ascii="PT Astra Serif" w:eastAsia="Calibri" w:hAnsi="PT Astra Serif" w:cs="Courier New"/>
          <w:szCs w:val="28"/>
          <w:lang w:eastAsia="ru-RU"/>
        </w:rPr>
        <w:t>2. Экспедиции - осмотр объектов культурного наследия Вешкаймского, Карсунского, Новоспасского, Павловского, Чердаклинского, Сурского, Ульяновского районов Ульяновской области.</w:t>
      </w:r>
    </w:p>
    <w:p w14:paraId="79F805CA" w14:textId="698813B8" w:rsidR="00CB6232" w:rsidRPr="00CB6232" w:rsidRDefault="00CB6232" w:rsidP="00CB6232">
      <w:pPr>
        <w:widowControl w:val="0"/>
        <w:autoSpaceDE w:val="0"/>
        <w:autoSpaceDN w:val="0"/>
        <w:adjustRightInd w:val="0"/>
        <w:rPr>
          <w:rFonts w:ascii="PT Astra Serif" w:eastAsia="Calibri" w:hAnsi="PT Astra Serif" w:cs="Times New Roman"/>
          <w:szCs w:val="28"/>
          <w:lang w:eastAsia="ru-RU"/>
        </w:rPr>
      </w:pPr>
      <w:r w:rsidRPr="00CB6232">
        <w:rPr>
          <w:rFonts w:ascii="PT Astra Serif" w:eastAsia="Calibri" w:hAnsi="PT Astra Serif" w:cs="Times New Roman"/>
          <w:szCs w:val="28"/>
          <w:lang w:eastAsia="ru-RU"/>
        </w:rPr>
        <w:t xml:space="preserve">В 2025 году переведен в официальный режим и функционирует сайт управления по охране объектов культурного наследия администрации Губернатора Ульяновской области, являющийся первым информационным ресурсом, созданным на платформе </w:t>
      </w:r>
      <w:proofErr w:type="spellStart"/>
      <w:r w:rsidRPr="00CB6232">
        <w:rPr>
          <w:rFonts w:ascii="PT Astra Serif" w:eastAsia="Calibri" w:hAnsi="PT Astra Serif" w:cs="Times New Roman"/>
          <w:szCs w:val="28"/>
          <w:lang w:eastAsia="ru-RU"/>
        </w:rPr>
        <w:t>Госвеб</w:t>
      </w:r>
      <w:proofErr w:type="spellEnd"/>
      <w:r w:rsidRPr="00CB6232">
        <w:rPr>
          <w:rFonts w:ascii="PT Astra Serif" w:eastAsia="Calibri" w:hAnsi="PT Astra Serif" w:cs="Times New Roman"/>
          <w:szCs w:val="28"/>
          <w:lang w:eastAsia="ru-RU"/>
        </w:rPr>
        <w:t xml:space="preserve"> - это первый опыт в масштабах Российской Федерации по направлению сохранения культурного наследия. На сайте представлены 3 D модели крупнейших городищ Ульяновской области, архитектурный памятник «Булгарская баня», </w:t>
      </w:r>
      <w:proofErr w:type="spellStart"/>
      <w:r w:rsidRPr="00CB6232">
        <w:rPr>
          <w:rFonts w:ascii="PT Astra Serif" w:eastAsia="Calibri" w:hAnsi="PT Astra Serif" w:cs="Times New Roman"/>
          <w:szCs w:val="28"/>
          <w:lang w:eastAsia="ru-RU"/>
        </w:rPr>
        <w:t>Канадейская</w:t>
      </w:r>
      <w:proofErr w:type="spellEnd"/>
      <w:r w:rsidRPr="00CB6232">
        <w:rPr>
          <w:rFonts w:ascii="PT Astra Serif" w:eastAsia="Calibri" w:hAnsi="PT Astra Serif" w:cs="Times New Roman"/>
          <w:szCs w:val="28"/>
          <w:lang w:eastAsia="ru-RU"/>
        </w:rPr>
        <w:t xml:space="preserve"> башня и многое другое.</w:t>
      </w:r>
    </w:p>
    <w:p w14:paraId="3B02FCF6" w14:textId="77777777" w:rsidR="00CB6232" w:rsidRPr="00CB6232" w:rsidRDefault="00CB6232" w:rsidP="00CB6232">
      <w:pPr>
        <w:widowControl w:val="0"/>
        <w:autoSpaceDE w:val="0"/>
        <w:autoSpaceDN w:val="0"/>
        <w:adjustRightInd w:val="0"/>
        <w:rPr>
          <w:rFonts w:ascii="PT Astra Serif" w:eastAsia="Calibri" w:hAnsi="PT Astra Serif" w:cs="Courier New"/>
          <w:b/>
          <w:sz w:val="20"/>
          <w:szCs w:val="28"/>
          <w:lang w:eastAsia="ru-RU"/>
        </w:rPr>
      </w:pPr>
      <w:r w:rsidRPr="00CB6232">
        <w:rPr>
          <w:rFonts w:ascii="PT Astra Serif" w:eastAsia="Calibri" w:hAnsi="PT Astra Serif" w:cs="Times New Roman"/>
          <w:szCs w:val="28"/>
          <w:lang w:eastAsia="ru-RU"/>
        </w:rPr>
        <w:t>Новости на сайте размещаются в ежедневном режиме. На сайте размещаются акты государственной историко-культурной экспертизы, сводки общественных обсуждений, размещается информация о выявленных памятниках археологии и многое другое. В настоящий момент на сайте размещены 173 охранных обязательства (размещены ссылки на оставшиеся 200 с архивной версии), программы проверок, нормативная база, предметы охраны, границы территорий, реестр объектов культурного наследия, списки выявленных археологических памятников региона и многое другое.</w:t>
      </w:r>
    </w:p>
    <w:p w14:paraId="7CAF3677" w14:textId="77777777" w:rsidR="00CB6232" w:rsidRPr="00CB6232" w:rsidRDefault="00CB6232" w:rsidP="00CB6232">
      <w:pPr>
        <w:widowControl w:val="0"/>
        <w:rPr>
          <w:rFonts w:ascii="PT Astra Serif" w:eastAsia="Times New Roman" w:hAnsi="PT Astra Serif" w:cs="Times New Roman"/>
          <w:b/>
          <w:szCs w:val="28"/>
          <w:lang w:eastAsia="ru-RU"/>
        </w:rPr>
      </w:pPr>
    </w:p>
    <w:p w14:paraId="68C96FE9"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r w:rsidRPr="00CB6232">
        <w:rPr>
          <w:rFonts w:ascii="PT Astra Serif" w:eastAsia="Times New Roman" w:hAnsi="PT Astra Serif" w:cs="Times New Roman"/>
          <w:b/>
          <w:szCs w:val="28"/>
          <w:lang w:eastAsia="ru-RU"/>
        </w:rPr>
        <w:t>Основные риски и задачи 2026 года</w:t>
      </w:r>
    </w:p>
    <w:p w14:paraId="12D72114" w14:textId="77777777" w:rsidR="00CB6232" w:rsidRPr="00CB6232" w:rsidRDefault="00CB6232" w:rsidP="00CB6232">
      <w:pPr>
        <w:widowControl w:val="0"/>
        <w:ind w:firstLine="0"/>
        <w:jc w:val="center"/>
        <w:rPr>
          <w:rFonts w:ascii="PT Astra Serif" w:eastAsia="Times New Roman" w:hAnsi="PT Astra Serif" w:cs="Times New Roman"/>
          <w:b/>
          <w:szCs w:val="28"/>
          <w:lang w:eastAsia="ru-RU"/>
        </w:rPr>
      </w:pPr>
    </w:p>
    <w:p w14:paraId="621CB12A"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 xml:space="preserve">В 2026 году Управление планирует продолжать плановую работу по охране объектов культурного наследия в соответствии с требованиями законодательства об охране объектов культурного наследия и в рамках своих полномочий. </w:t>
      </w:r>
    </w:p>
    <w:p w14:paraId="01C57B3E" w14:textId="1A54FF39"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 xml:space="preserve">Планируется завершить работу по разработке новых зон охраны объектов культурного наследия в исторической части города Ульяновска, что положительно повлияет на регулирование градостроительной </w:t>
      </w:r>
      <w:r w:rsidR="008041FC">
        <w:rPr>
          <w:rFonts w:ascii="PT Astra Serif" w:eastAsia="Times New Roman" w:hAnsi="PT Astra Serif" w:cs="Times New Roman"/>
          <w:szCs w:val="20"/>
          <w:lang w:eastAsia="ru-RU"/>
        </w:rPr>
        <w:br/>
      </w:r>
      <w:r w:rsidRPr="00CB6232">
        <w:rPr>
          <w:rFonts w:ascii="PT Astra Serif" w:eastAsia="Times New Roman" w:hAnsi="PT Astra Serif" w:cs="Times New Roman"/>
          <w:szCs w:val="20"/>
          <w:lang w:eastAsia="ru-RU"/>
        </w:rPr>
        <w:t>и хозяйственной деятельности в историческом центре г. Ульяновска.</w:t>
      </w:r>
    </w:p>
    <w:p w14:paraId="1015AAFB" w14:textId="77777777" w:rsidR="00CB6232" w:rsidRPr="00CB6232" w:rsidRDefault="00CB6232" w:rsidP="00CB6232">
      <w:pPr>
        <w:widowControl w:val="0"/>
        <w:rPr>
          <w:rFonts w:ascii="PT Astra Serif" w:eastAsia="Times New Roman" w:hAnsi="PT Astra Serif" w:cs="Times New Roman"/>
          <w:szCs w:val="20"/>
          <w:lang w:eastAsia="ru-RU"/>
        </w:rPr>
      </w:pPr>
      <w:r w:rsidRPr="00CB6232">
        <w:rPr>
          <w:rFonts w:ascii="PT Astra Serif" w:eastAsia="Times New Roman" w:hAnsi="PT Astra Serif" w:cs="Times New Roman"/>
          <w:szCs w:val="20"/>
          <w:lang w:eastAsia="ru-RU"/>
        </w:rPr>
        <w:t>Основным риском представляется недостаточное финансирование на проведение работ по сохранению объектов культурного наследия, требующих проведения ремонтных работ.</w:t>
      </w:r>
    </w:p>
    <w:p w14:paraId="5EDC1BC1" w14:textId="1E7FACCD" w:rsidR="00CB6232" w:rsidRDefault="00CB6232" w:rsidP="00B5646F">
      <w:pPr>
        <w:widowControl w:val="0"/>
        <w:rPr>
          <w:rFonts w:ascii="PT Astra Serif" w:eastAsia="Calibri" w:hAnsi="PT Astra Serif"/>
          <w:bCs/>
        </w:rPr>
      </w:pPr>
    </w:p>
    <w:p w14:paraId="36BFBB5F" w14:textId="0B409424" w:rsidR="00CB6232" w:rsidRDefault="00CB6232" w:rsidP="00B5646F">
      <w:pPr>
        <w:widowControl w:val="0"/>
        <w:rPr>
          <w:rFonts w:ascii="PT Astra Serif" w:eastAsia="Calibri" w:hAnsi="PT Astra Serif"/>
          <w:bCs/>
        </w:rPr>
      </w:pPr>
    </w:p>
    <w:p w14:paraId="477FD151" w14:textId="77777777" w:rsidR="00CB6232" w:rsidRPr="00B5646F" w:rsidRDefault="00CB6232" w:rsidP="00B5646F">
      <w:pPr>
        <w:widowControl w:val="0"/>
        <w:rPr>
          <w:rFonts w:ascii="PT Astra Serif" w:eastAsia="Calibri" w:hAnsi="PT Astra Serif"/>
          <w:bCs/>
        </w:rPr>
      </w:pPr>
    </w:p>
    <w:p w14:paraId="14E1D425" w14:textId="2E275B5B" w:rsidR="00670773" w:rsidRDefault="00670773">
      <w:pPr>
        <w:spacing w:after="160" w:line="259" w:lineRule="auto"/>
        <w:ind w:firstLine="0"/>
        <w:jc w:val="left"/>
        <w:rPr>
          <w:rFonts w:ascii="PT Astra Serif" w:eastAsia="Times New Roman" w:hAnsi="PT Astra Serif"/>
          <w:szCs w:val="28"/>
        </w:rPr>
      </w:pPr>
      <w:r>
        <w:rPr>
          <w:rFonts w:ascii="PT Astra Serif" w:eastAsia="Times New Roman" w:hAnsi="PT Astra Serif"/>
          <w:szCs w:val="28"/>
        </w:rPr>
        <w:br w:type="page"/>
      </w:r>
    </w:p>
    <w:p w14:paraId="178C37A5" w14:textId="77777777" w:rsidR="00670773" w:rsidRPr="00670773" w:rsidRDefault="00670773" w:rsidP="00670773">
      <w:pPr>
        <w:keepNext/>
        <w:keepLines/>
        <w:widowControl w:val="0"/>
        <w:shd w:val="clear" w:color="auto" w:fill="FFFFFF"/>
        <w:ind w:firstLine="0"/>
        <w:jc w:val="center"/>
        <w:outlineLvl w:val="0"/>
        <w:rPr>
          <w:rFonts w:ascii="PT Astra Serif" w:eastAsia="Calibri" w:hAnsi="PT Astra Serif" w:cs="Times New Roman"/>
          <w:b/>
          <w:i/>
          <w:color w:val="000000" w:themeColor="text1"/>
          <w:szCs w:val="28"/>
          <w:lang w:val="x-none" w:eastAsia="x-none"/>
        </w:rPr>
      </w:pPr>
      <w:bookmarkStart w:id="37" w:name="_Toc192507328"/>
      <w:bookmarkStart w:id="38" w:name="_Toc226016705"/>
      <w:r w:rsidRPr="00670773">
        <w:rPr>
          <w:rFonts w:ascii="PT Astra Serif" w:eastAsia="Calibri" w:hAnsi="PT Astra Serif" w:cs="Times New Roman"/>
          <w:b/>
          <w:color w:val="000000" w:themeColor="text1"/>
          <w:szCs w:val="28"/>
          <w:lang w:val="x-none" w:eastAsia="x-none"/>
        </w:rPr>
        <w:lastRenderedPageBreak/>
        <w:t>ТУРИЗМ</w:t>
      </w:r>
      <w:bookmarkEnd w:id="37"/>
      <w:bookmarkEnd w:id="38"/>
    </w:p>
    <w:p w14:paraId="793F71B5" w14:textId="110E34DB" w:rsidR="00670773" w:rsidRDefault="00670773" w:rsidP="00670773">
      <w:pPr>
        <w:widowControl w:val="0"/>
        <w:rPr>
          <w:rFonts w:ascii="PT Astra Serif" w:hAnsi="PT Astra Serif"/>
          <w:color w:val="000000" w:themeColor="text1"/>
          <w:lang w:val="x-none"/>
        </w:rPr>
      </w:pPr>
    </w:p>
    <w:p w14:paraId="5863897F" w14:textId="4E98689C"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Краткая характеристика отрасли</w:t>
      </w:r>
      <w:r>
        <w:rPr>
          <w:rFonts w:ascii="PT Astra Serif" w:eastAsia="Calibri" w:hAnsi="PT Astra Serif" w:cs="Times New Roman"/>
          <w:b/>
          <w:szCs w:val="28"/>
        </w:rPr>
        <w:t>.</w:t>
      </w:r>
    </w:p>
    <w:p w14:paraId="4E556A01" w14:textId="77777777"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Объёмы финансирования в 2025 году</w:t>
      </w:r>
    </w:p>
    <w:p w14:paraId="3DD083B4" w14:textId="77777777" w:rsidR="00AB3E2D" w:rsidRPr="00AB3E2D" w:rsidRDefault="00AB3E2D" w:rsidP="00AB3E2D">
      <w:pPr>
        <w:widowControl w:val="0"/>
        <w:rPr>
          <w:rFonts w:ascii="PT Astra Serif" w:eastAsia="Calibri" w:hAnsi="PT Astra Serif" w:cs="Arial"/>
          <w:b/>
          <w:bCs/>
          <w:szCs w:val="28"/>
        </w:rPr>
      </w:pPr>
    </w:p>
    <w:p w14:paraId="035953FB"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 1 апреля 2025 года Министерство искусства и культурной политики Ульяновской области осуществляет полномочия в сфере развития туризма на территории региона.</w:t>
      </w:r>
    </w:p>
    <w:p w14:paraId="14F7718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Решение о наделении Министерства искусства и культурной политики Ульяновской области указанными полномочиями принято, в связи </w:t>
      </w:r>
      <w:r w:rsidRPr="00AB3E2D">
        <w:rPr>
          <w:rFonts w:ascii="PT Astra Serif" w:eastAsia="Calibri" w:hAnsi="PT Astra Serif" w:cs="Times New Roman"/>
          <w:szCs w:val="28"/>
        </w:rPr>
        <w:br/>
        <w:t>с внесением изменений в Федеральный закон «Об основах туристской деятельности в Российской Федерации» (в части наделения регионов новым видом полномочий - осуществление регионального государственного контроля (надзора) в сфере туристской индустрии).</w:t>
      </w:r>
    </w:p>
    <w:p w14:paraId="73CAAAAB"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В целях обеспечения эффективной реализации новых полномочий структура ведомства переформатирована, внутри Министерства искусства </w:t>
      </w:r>
      <w:r w:rsidRPr="00AB3E2D">
        <w:rPr>
          <w:rFonts w:ascii="PT Astra Serif" w:eastAsia="Calibri" w:hAnsi="PT Astra Serif" w:cs="Times New Roman"/>
          <w:szCs w:val="28"/>
        </w:rPr>
        <w:br/>
        <w:t xml:space="preserve">и культурной политики Ульяновской области создан департамент туризма, </w:t>
      </w:r>
      <w:r w:rsidRPr="00AB3E2D">
        <w:rPr>
          <w:rFonts w:ascii="PT Astra Serif" w:eastAsia="Calibri" w:hAnsi="PT Astra Serif" w:cs="Times New Roman"/>
          <w:szCs w:val="28"/>
        </w:rPr>
        <w:br/>
        <w:t>в отдел по делам архивов и контрольной (надзорной) деятельности введена ставка государственной гражданской службы, функционал которой предусматривает осуществление мероприятий по региональному государственному контролю (надзору) в сфере туристской индустрии.</w:t>
      </w:r>
    </w:p>
    <w:p w14:paraId="41025A8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Целями и задачами Министерства искусства и культурной политики Ульяновской области является последовательное создание условий для развития и продвижения туристической отрасли.</w:t>
      </w:r>
    </w:p>
    <w:p w14:paraId="1257E95A" w14:textId="77777777" w:rsidR="00AB3E2D" w:rsidRPr="00AB3E2D" w:rsidRDefault="00AB3E2D" w:rsidP="00AB3E2D">
      <w:pPr>
        <w:widowControl w:val="0"/>
        <w:rPr>
          <w:rFonts w:ascii="PT Astra Serif" w:eastAsia="Calibri" w:hAnsi="PT Astra Serif" w:cs="Times New Roman"/>
          <w:b/>
          <w:bCs/>
          <w:i/>
          <w:iCs/>
          <w:szCs w:val="28"/>
        </w:rPr>
      </w:pPr>
      <w:r w:rsidRPr="00AB3E2D">
        <w:rPr>
          <w:rFonts w:ascii="PT Astra Serif" w:eastAsia="Calibri" w:hAnsi="PT Astra Serif" w:cs="Times New Roman"/>
          <w:b/>
          <w:bCs/>
          <w:i/>
          <w:iCs/>
          <w:szCs w:val="28"/>
        </w:rPr>
        <w:t>Основные задачи в сфере туризма:</w:t>
      </w:r>
    </w:p>
    <w:p w14:paraId="519FE24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1. Реализация мер государственной поддержки в сфере туризма.</w:t>
      </w:r>
    </w:p>
    <w:p w14:paraId="7DB8D40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2. Содействие в продвижении туристских продуктов Ульяновской области на внутреннем и международном туристском рынках.</w:t>
      </w:r>
    </w:p>
    <w:p w14:paraId="36AACB4A" w14:textId="3056D6C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3. Реализация комплекса мероприятий по организации экскурсионных </w:t>
      </w:r>
      <w:r w:rsidR="003D2439">
        <w:rPr>
          <w:rFonts w:ascii="PT Astra Serif" w:eastAsia="Calibri" w:hAnsi="PT Astra Serif" w:cs="Times New Roman"/>
          <w:szCs w:val="28"/>
        </w:rPr>
        <w:br/>
      </w:r>
      <w:r w:rsidRPr="00AB3E2D">
        <w:rPr>
          <w:rFonts w:ascii="PT Astra Serif" w:eastAsia="Calibri" w:hAnsi="PT Astra Serif" w:cs="Times New Roman"/>
          <w:szCs w:val="28"/>
        </w:rPr>
        <w:t>и туристических маршрутов с культурно-познавательными целями для обучающихся в образовательных учреждениях.</w:t>
      </w:r>
    </w:p>
    <w:p w14:paraId="514598F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4. Участие в информационном обеспечении туристической отрасли, создание и развитие туристских информационных центров на территории Ульяновской области.</w:t>
      </w:r>
    </w:p>
    <w:p w14:paraId="7609453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5. Создание аттестационной комиссии для проведения аттестации экскурсоводов (гидов) и гидов-переводчиков, внесение сведений о них </w:t>
      </w:r>
      <w:r w:rsidRPr="00AB3E2D">
        <w:rPr>
          <w:rFonts w:ascii="PT Astra Serif" w:eastAsia="Calibri" w:hAnsi="PT Astra Serif" w:cs="Times New Roman"/>
          <w:szCs w:val="28"/>
        </w:rPr>
        <w:br/>
        <w:t>в единый федеральный реестр экскурсоводов и гидов-переводчиков.</w:t>
      </w:r>
    </w:p>
    <w:p w14:paraId="5CB05B5D"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6. Утверждение положения об аттестационной комиссии, а также утверждение состава указанной комиссии.</w:t>
      </w:r>
    </w:p>
    <w:p w14:paraId="74ADF4A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7. Утверждение формы нагрудной идентификационной карточки экскурсовода (гида) или гида-переводчика.</w:t>
      </w:r>
    </w:p>
    <w:p w14:paraId="508F536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8. Осуществление в пределах своих полномочий, определённых утверждённым Правительством Ульяновской области положением, регионального государственного контроля и надзора в сфере туристической индустрии на территории региона.</w:t>
      </w:r>
    </w:p>
    <w:p w14:paraId="2580759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lastRenderedPageBreak/>
        <w:t xml:space="preserve">9. Реализация мер по созданию системы навигации и ориентирования </w:t>
      </w:r>
      <w:r w:rsidRPr="00AB3E2D">
        <w:rPr>
          <w:rFonts w:ascii="PT Astra Serif" w:eastAsia="Calibri" w:hAnsi="PT Astra Serif" w:cs="Times New Roman"/>
          <w:szCs w:val="28"/>
        </w:rPr>
        <w:br/>
        <w:t>в сфере туризма на территории Ульяновской области.</w:t>
      </w:r>
    </w:p>
    <w:p w14:paraId="4C2CA28F" w14:textId="77777777"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b/>
          <w:szCs w:val="28"/>
        </w:rPr>
        <w:t>Большая системная работа проводится по продвижению туристической привлекательности региона.</w:t>
      </w:r>
    </w:p>
    <w:p w14:paraId="67652D53"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Так, в 2025 году туристический потенциал Ульяновской области был представлен на Международных туристических выставках «</w:t>
      </w:r>
      <w:r w:rsidRPr="00AB3E2D">
        <w:rPr>
          <w:rFonts w:ascii="PT Astra Serif" w:eastAsia="Calibri" w:hAnsi="PT Astra Serif" w:cs="Times New Roman"/>
          <w:szCs w:val="28"/>
          <w:lang w:val="en-US"/>
        </w:rPr>
        <w:t>MITT</w:t>
      </w:r>
      <w:r w:rsidRPr="00AB3E2D">
        <w:rPr>
          <w:rFonts w:ascii="PT Astra Serif" w:eastAsia="Calibri" w:hAnsi="PT Astra Serif" w:cs="Times New Roman"/>
          <w:szCs w:val="28"/>
        </w:rPr>
        <w:t>», «Путешествуй!» в городе Москве.</w:t>
      </w:r>
    </w:p>
    <w:p w14:paraId="2F88C024"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рамках V туристического форума «Путешествуй!» были заключены соглашения о сотрудничестве с Главным управлением координации развития туризма в Челябинской области, Департаментом по развитию туризма</w:t>
      </w:r>
      <w:r w:rsidRPr="00AB3E2D">
        <w:rPr>
          <w:rFonts w:ascii="PT Astra Serif" w:eastAsia="Calibri" w:hAnsi="PT Astra Serif" w:cs="Times New Roman"/>
          <w:szCs w:val="28"/>
        </w:rPr>
        <w:br/>
        <w:t>и индустрии гостеприимства Свердловской области, Министерством экономического развития Новосибирской области, Министерством культуры и туризма Пензенской области, Государственным комитетом Республики Татарстан по туризму, Комитетом по развитию туризма Санкт-Петербурга, Министерство экономики, торговли и предпринимательства Республики Мордовия, Министерством экономического развития и имущественных отношений Чувашской Республики. Также провели ряд рабочих встреч</w:t>
      </w:r>
      <w:r w:rsidRPr="00AB3E2D">
        <w:rPr>
          <w:rFonts w:ascii="PT Astra Serif" w:eastAsia="Calibri" w:hAnsi="PT Astra Serif" w:cs="Times New Roman"/>
          <w:szCs w:val="28"/>
        </w:rPr>
        <w:br/>
        <w:t>с обсуждением дальнейшего сотрудничества с Министерством по туризму Удмуртской Республики, Министерством по туризму и народным художественным промыслам Республики Дагестан.</w:t>
      </w:r>
    </w:p>
    <w:p w14:paraId="2C3FE9A4" w14:textId="00BA0E58"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Для продвижения туристической привлекательности региона проведены рекламно-информационные туры, в том числе пресс-туры с </w:t>
      </w:r>
      <w:proofErr w:type="spellStart"/>
      <w:r w:rsidRPr="00AB3E2D">
        <w:rPr>
          <w:rFonts w:ascii="PT Astra Serif" w:eastAsia="Calibri" w:hAnsi="PT Astra Serif" w:cs="Times New Roman"/>
          <w:szCs w:val="28"/>
        </w:rPr>
        <w:t>блогерами</w:t>
      </w:r>
      <w:proofErr w:type="spellEnd"/>
      <w:r w:rsidRPr="00AB3E2D">
        <w:rPr>
          <w:rFonts w:ascii="PT Astra Serif" w:eastAsia="Calibri" w:hAnsi="PT Astra Serif" w:cs="Times New Roman"/>
          <w:szCs w:val="28"/>
        </w:rPr>
        <w:t xml:space="preserve"> для проекта </w:t>
      </w:r>
      <w:proofErr w:type="spellStart"/>
      <w:r w:rsidRPr="00AB3E2D">
        <w:rPr>
          <w:rFonts w:ascii="PT Astra Serif" w:eastAsia="Calibri" w:hAnsi="PT Astra Serif" w:cs="Times New Roman"/>
          <w:szCs w:val="28"/>
        </w:rPr>
        <w:t>Медиаразведка.Туту</w:t>
      </w:r>
      <w:proofErr w:type="spellEnd"/>
      <w:r w:rsidRPr="00AB3E2D">
        <w:rPr>
          <w:rFonts w:ascii="PT Astra Serif" w:eastAsia="Calibri" w:hAnsi="PT Astra Serif" w:cs="Times New Roman"/>
          <w:szCs w:val="28"/>
        </w:rPr>
        <w:t xml:space="preserve"> с привлечением федеральной прессы, </w:t>
      </w:r>
      <w:proofErr w:type="spellStart"/>
      <w:r w:rsidRPr="00AB3E2D">
        <w:rPr>
          <w:rFonts w:ascii="PT Astra Serif" w:eastAsia="Calibri" w:hAnsi="PT Astra Serif" w:cs="Times New Roman"/>
          <w:szCs w:val="28"/>
        </w:rPr>
        <w:t>тревел-блогеров</w:t>
      </w:r>
      <w:proofErr w:type="spellEnd"/>
      <w:r w:rsidRPr="00AB3E2D">
        <w:rPr>
          <w:rFonts w:ascii="PT Astra Serif" w:eastAsia="Calibri" w:hAnsi="PT Astra Serif" w:cs="Times New Roman"/>
          <w:szCs w:val="28"/>
        </w:rPr>
        <w:t xml:space="preserve">, главных редакторов бортовых журналов (Аэрофлот, Россия, РЖД, </w:t>
      </w:r>
      <w:proofErr w:type="spellStart"/>
      <w:r w:rsidRPr="00AB3E2D">
        <w:rPr>
          <w:rFonts w:ascii="PT Astra Serif" w:eastAsia="Calibri" w:hAnsi="PT Astra Serif" w:cs="Times New Roman"/>
          <w:szCs w:val="28"/>
        </w:rPr>
        <w:t>Нордвингс</w:t>
      </w:r>
      <w:proofErr w:type="spellEnd"/>
      <w:r w:rsidRPr="00AB3E2D">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Редвингс</w:t>
      </w:r>
      <w:proofErr w:type="spellEnd"/>
      <w:r w:rsidRPr="00AB3E2D">
        <w:rPr>
          <w:rFonts w:ascii="PT Astra Serif" w:eastAsia="Calibri" w:hAnsi="PT Astra Serif" w:cs="Times New Roman"/>
          <w:szCs w:val="28"/>
        </w:rPr>
        <w:t xml:space="preserve">), пресс-тур для туроператоров соседних регионов, организованный ведущим туроператором Ульяновской области автономной некоммерческой организации социальных, образовательных </w:t>
      </w:r>
      <w:r w:rsidRPr="00AB3E2D">
        <w:rPr>
          <w:rFonts w:ascii="PT Astra Serif" w:eastAsia="Calibri" w:hAnsi="PT Astra Serif" w:cs="Times New Roman"/>
          <w:szCs w:val="28"/>
        </w:rPr>
        <w:br/>
        <w:t>и экскурсионных проектов «</w:t>
      </w:r>
      <w:proofErr w:type="spellStart"/>
      <w:r w:rsidRPr="00AB3E2D">
        <w:rPr>
          <w:rFonts w:ascii="PT Astra Serif" w:eastAsia="Calibri" w:hAnsi="PT Astra Serif" w:cs="Times New Roman"/>
          <w:szCs w:val="28"/>
        </w:rPr>
        <w:t>СимбирСити</w:t>
      </w:r>
      <w:proofErr w:type="spellEnd"/>
      <w:r w:rsidRPr="00AB3E2D">
        <w:rPr>
          <w:rFonts w:ascii="PT Astra Serif" w:eastAsia="Calibri" w:hAnsi="PT Astra Serif" w:cs="Times New Roman"/>
          <w:szCs w:val="28"/>
        </w:rPr>
        <w:t>».</w:t>
      </w:r>
    </w:p>
    <w:p w14:paraId="2AF2F3C6" w14:textId="39DEEEA1"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Проведены съёмки с изготовлением фильмов, видеороликов </w:t>
      </w:r>
      <w:r w:rsidRPr="00AB3E2D">
        <w:rPr>
          <w:rFonts w:ascii="PT Astra Serif" w:eastAsia="Calibri" w:hAnsi="PT Astra Serif" w:cs="Times New Roman"/>
          <w:szCs w:val="28"/>
        </w:rPr>
        <w:br/>
        <w:t xml:space="preserve">и телепрограмм о туристских возможностях Ульяновской области </w:t>
      </w:r>
      <w:r w:rsidR="00223BE2">
        <w:rPr>
          <w:rFonts w:ascii="PT Astra Serif" w:eastAsia="Calibri" w:hAnsi="PT Astra Serif" w:cs="Times New Roman"/>
          <w:szCs w:val="28"/>
        </w:rPr>
        <w:br/>
      </w:r>
      <w:r w:rsidRPr="00AB3E2D">
        <w:rPr>
          <w:rFonts w:ascii="PT Astra Serif" w:eastAsia="Calibri" w:hAnsi="PT Astra Serif" w:cs="Times New Roman"/>
          <w:szCs w:val="28"/>
        </w:rPr>
        <w:t>с федеральными телеканалами (передача «Неизвестные маршруты России» - телеканал Культура, передача «Поедем, поедим!» - телеканал НТВ, «Один день в городе» - телеканал «Моя Планета»). Охват зрителей более 50 млн человек.</w:t>
      </w:r>
    </w:p>
    <w:p w14:paraId="457EB970"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Times New Roman" w:hAnsi="PT Astra Serif" w:cs="Times New Roman"/>
        </w:rPr>
        <w:t>В рамках реализации мероприятия «Обеспечено рекламно-информационное развитие туризма» в отчётном периоде</w:t>
      </w:r>
      <w:r w:rsidRPr="00AB3E2D">
        <w:rPr>
          <w:rFonts w:ascii="PT Astra Serif" w:eastAsia="Calibri" w:hAnsi="PT Astra Serif" w:cs="Times New Roman"/>
        </w:rPr>
        <w:t xml:space="preserve"> выделено 3 476,0 тыс. рублей.</w:t>
      </w:r>
    </w:p>
    <w:p w14:paraId="2643B155" w14:textId="54162D61"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Туризм – один из быстро развивающихся секторов экономики Ульяновской области. Для</w:t>
      </w:r>
      <w:r w:rsidR="00223BE2">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регионов Российской Федерации, в том числе </w:t>
      </w:r>
      <w:r w:rsidRPr="00AB3E2D">
        <w:rPr>
          <w:rFonts w:ascii="PT Astra Serif" w:eastAsia="Calibri" w:hAnsi="PT Astra Serif" w:cs="Times New Roman"/>
          <w:szCs w:val="28"/>
        </w:rPr>
        <w:br/>
        <w:t xml:space="preserve">и для Ульяновской области, туризм играет значительную роль </w:t>
      </w:r>
      <w:r w:rsidRPr="00AB3E2D">
        <w:rPr>
          <w:rFonts w:ascii="PT Astra Serif" w:eastAsia="Calibri" w:hAnsi="PT Astra Serif" w:cs="Times New Roman"/>
          <w:szCs w:val="28"/>
        </w:rPr>
        <w:br/>
        <w:t xml:space="preserve">в формировании налоговых поступлений, создании дополнительных рабочих мест и обеспечении занятости населения. </w:t>
      </w:r>
    </w:p>
    <w:p w14:paraId="0DF6D124" w14:textId="77777777" w:rsidR="00AB3E2D" w:rsidRPr="00AE265A" w:rsidRDefault="00AB3E2D" w:rsidP="00AB3E2D">
      <w:pPr>
        <w:widowControl w:val="0"/>
        <w:rPr>
          <w:rFonts w:ascii="PT Astra Serif" w:eastAsia="Calibri" w:hAnsi="PT Astra Serif" w:cs="Times New Roman"/>
          <w:szCs w:val="28"/>
        </w:rPr>
      </w:pPr>
      <w:r w:rsidRPr="00AE265A">
        <w:rPr>
          <w:rFonts w:ascii="PT Astra Serif" w:eastAsia="Calibri" w:hAnsi="PT Astra Serif" w:cs="Times New Roman"/>
          <w:szCs w:val="28"/>
        </w:rPr>
        <w:t>На территории региона с 2023 по 2025 годы реализуются следующие крупные инвестиционные проекты:</w:t>
      </w:r>
    </w:p>
    <w:p w14:paraId="50C1FB9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реконструкция основного корпуса санатория им. В.И. Ленина,</w:t>
      </w:r>
    </w:p>
    <w:p w14:paraId="3CDD9B7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lastRenderedPageBreak/>
        <w:t xml:space="preserve">реконструкции отеля «Империал </w:t>
      </w:r>
      <w:proofErr w:type="spellStart"/>
      <w:r w:rsidRPr="00AB3E2D">
        <w:rPr>
          <w:rFonts w:ascii="PT Astra Serif" w:eastAsia="Calibri" w:hAnsi="PT Astra Serif" w:cs="Times New Roman"/>
          <w:szCs w:val="28"/>
        </w:rPr>
        <w:t>КлабДелюкс</w:t>
      </w:r>
      <w:proofErr w:type="spellEnd"/>
      <w:r w:rsidRPr="00AB3E2D">
        <w:rPr>
          <w:rFonts w:ascii="PT Astra Serif" w:eastAsia="Calibri" w:hAnsi="PT Astra Serif" w:cs="Times New Roman"/>
          <w:szCs w:val="28"/>
        </w:rPr>
        <w:t xml:space="preserve"> Энд </w:t>
      </w:r>
      <w:proofErr w:type="spellStart"/>
      <w:r w:rsidRPr="00AB3E2D">
        <w:rPr>
          <w:rFonts w:ascii="PT Astra Serif" w:eastAsia="Calibri" w:hAnsi="PT Astra Serif" w:cs="Times New Roman"/>
          <w:szCs w:val="28"/>
        </w:rPr>
        <w:t>Спа</w:t>
      </w:r>
      <w:proofErr w:type="spellEnd"/>
      <w:r w:rsidRPr="00AB3E2D">
        <w:rPr>
          <w:rFonts w:ascii="PT Astra Serif" w:eastAsia="Calibri" w:hAnsi="PT Astra Serif" w:cs="Times New Roman"/>
          <w:szCs w:val="28"/>
        </w:rPr>
        <w:t>»;</w:t>
      </w:r>
    </w:p>
    <w:p w14:paraId="1CA1BBE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реконструкции отеля «Азимут 3*»;</w:t>
      </w:r>
    </w:p>
    <w:p w14:paraId="03B29C6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строительство крупного </w:t>
      </w:r>
      <w:proofErr w:type="spellStart"/>
      <w:r w:rsidRPr="00AB3E2D">
        <w:rPr>
          <w:rFonts w:ascii="PT Astra Serif" w:eastAsia="Calibri" w:hAnsi="PT Astra Serif" w:cs="Times New Roman"/>
          <w:szCs w:val="28"/>
        </w:rPr>
        <w:t>аква</w:t>
      </w:r>
      <w:proofErr w:type="spellEnd"/>
      <w:r w:rsidRPr="00AB3E2D">
        <w:rPr>
          <w:rFonts w:ascii="PT Astra Serif" w:eastAsia="Calibri" w:hAnsi="PT Astra Serif" w:cs="Times New Roman"/>
          <w:szCs w:val="28"/>
        </w:rPr>
        <w:t>-термального комплекса «</w:t>
      </w:r>
      <w:proofErr w:type="spellStart"/>
      <w:r w:rsidRPr="00AB3E2D">
        <w:rPr>
          <w:rFonts w:ascii="PT Astra Serif" w:eastAsia="Calibri" w:hAnsi="PT Astra Serif" w:cs="Times New Roman"/>
          <w:szCs w:val="28"/>
        </w:rPr>
        <w:t>Наутико</w:t>
      </w:r>
      <w:proofErr w:type="spellEnd"/>
      <w:r w:rsidRPr="00AB3E2D">
        <w:rPr>
          <w:rFonts w:ascii="PT Astra Serif" w:eastAsia="Calibri" w:hAnsi="PT Astra Serif" w:cs="Times New Roman"/>
          <w:szCs w:val="28"/>
        </w:rPr>
        <w:t>» на территории города Ульяновска;</w:t>
      </w:r>
    </w:p>
    <w:p w14:paraId="7627158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загородного клуба «Малинки» (Старомайнский район);</w:t>
      </w:r>
    </w:p>
    <w:p w14:paraId="54729EE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туристической базы отдыха «Урень» (Чердаклинский район);</w:t>
      </w:r>
    </w:p>
    <w:p w14:paraId="4C471EA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гостиничный комплекс «</w:t>
      </w:r>
      <w:proofErr w:type="spellStart"/>
      <w:r w:rsidRPr="00AB3E2D">
        <w:rPr>
          <w:rFonts w:ascii="PT Astra Serif" w:eastAsia="Calibri" w:hAnsi="PT Astra Serif" w:cs="Times New Roman"/>
          <w:szCs w:val="28"/>
        </w:rPr>
        <w:t>Завидово</w:t>
      </w:r>
      <w:proofErr w:type="spellEnd"/>
      <w:r w:rsidRPr="00AB3E2D">
        <w:rPr>
          <w:rFonts w:ascii="PT Astra Serif" w:eastAsia="Calibri" w:hAnsi="PT Astra Serif" w:cs="Times New Roman"/>
          <w:szCs w:val="28"/>
        </w:rPr>
        <w:t>»;</w:t>
      </w:r>
    </w:p>
    <w:p w14:paraId="5F6F7D27"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второй очереди парка семейного отдыха «Шишкин парк» в городе Димитровград;</w:t>
      </w:r>
    </w:p>
    <w:p w14:paraId="5321198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парк-отеля «</w:t>
      </w:r>
      <w:proofErr w:type="spellStart"/>
      <w:r w:rsidRPr="00AB3E2D">
        <w:rPr>
          <w:rFonts w:ascii="PT Astra Serif" w:eastAsia="Calibri" w:hAnsi="PT Astra Serif" w:cs="Times New Roman"/>
          <w:szCs w:val="28"/>
        </w:rPr>
        <w:t>Аксаур</w:t>
      </w:r>
      <w:proofErr w:type="spellEnd"/>
      <w:r w:rsidRPr="00AB3E2D">
        <w:rPr>
          <w:rFonts w:ascii="PT Astra Serif" w:eastAsia="Calibri" w:hAnsi="PT Astra Serif" w:cs="Times New Roman"/>
          <w:szCs w:val="28"/>
        </w:rPr>
        <w:t>» (Инзенский район);</w:t>
      </w:r>
    </w:p>
    <w:p w14:paraId="37DC6FF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кемпинга «Чайка» (Ульяновский район);</w:t>
      </w:r>
    </w:p>
    <w:p w14:paraId="1EC0F5A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кемпинга на территории турбазы «Русский берег» (Старомайнский район);</w:t>
      </w:r>
    </w:p>
    <w:p w14:paraId="6B9C0E9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строительство кемпинга «Караван» (Старомайнский район).</w:t>
      </w:r>
    </w:p>
    <w:p w14:paraId="5CE855F3" w14:textId="77777777" w:rsidR="00AB3E2D" w:rsidRPr="00AB3E2D" w:rsidRDefault="00AB3E2D" w:rsidP="00AB3E2D">
      <w:pPr>
        <w:widowControl w:val="0"/>
        <w:ind w:firstLine="0"/>
        <w:contextualSpacing/>
        <w:rPr>
          <w:rFonts w:ascii="PT Astra Serif" w:eastAsia="Calibri" w:hAnsi="PT Astra Serif" w:cs="Calibri"/>
          <w:szCs w:val="28"/>
        </w:rPr>
      </w:pPr>
    </w:p>
    <w:p w14:paraId="583633CD" w14:textId="77777777" w:rsidR="00AB3E2D" w:rsidRPr="00AB3E2D" w:rsidRDefault="00AB3E2D" w:rsidP="00AB3E2D">
      <w:pPr>
        <w:widowControl w:val="0"/>
        <w:contextualSpacing/>
        <w:jc w:val="center"/>
        <w:rPr>
          <w:rFonts w:ascii="PT Astra Serif" w:eastAsia="Calibri" w:hAnsi="PT Astra Serif" w:cs="Calibri"/>
          <w:b/>
          <w:i/>
          <w:szCs w:val="28"/>
        </w:rPr>
      </w:pPr>
      <w:r w:rsidRPr="00AB3E2D">
        <w:rPr>
          <w:rFonts w:ascii="PT Astra Serif" w:eastAsia="Calibri" w:hAnsi="PT Astra Serif" w:cs="Calibri"/>
          <w:b/>
          <w:i/>
          <w:szCs w:val="28"/>
        </w:rPr>
        <w:t>Наиболее крупные инвестиционные проекты, реализованные</w:t>
      </w:r>
    </w:p>
    <w:p w14:paraId="326E2839" w14:textId="1DF2DC9C" w:rsidR="00AB3E2D" w:rsidRPr="00AB3E2D" w:rsidRDefault="00AB3E2D" w:rsidP="00AB3E2D">
      <w:pPr>
        <w:widowControl w:val="0"/>
        <w:contextualSpacing/>
        <w:jc w:val="center"/>
        <w:rPr>
          <w:rFonts w:ascii="PT Astra Serif" w:eastAsia="Calibri" w:hAnsi="PT Astra Serif" w:cs="Calibri"/>
          <w:b/>
          <w:i/>
          <w:szCs w:val="28"/>
        </w:rPr>
      </w:pPr>
      <w:r w:rsidRPr="00AB3E2D">
        <w:rPr>
          <w:rFonts w:ascii="PT Astra Serif" w:eastAsia="Calibri" w:hAnsi="PT Astra Serif" w:cs="Calibri"/>
          <w:b/>
          <w:i/>
          <w:szCs w:val="28"/>
        </w:rPr>
        <w:t>в 2024</w:t>
      </w:r>
      <w:r w:rsidR="00223BE2">
        <w:rPr>
          <w:rFonts w:ascii="PT Astra Serif" w:eastAsia="Calibri" w:hAnsi="PT Astra Serif" w:cs="Calibri"/>
          <w:b/>
          <w:i/>
          <w:szCs w:val="28"/>
        </w:rPr>
        <w:t xml:space="preserve"> </w:t>
      </w:r>
      <w:r w:rsidRPr="00AB3E2D">
        <w:rPr>
          <w:rFonts w:ascii="PT Astra Serif" w:eastAsia="Calibri" w:hAnsi="PT Astra Serif" w:cs="Calibri"/>
          <w:b/>
          <w:i/>
          <w:szCs w:val="28"/>
        </w:rPr>
        <w:t>-</w:t>
      </w:r>
      <w:r w:rsidR="00223BE2">
        <w:rPr>
          <w:rFonts w:ascii="PT Astra Serif" w:eastAsia="Calibri" w:hAnsi="PT Astra Serif" w:cs="Calibri"/>
          <w:b/>
          <w:i/>
          <w:szCs w:val="28"/>
        </w:rPr>
        <w:t xml:space="preserve"> </w:t>
      </w:r>
      <w:r w:rsidRPr="00AB3E2D">
        <w:rPr>
          <w:rFonts w:ascii="PT Astra Serif" w:eastAsia="Calibri" w:hAnsi="PT Astra Serif" w:cs="Calibri"/>
          <w:b/>
          <w:i/>
          <w:szCs w:val="28"/>
        </w:rPr>
        <w:t>2025 годах</w:t>
      </w:r>
    </w:p>
    <w:p w14:paraId="4709EA00" w14:textId="77777777" w:rsidR="00AB3E2D" w:rsidRPr="00AB3E2D" w:rsidRDefault="00AB3E2D" w:rsidP="00AB3E2D">
      <w:pPr>
        <w:widowControl w:val="0"/>
        <w:contextualSpacing/>
        <w:rPr>
          <w:rFonts w:ascii="PT Astra Serif" w:eastAsia="Calibri" w:hAnsi="PT Astra Serif" w:cs="Calibri"/>
          <w:i/>
          <w:szCs w:val="28"/>
        </w:rPr>
      </w:pPr>
    </w:p>
    <w:p w14:paraId="6262CCED" w14:textId="77777777" w:rsidR="00AB3E2D" w:rsidRPr="00AB3E2D" w:rsidRDefault="00AB3E2D" w:rsidP="00AB3E2D">
      <w:pPr>
        <w:widowControl w:val="0"/>
        <w:contextualSpacing/>
        <w:rPr>
          <w:rFonts w:ascii="PT Astra Serif" w:eastAsia="Calibri" w:hAnsi="PT Astra Serif" w:cs="Calibri"/>
          <w:i/>
          <w:szCs w:val="28"/>
        </w:rPr>
      </w:pPr>
      <w:r w:rsidRPr="00AB3E2D">
        <w:rPr>
          <w:rFonts w:ascii="PT Astra Serif" w:eastAsia="Calibri" w:hAnsi="PT Astra Serif" w:cs="Calibri"/>
          <w:i/>
          <w:szCs w:val="28"/>
        </w:rPr>
        <w:t xml:space="preserve">Строительство современного </w:t>
      </w:r>
      <w:proofErr w:type="spellStart"/>
      <w:r w:rsidRPr="00AB3E2D">
        <w:rPr>
          <w:rFonts w:ascii="PT Astra Serif" w:eastAsia="Calibri" w:hAnsi="PT Astra Serif" w:cs="Calibri"/>
          <w:i/>
          <w:szCs w:val="28"/>
        </w:rPr>
        <w:t>акватермального</w:t>
      </w:r>
      <w:proofErr w:type="spellEnd"/>
      <w:r w:rsidRPr="00AB3E2D">
        <w:rPr>
          <w:rFonts w:ascii="PT Astra Serif" w:eastAsia="Calibri" w:hAnsi="PT Astra Serif" w:cs="Calibri"/>
          <w:i/>
          <w:szCs w:val="28"/>
        </w:rPr>
        <w:t xml:space="preserve"> комплекса «Городские термы «</w:t>
      </w:r>
      <w:proofErr w:type="spellStart"/>
      <w:r w:rsidRPr="00AB3E2D">
        <w:rPr>
          <w:rFonts w:ascii="PT Astra Serif" w:eastAsia="Calibri" w:hAnsi="PT Astra Serif" w:cs="Calibri"/>
          <w:i/>
          <w:szCs w:val="28"/>
        </w:rPr>
        <w:t>Наутико</w:t>
      </w:r>
      <w:proofErr w:type="spellEnd"/>
      <w:r w:rsidRPr="00AB3E2D">
        <w:rPr>
          <w:rFonts w:ascii="PT Astra Serif" w:eastAsia="Calibri" w:hAnsi="PT Astra Serif" w:cs="Calibri"/>
          <w:i/>
          <w:szCs w:val="28"/>
        </w:rPr>
        <w:t>» в городе Ульяновске.</w:t>
      </w:r>
    </w:p>
    <w:p w14:paraId="035C9284" w14:textId="39F0BA6C"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Общий объём вложений в инвестиционный проект составил более 700 млн рублей, в том числе по программе льготного кредитования в размере 560 млн рублей (в рамках реализации Постановления Правительства Российской Федерации «Об утверждении Правил предоставления субсидий из федерального бюджета российским кредитным организациями государственной корпорации развития «ВЭБ.РФ»</w:t>
      </w:r>
      <w:r w:rsidR="00223BE2">
        <w:rPr>
          <w:rFonts w:ascii="PT Astra Serif" w:eastAsia="Calibri" w:hAnsi="PT Astra Serif" w:cs="Calibri"/>
          <w:szCs w:val="28"/>
        </w:rPr>
        <w:t xml:space="preserve"> </w:t>
      </w:r>
      <w:r w:rsidRPr="00AB3E2D">
        <w:rPr>
          <w:rFonts w:ascii="PT Astra Serif" w:eastAsia="Calibri" w:hAnsi="PT Astra Serif" w:cs="Calibri"/>
          <w:szCs w:val="28"/>
        </w:rPr>
        <w:t>на возмещение недополученных ими доходов по кредитам, выданным по льготной ставке инвесторам для реализации инвестиционных проектов, необходимых для устойчивого развития внутреннего и въездного туризма»)</w:t>
      </w:r>
      <w:r w:rsidR="00223BE2">
        <w:rPr>
          <w:rFonts w:ascii="PT Astra Serif" w:eastAsia="Calibri" w:hAnsi="PT Astra Serif" w:cs="Calibri"/>
          <w:szCs w:val="28"/>
        </w:rPr>
        <w:t xml:space="preserve"> </w:t>
      </w:r>
      <w:r w:rsidRPr="00AB3E2D">
        <w:rPr>
          <w:rFonts w:ascii="PT Astra Serif" w:eastAsia="Calibri" w:hAnsi="PT Astra Serif" w:cs="Calibri"/>
          <w:szCs w:val="28"/>
        </w:rPr>
        <w:t xml:space="preserve">и собственные средства инвестора более 140 млн руб. </w:t>
      </w:r>
    </w:p>
    <w:p w14:paraId="116D9372" w14:textId="67E46130"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Городской курорт смогут посещать более 1 млн туристов в год. Общая площадь комплекса – около 10 000 </w:t>
      </w:r>
      <w:proofErr w:type="spellStart"/>
      <w:r w:rsidRPr="00AB3E2D">
        <w:rPr>
          <w:rFonts w:ascii="PT Astra Serif" w:eastAsia="Calibri" w:hAnsi="PT Astra Serif" w:cs="Calibri"/>
          <w:szCs w:val="28"/>
        </w:rPr>
        <w:t>кв.м</w:t>
      </w:r>
      <w:proofErr w:type="spellEnd"/>
      <w:r w:rsidRPr="00AB3E2D">
        <w:rPr>
          <w:rFonts w:ascii="PT Astra Serif" w:eastAsia="Calibri" w:hAnsi="PT Astra Serif" w:cs="Calibri"/>
          <w:szCs w:val="28"/>
        </w:rPr>
        <w:t xml:space="preserve">., создано около 30 новых рабочих мест. Термальный комплекс включает в себя: 7 бассейнов, 14 бань и саун, водные горки, зону кафе и пр. </w:t>
      </w:r>
    </w:p>
    <w:p w14:paraId="33BE2673" w14:textId="13CDF979" w:rsidR="00AB3E2D" w:rsidRPr="00AB3E2D" w:rsidRDefault="00AB3E2D" w:rsidP="00AB3E2D">
      <w:pPr>
        <w:widowControl w:val="0"/>
        <w:contextualSpacing/>
        <w:rPr>
          <w:rFonts w:ascii="PT Astra Serif" w:eastAsia="Calibri" w:hAnsi="PT Astra Serif" w:cs="Calibri"/>
          <w:i/>
          <w:szCs w:val="28"/>
        </w:rPr>
      </w:pPr>
      <w:r w:rsidRPr="00AB3E2D">
        <w:rPr>
          <w:rFonts w:ascii="PT Astra Serif" w:eastAsia="Calibri" w:hAnsi="PT Astra Serif" w:cs="Calibri"/>
          <w:i/>
          <w:szCs w:val="28"/>
        </w:rPr>
        <w:t>Строительство парк-отеля</w:t>
      </w:r>
      <w:r w:rsidR="003D2439">
        <w:rPr>
          <w:rFonts w:ascii="PT Astra Serif" w:eastAsia="Calibri" w:hAnsi="PT Astra Serif" w:cs="Calibri"/>
          <w:i/>
          <w:szCs w:val="28"/>
        </w:rPr>
        <w:t xml:space="preserve"> </w:t>
      </w:r>
      <w:r w:rsidRPr="00AB3E2D">
        <w:rPr>
          <w:rFonts w:ascii="PT Astra Serif" w:eastAsia="Calibri" w:hAnsi="PT Astra Serif" w:cs="Calibri"/>
          <w:i/>
          <w:szCs w:val="28"/>
        </w:rPr>
        <w:t xml:space="preserve">«АКСАУР» в селе </w:t>
      </w:r>
      <w:proofErr w:type="spellStart"/>
      <w:r w:rsidRPr="00AB3E2D">
        <w:rPr>
          <w:rFonts w:ascii="PT Astra Serif" w:eastAsia="Calibri" w:hAnsi="PT Astra Serif" w:cs="Calibri"/>
          <w:i/>
          <w:szCs w:val="28"/>
        </w:rPr>
        <w:t>Аксаур</w:t>
      </w:r>
      <w:proofErr w:type="spellEnd"/>
      <w:r w:rsidR="00223BE2">
        <w:rPr>
          <w:rFonts w:ascii="PT Astra Serif" w:eastAsia="Calibri" w:hAnsi="PT Astra Serif" w:cs="Calibri"/>
          <w:i/>
          <w:szCs w:val="28"/>
        </w:rPr>
        <w:t xml:space="preserve"> </w:t>
      </w:r>
      <w:r w:rsidRPr="00AB3E2D">
        <w:rPr>
          <w:rFonts w:ascii="PT Astra Serif" w:eastAsia="Calibri" w:hAnsi="PT Astra Serif" w:cs="Calibri"/>
          <w:i/>
          <w:szCs w:val="28"/>
        </w:rPr>
        <w:t>Инзенского района Ульяновской области.</w:t>
      </w:r>
    </w:p>
    <w:p w14:paraId="20D5DFCC" w14:textId="7D1F8A6D"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Общий объём вложений в инвестиционный проект составил более</w:t>
      </w:r>
      <w:r w:rsidR="00295654">
        <w:rPr>
          <w:rFonts w:ascii="PT Astra Serif" w:eastAsia="Calibri" w:hAnsi="PT Astra Serif" w:cs="Calibri"/>
          <w:szCs w:val="28"/>
        </w:rPr>
        <w:t xml:space="preserve"> </w:t>
      </w:r>
      <w:r w:rsidR="00223BE2">
        <w:rPr>
          <w:rFonts w:ascii="PT Astra Serif" w:eastAsia="Calibri" w:hAnsi="PT Astra Serif" w:cs="Calibri"/>
          <w:szCs w:val="28"/>
        </w:rPr>
        <w:t>300 млн</w:t>
      </w:r>
      <w:r w:rsidRPr="00AB3E2D">
        <w:rPr>
          <w:rFonts w:ascii="PT Astra Serif" w:eastAsia="Calibri" w:hAnsi="PT Astra Serif" w:cs="Calibri"/>
          <w:szCs w:val="28"/>
        </w:rPr>
        <w:t xml:space="preserve"> рублей, в том числе за счёт субсидии в рамках реализации мероприятий национального проекта «Туризм и гостеприимство» в размере 77 млн рублей и собственных средств инвестора более 223 млн рублей. </w:t>
      </w:r>
    </w:p>
    <w:p w14:paraId="47F75CAA" w14:textId="258EF3F7"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Общая площадь застройки составляет – 23 500 </w:t>
      </w:r>
      <w:proofErr w:type="spellStart"/>
      <w:r w:rsidRPr="00AB3E2D">
        <w:rPr>
          <w:rFonts w:ascii="PT Astra Serif" w:eastAsia="Calibri" w:hAnsi="PT Astra Serif" w:cs="Calibri"/>
          <w:szCs w:val="28"/>
        </w:rPr>
        <w:t>кв.м</w:t>
      </w:r>
      <w:proofErr w:type="spellEnd"/>
      <w:r w:rsidRPr="00AB3E2D">
        <w:rPr>
          <w:rFonts w:ascii="PT Astra Serif" w:eastAsia="Calibri" w:hAnsi="PT Astra Serif" w:cs="Calibri"/>
          <w:szCs w:val="28"/>
        </w:rPr>
        <w:t>. Количество введённых номеров – 52. Парк-отель «</w:t>
      </w:r>
      <w:proofErr w:type="spellStart"/>
      <w:r w:rsidRPr="00AB3E2D">
        <w:rPr>
          <w:rFonts w:ascii="PT Astra Serif" w:eastAsia="Calibri" w:hAnsi="PT Astra Serif" w:cs="Calibri"/>
          <w:szCs w:val="28"/>
        </w:rPr>
        <w:t>Аксаур</w:t>
      </w:r>
      <w:proofErr w:type="spellEnd"/>
      <w:r w:rsidRPr="00AB3E2D">
        <w:rPr>
          <w:rFonts w:ascii="PT Astra Serif" w:eastAsia="Calibri" w:hAnsi="PT Astra Serif" w:cs="Calibri"/>
          <w:szCs w:val="28"/>
        </w:rPr>
        <w:t xml:space="preserve">» представляет собой комплекс из 52 домов для проживания, пруд для рыбалки, контактный зоопарк, оборудование для активного отдыха. В наличии ресторан, </w:t>
      </w:r>
      <w:proofErr w:type="spellStart"/>
      <w:r w:rsidRPr="00AB3E2D">
        <w:rPr>
          <w:rFonts w:ascii="PT Astra Serif" w:eastAsia="Calibri" w:hAnsi="PT Astra Serif" w:cs="Calibri"/>
          <w:szCs w:val="28"/>
        </w:rPr>
        <w:t>рассчитанныйна</w:t>
      </w:r>
      <w:proofErr w:type="spellEnd"/>
      <w:r w:rsidRPr="00AB3E2D">
        <w:rPr>
          <w:rFonts w:ascii="PT Astra Serif" w:eastAsia="Calibri" w:hAnsi="PT Astra Serif" w:cs="Calibri"/>
          <w:szCs w:val="28"/>
        </w:rPr>
        <w:t xml:space="preserve"> 100 </w:t>
      </w:r>
      <w:r w:rsidRPr="00AB3E2D">
        <w:rPr>
          <w:rFonts w:ascii="PT Astra Serif" w:eastAsia="Calibri" w:hAnsi="PT Astra Serif" w:cs="Calibri"/>
          <w:szCs w:val="28"/>
        </w:rPr>
        <w:lastRenderedPageBreak/>
        <w:t>человек и конференц-зал на 50 человек.</w:t>
      </w:r>
    </w:p>
    <w:p w14:paraId="77AAD180" w14:textId="58A5E02C" w:rsidR="00AB3E2D" w:rsidRPr="00AB3E2D" w:rsidRDefault="00AB3E2D" w:rsidP="00AB3E2D">
      <w:pPr>
        <w:widowControl w:val="0"/>
        <w:contextualSpacing/>
        <w:rPr>
          <w:rFonts w:ascii="PT Astra Serif" w:eastAsia="Calibri" w:hAnsi="PT Astra Serif" w:cs="Calibri"/>
          <w:i/>
          <w:szCs w:val="28"/>
        </w:rPr>
      </w:pPr>
      <w:r w:rsidRPr="00AB3E2D">
        <w:rPr>
          <w:rFonts w:ascii="PT Astra Serif" w:eastAsia="Calibri" w:hAnsi="PT Astra Serif" w:cs="Calibri"/>
          <w:i/>
          <w:szCs w:val="28"/>
        </w:rPr>
        <w:t xml:space="preserve">Реконструкция пятизвездочного отеля «Империал </w:t>
      </w:r>
      <w:proofErr w:type="spellStart"/>
      <w:r w:rsidRPr="00AB3E2D">
        <w:rPr>
          <w:rFonts w:ascii="PT Astra Serif" w:eastAsia="Calibri" w:hAnsi="PT Astra Serif" w:cs="Calibri"/>
          <w:i/>
          <w:szCs w:val="28"/>
        </w:rPr>
        <w:t>клаб</w:t>
      </w:r>
      <w:proofErr w:type="spellEnd"/>
      <w:r w:rsidR="00223BE2">
        <w:rPr>
          <w:rFonts w:ascii="PT Astra Serif" w:eastAsia="Calibri" w:hAnsi="PT Astra Serif" w:cs="Calibri"/>
          <w:i/>
          <w:szCs w:val="28"/>
        </w:rPr>
        <w:t xml:space="preserve"> </w:t>
      </w:r>
      <w:r w:rsidRPr="00AB3E2D">
        <w:rPr>
          <w:rFonts w:ascii="PT Astra Serif" w:eastAsia="Calibri" w:hAnsi="PT Astra Serif" w:cs="Calibri"/>
          <w:i/>
          <w:szCs w:val="28"/>
        </w:rPr>
        <w:t xml:space="preserve">де люкс» </w:t>
      </w:r>
      <w:r w:rsidRPr="00AB3E2D">
        <w:rPr>
          <w:rFonts w:ascii="PT Astra Serif" w:eastAsia="Calibri" w:hAnsi="PT Astra Serif" w:cs="Calibri"/>
          <w:i/>
          <w:szCs w:val="28"/>
        </w:rPr>
        <w:br/>
        <w:t>в городе Ульяновске.</w:t>
      </w:r>
    </w:p>
    <w:p w14:paraId="6F342358" w14:textId="2060D389"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Общий объём вложений в инвестиционный проект составил более 625 млн рублей, в том числе по программе льготного </w:t>
      </w:r>
      <w:proofErr w:type="spellStart"/>
      <w:r w:rsidRPr="00AB3E2D">
        <w:rPr>
          <w:rFonts w:ascii="PT Astra Serif" w:eastAsia="Calibri" w:hAnsi="PT Astra Serif" w:cs="Calibri"/>
          <w:szCs w:val="28"/>
        </w:rPr>
        <w:t>кредитованияв</w:t>
      </w:r>
      <w:proofErr w:type="spellEnd"/>
      <w:r w:rsidRPr="00AB3E2D">
        <w:rPr>
          <w:rFonts w:ascii="PT Astra Serif" w:eastAsia="Calibri" w:hAnsi="PT Astra Serif" w:cs="Calibri"/>
          <w:szCs w:val="28"/>
        </w:rPr>
        <w:t xml:space="preserve"> размере 500 млн</w:t>
      </w:r>
      <w:r w:rsidR="00223BE2">
        <w:rPr>
          <w:rFonts w:ascii="PT Astra Serif" w:eastAsia="Calibri" w:hAnsi="PT Astra Serif" w:cs="Calibri"/>
          <w:szCs w:val="28"/>
        </w:rPr>
        <w:t xml:space="preserve"> </w:t>
      </w:r>
      <w:r w:rsidRPr="00AB3E2D">
        <w:rPr>
          <w:rFonts w:ascii="PT Astra Serif" w:eastAsia="Calibri" w:hAnsi="PT Astra Serif" w:cs="Calibri"/>
          <w:szCs w:val="28"/>
        </w:rPr>
        <w:t xml:space="preserve">рублей (в рамках реализации Постановления Правительства Российской Федерации «Об утверждении Правил предоставления субсидий из федерального бюджета российским кредитным организациям </w:t>
      </w:r>
      <w:r w:rsidR="00295654">
        <w:rPr>
          <w:rFonts w:ascii="PT Astra Serif" w:eastAsia="Calibri" w:hAnsi="PT Astra Serif" w:cs="Calibri"/>
          <w:szCs w:val="28"/>
        </w:rPr>
        <w:br/>
      </w:r>
      <w:r w:rsidRPr="00AB3E2D">
        <w:rPr>
          <w:rFonts w:ascii="PT Astra Serif" w:eastAsia="Calibri" w:hAnsi="PT Astra Serif" w:cs="Calibri"/>
          <w:szCs w:val="28"/>
        </w:rPr>
        <w:t>и государственной корпорации развития «ВЭБ.РФ»</w:t>
      </w:r>
      <w:r w:rsidR="00223BE2">
        <w:rPr>
          <w:rFonts w:ascii="PT Astra Serif" w:eastAsia="Calibri" w:hAnsi="PT Astra Serif" w:cs="Calibri"/>
          <w:szCs w:val="28"/>
        </w:rPr>
        <w:t xml:space="preserve"> </w:t>
      </w:r>
      <w:r w:rsidRPr="00AB3E2D">
        <w:rPr>
          <w:rFonts w:ascii="PT Astra Serif" w:eastAsia="Calibri" w:hAnsi="PT Astra Serif" w:cs="Calibri"/>
          <w:szCs w:val="28"/>
        </w:rPr>
        <w:t xml:space="preserve">на возмещение недополученных ими доходов по кредитам, </w:t>
      </w:r>
      <w:proofErr w:type="spellStart"/>
      <w:r w:rsidRPr="00AB3E2D">
        <w:rPr>
          <w:rFonts w:ascii="PT Astra Serif" w:eastAsia="Calibri" w:hAnsi="PT Astra Serif" w:cs="Calibri"/>
          <w:szCs w:val="28"/>
        </w:rPr>
        <w:t>выданнымпо</w:t>
      </w:r>
      <w:proofErr w:type="spellEnd"/>
      <w:r w:rsidRPr="00AB3E2D">
        <w:rPr>
          <w:rFonts w:ascii="PT Astra Serif" w:eastAsia="Calibri" w:hAnsi="PT Astra Serif" w:cs="Calibri"/>
          <w:szCs w:val="28"/>
        </w:rPr>
        <w:t xml:space="preserve"> льготной ставке инвесторам для реализации инвестиционных проектов, необходимых для устойчивого развития внутреннего и въездного туризма»)</w:t>
      </w:r>
      <w:r w:rsidR="00223BE2">
        <w:rPr>
          <w:rFonts w:ascii="PT Astra Serif" w:eastAsia="Calibri" w:hAnsi="PT Astra Serif" w:cs="Calibri"/>
          <w:szCs w:val="28"/>
        </w:rPr>
        <w:t xml:space="preserve"> </w:t>
      </w:r>
      <w:r w:rsidRPr="00AB3E2D">
        <w:rPr>
          <w:rFonts w:ascii="PT Astra Serif" w:eastAsia="Calibri" w:hAnsi="PT Astra Serif" w:cs="Calibri"/>
          <w:szCs w:val="28"/>
        </w:rPr>
        <w:t>и собственные средства инвестора более 125 млн</w:t>
      </w:r>
      <w:r w:rsidR="003D2439">
        <w:rPr>
          <w:rFonts w:ascii="PT Astra Serif" w:eastAsia="Calibri" w:hAnsi="PT Astra Serif" w:cs="Calibri"/>
          <w:szCs w:val="28"/>
        </w:rPr>
        <w:t xml:space="preserve"> </w:t>
      </w:r>
      <w:r w:rsidRPr="00AB3E2D">
        <w:rPr>
          <w:rFonts w:ascii="PT Astra Serif" w:eastAsia="Calibri" w:hAnsi="PT Astra Serif" w:cs="Calibri"/>
          <w:szCs w:val="28"/>
        </w:rPr>
        <w:t xml:space="preserve">рублей. </w:t>
      </w:r>
    </w:p>
    <w:p w14:paraId="3E3CCCF2" w14:textId="14AE3EB6" w:rsid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В рамках реконструкции запланировано увеличение номерного фонда отеля с 40 до 68 номеров, а также строительство второй очереди комплекса </w:t>
      </w:r>
      <w:proofErr w:type="spellStart"/>
      <w:r w:rsidRPr="00AB3E2D">
        <w:rPr>
          <w:rFonts w:ascii="PT Astra Serif" w:eastAsia="Calibri" w:hAnsi="PT Astra Serif" w:cs="Calibri"/>
          <w:szCs w:val="28"/>
        </w:rPr>
        <w:t>Imperial</w:t>
      </w:r>
      <w:proofErr w:type="spellEnd"/>
      <w:r w:rsidR="00223BE2">
        <w:rPr>
          <w:rFonts w:ascii="PT Astra Serif" w:eastAsia="Calibri" w:hAnsi="PT Astra Serif" w:cs="Calibri"/>
          <w:szCs w:val="28"/>
        </w:rPr>
        <w:t xml:space="preserve"> </w:t>
      </w:r>
      <w:proofErr w:type="spellStart"/>
      <w:r w:rsidRPr="00AB3E2D">
        <w:rPr>
          <w:rFonts w:ascii="PT Astra Serif" w:eastAsia="Calibri" w:hAnsi="PT Astra Serif" w:cs="Calibri"/>
          <w:szCs w:val="28"/>
        </w:rPr>
        <w:t>Village</w:t>
      </w:r>
      <w:proofErr w:type="spellEnd"/>
      <w:r w:rsidRPr="00AB3E2D">
        <w:rPr>
          <w:rFonts w:ascii="PT Astra Serif" w:eastAsia="Calibri" w:hAnsi="PT Astra Serif" w:cs="Calibri"/>
          <w:szCs w:val="28"/>
        </w:rPr>
        <w:t xml:space="preserve"> в составе 8 вилл.</w:t>
      </w:r>
    </w:p>
    <w:p w14:paraId="54C60BD7" w14:textId="77777777" w:rsidR="003D2439" w:rsidRPr="00FD65E0" w:rsidRDefault="003D2439" w:rsidP="00AB3E2D">
      <w:pPr>
        <w:widowControl w:val="0"/>
        <w:contextualSpacing/>
        <w:rPr>
          <w:rFonts w:ascii="PT Astra Serif" w:eastAsia="Calibri" w:hAnsi="PT Astra Serif" w:cs="Calibri"/>
          <w:sz w:val="20"/>
          <w:szCs w:val="20"/>
        </w:rPr>
      </w:pPr>
    </w:p>
    <w:p w14:paraId="3D8F41FF" w14:textId="77777777" w:rsidR="00AB3E2D" w:rsidRPr="00AB3E2D" w:rsidRDefault="00AB3E2D" w:rsidP="00AB3E2D">
      <w:pPr>
        <w:widowControl w:val="0"/>
        <w:ind w:firstLine="0"/>
        <w:jc w:val="center"/>
        <w:rPr>
          <w:rFonts w:ascii="PT Astra Serif" w:eastAsia="Calibri" w:hAnsi="PT Astra Serif" w:cs="Times New Roman"/>
          <w:szCs w:val="28"/>
        </w:rPr>
      </w:pPr>
      <w:r w:rsidRPr="00AB3E2D">
        <w:rPr>
          <w:rFonts w:ascii="PT Astra Serif" w:eastAsia="Calibri" w:hAnsi="PT Astra Serif" w:cs="Times New Roman"/>
          <w:noProof/>
          <w:szCs w:val="28"/>
          <w:lang w:eastAsia="ru-RU"/>
        </w:rPr>
        <w:drawing>
          <wp:inline distT="0" distB="0" distL="0" distR="0" wp14:anchorId="7F921FCC" wp14:editId="4FA10BC8">
            <wp:extent cx="5596255" cy="1908313"/>
            <wp:effectExtent l="0" t="0" r="0" b="0"/>
            <wp:docPr id="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BE3A48F" w14:textId="77777777" w:rsidR="00AB3E2D" w:rsidRPr="008D5740" w:rsidRDefault="00AB3E2D" w:rsidP="00AB3E2D">
      <w:pPr>
        <w:widowControl w:val="0"/>
        <w:rPr>
          <w:rFonts w:ascii="PT Astra Serif" w:eastAsia="Calibri" w:hAnsi="PT Astra Serif" w:cs="Times New Roman"/>
          <w:b/>
          <w:sz w:val="20"/>
          <w:szCs w:val="20"/>
        </w:rPr>
      </w:pPr>
    </w:p>
    <w:p w14:paraId="272CE262" w14:textId="26AB848C" w:rsidR="00AB3E2D" w:rsidRPr="00AB3E2D" w:rsidRDefault="00AB3E2D" w:rsidP="00AB3E2D">
      <w:pPr>
        <w:widowControl w:val="0"/>
        <w:rPr>
          <w:rFonts w:ascii="PT Astra Serif" w:eastAsia="Times New Roman" w:hAnsi="PT Astra Serif" w:cs="Times New Roman"/>
          <w:b/>
          <w:bCs/>
          <w:szCs w:val="28"/>
        </w:rPr>
      </w:pPr>
      <w:r w:rsidRPr="00AB3E2D">
        <w:rPr>
          <w:rFonts w:ascii="PT Astra Serif" w:eastAsia="Calibri" w:hAnsi="PT Astra Serif" w:cs="Times New Roman"/>
          <w:b/>
          <w:szCs w:val="28"/>
        </w:rPr>
        <w:t>Объём инвестиций в туристическую отрасль региона в 2025 году составлял – 1</w:t>
      </w:r>
      <w:r w:rsidR="00295654">
        <w:rPr>
          <w:rFonts w:ascii="PT Astra Serif" w:eastAsia="Calibri" w:hAnsi="PT Astra Serif" w:cs="Times New Roman"/>
          <w:b/>
          <w:szCs w:val="28"/>
        </w:rPr>
        <w:t> </w:t>
      </w:r>
      <w:r w:rsidRPr="00AB3E2D">
        <w:rPr>
          <w:rFonts w:ascii="PT Astra Serif" w:eastAsia="Calibri" w:hAnsi="PT Astra Serif" w:cs="Times New Roman"/>
          <w:b/>
          <w:szCs w:val="28"/>
        </w:rPr>
        <w:t xml:space="preserve">450 тыс. </w:t>
      </w:r>
      <w:r w:rsidRPr="00AB3E2D">
        <w:rPr>
          <w:rFonts w:ascii="PT Astra Serif" w:eastAsia="Calibri" w:hAnsi="PT Astra Serif" w:cs="Times New Roman"/>
          <w:b/>
          <w:bCs/>
          <w:szCs w:val="28"/>
        </w:rPr>
        <w:t>рублей,</w:t>
      </w:r>
      <w:r w:rsidRPr="00AB3E2D">
        <w:rPr>
          <w:rFonts w:ascii="PT Astra Serif" w:eastAsia="Calibri" w:hAnsi="PT Astra Serif" w:cs="Times New Roman"/>
          <w:b/>
          <w:szCs w:val="28"/>
        </w:rPr>
        <w:t xml:space="preserve"> что выше уровня 2024 года на 11,5%. Объём частных инвестиций в 2023</w:t>
      </w:r>
      <w:r w:rsidR="00223BE2">
        <w:rPr>
          <w:rFonts w:ascii="PT Astra Serif" w:eastAsia="Calibri" w:hAnsi="PT Astra Serif" w:cs="Times New Roman"/>
          <w:b/>
          <w:szCs w:val="28"/>
        </w:rPr>
        <w:t xml:space="preserve"> </w:t>
      </w:r>
      <w:r w:rsidRPr="00AB3E2D">
        <w:rPr>
          <w:rFonts w:ascii="PT Astra Serif" w:eastAsia="Calibri" w:hAnsi="PT Astra Serif" w:cs="Times New Roman"/>
          <w:b/>
          <w:szCs w:val="28"/>
        </w:rPr>
        <w:t>-</w:t>
      </w:r>
      <w:r w:rsidR="00223BE2">
        <w:rPr>
          <w:rFonts w:ascii="PT Astra Serif" w:eastAsia="Calibri" w:hAnsi="PT Astra Serif" w:cs="Times New Roman"/>
          <w:b/>
          <w:szCs w:val="28"/>
        </w:rPr>
        <w:t xml:space="preserve"> </w:t>
      </w:r>
      <w:r w:rsidRPr="00AB3E2D">
        <w:rPr>
          <w:rFonts w:ascii="PT Astra Serif" w:eastAsia="Calibri" w:hAnsi="PT Astra Serif" w:cs="Times New Roman"/>
          <w:b/>
          <w:szCs w:val="28"/>
        </w:rPr>
        <w:t>2025 годах составил более 3</w:t>
      </w:r>
      <w:r w:rsidR="00295654">
        <w:rPr>
          <w:rFonts w:ascii="PT Astra Serif" w:eastAsia="Calibri" w:hAnsi="PT Astra Serif" w:cs="Times New Roman"/>
          <w:b/>
          <w:szCs w:val="28"/>
        </w:rPr>
        <w:t> </w:t>
      </w:r>
      <w:r w:rsidRPr="00AB3E2D">
        <w:rPr>
          <w:rFonts w:ascii="PT Astra Serif" w:eastAsia="Calibri" w:hAnsi="PT Astra Serif" w:cs="Times New Roman"/>
          <w:b/>
          <w:szCs w:val="28"/>
        </w:rPr>
        <w:t xml:space="preserve">600 тыс. </w:t>
      </w:r>
      <w:r w:rsidRPr="00AB3E2D">
        <w:rPr>
          <w:rFonts w:ascii="PT Astra Serif" w:eastAsia="Calibri" w:hAnsi="PT Astra Serif" w:cs="Times New Roman"/>
          <w:b/>
          <w:bCs/>
          <w:szCs w:val="28"/>
        </w:rPr>
        <w:t>рублей.</w:t>
      </w:r>
    </w:p>
    <w:p w14:paraId="0C3BA6DB" w14:textId="74654BBD" w:rsidR="00AB3E2D" w:rsidRPr="00AB3E2D" w:rsidRDefault="00AB3E2D" w:rsidP="00AB3E2D">
      <w:pPr>
        <w:widowControl w:val="0"/>
        <w:rPr>
          <w:rFonts w:ascii="PT Astra Serif" w:eastAsia="Calibri" w:hAnsi="PT Astra Serif" w:cs="Times New Roman"/>
          <w:szCs w:val="28"/>
        </w:rPr>
      </w:pPr>
      <w:r w:rsidRPr="00AB3E2D">
        <w:rPr>
          <w:rFonts w:ascii="PT Astra Serif" w:eastAsia="Times New Roman" w:hAnsi="PT Astra Serif" w:cs="Times New Roman"/>
          <w:szCs w:val="28"/>
        </w:rPr>
        <w:t>2025 год стал для региона периодом активного развития туризма. О</w:t>
      </w:r>
      <w:r w:rsidRPr="00AB3E2D">
        <w:rPr>
          <w:rFonts w:ascii="PT Astra Serif" w:eastAsia="Calibri" w:hAnsi="PT Astra Serif" w:cs="Times New Roman"/>
          <w:szCs w:val="28"/>
        </w:rPr>
        <w:t xml:space="preserve">н основан на активной поддержке государства и развитии туристической инфраструктуры. Основными направлениями туризма в регионе являются личные поездки (75%), среди которых преобладают отдых и отпуск (68%), </w:t>
      </w:r>
      <w:r w:rsidR="00223BE2">
        <w:rPr>
          <w:rFonts w:ascii="PT Astra Serif" w:eastAsia="Calibri" w:hAnsi="PT Astra Serif" w:cs="Times New Roman"/>
          <w:szCs w:val="28"/>
        </w:rPr>
        <w:br/>
      </w:r>
      <w:r w:rsidRPr="00AB3E2D">
        <w:rPr>
          <w:rFonts w:ascii="PT Astra Serif" w:eastAsia="Calibri" w:hAnsi="PT Astra Serif" w:cs="Times New Roman"/>
          <w:szCs w:val="28"/>
        </w:rPr>
        <w:t xml:space="preserve">а также деловой туризм (25%). </w:t>
      </w:r>
    </w:p>
    <w:p w14:paraId="677CE876" w14:textId="4B067929"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szCs w:val="28"/>
        </w:rPr>
        <w:t xml:space="preserve">В регионе активно развиваются культурный, исторический, событийный и </w:t>
      </w:r>
      <w:proofErr w:type="spellStart"/>
      <w:r w:rsidRPr="00AB3E2D">
        <w:rPr>
          <w:rFonts w:ascii="PT Astra Serif" w:eastAsia="Calibri" w:hAnsi="PT Astra Serif" w:cs="Times New Roman"/>
          <w:szCs w:val="28"/>
        </w:rPr>
        <w:t>агротуризм</w:t>
      </w:r>
      <w:proofErr w:type="spellEnd"/>
      <w:r w:rsidRPr="00AB3E2D">
        <w:rPr>
          <w:rFonts w:ascii="PT Astra Serif" w:eastAsia="Calibri" w:hAnsi="PT Astra Serif" w:cs="Times New Roman"/>
          <w:szCs w:val="28"/>
        </w:rPr>
        <w:t xml:space="preserve">. </w:t>
      </w:r>
      <w:r w:rsidRPr="00AB3E2D">
        <w:rPr>
          <w:rFonts w:ascii="PT Astra Serif" w:eastAsia="Calibri" w:hAnsi="PT Astra Serif" w:cs="Times New Roman"/>
          <w:b/>
          <w:szCs w:val="28"/>
        </w:rPr>
        <w:t>Особое внимание уделяется развитию событийных мероприятий:</w:t>
      </w:r>
      <w:r w:rsidRPr="00AB3E2D">
        <w:rPr>
          <w:rFonts w:ascii="PT Astra Serif" w:eastAsia="Calibri" w:hAnsi="PT Astra Serif" w:cs="Times New Roman"/>
          <w:szCs w:val="28"/>
        </w:rPr>
        <w:t xml:space="preserve"> в 2025 году в рамках реализации национального проекта «Туризм и гостеприимство»</w:t>
      </w:r>
      <w:r w:rsidR="003D2439">
        <w:rPr>
          <w:rFonts w:ascii="PT Astra Serif" w:eastAsia="Calibri" w:hAnsi="PT Astra Serif" w:cs="Times New Roman"/>
          <w:szCs w:val="28"/>
        </w:rPr>
        <w:t xml:space="preserve"> </w:t>
      </w:r>
      <w:r w:rsidRPr="00AB3E2D">
        <w:rPr>
          <w:rFonts w:ascii="PT Astra Serif" w:eastAsia="Calibri" w:hAnsi="PT Astra Serif" w:cs="Times New Roman"/>
          <w:b/>
          <w:szCs w:val="28"/>
        </w:rPr>
        <w:t>поддержано 35 событийных мероприятий</w:t>
      </w:r>
      <w:r w:rsidRPr="00AB3E2D">
        <w:rPr>
          <w:rFonts w:ascii="PT Astra Serif" w:eastAsia="Calibri" w:hAnsi="PT Astra Serif" w:cs="Times New Roman"/>
          <w:szCs w:val="28"/>
        </w:rPr>
        <w:t>,</w:t>
      </w:r>
      <w:r w:rsidRPr="00AB3E2D">
        <w:rPr>
          <w:rFonts w:ascii="PT Astra Serif" w:eastAsia="Calibri" w:hAnsi="PT Astra Serif" w:cs="Times New Roman"/>
          <w:b/>
          <w:szCs w:val="28"/>
        </w:rPr>
        <w:t xml:space="preserve"> которые привлекли более 500 тысяч посетителей.</w:t>
      </w:r>
    </w:p>
    <w:p w14:paraId="3DEEECF4" w14:textId="7FCAE6E4" w:rsidR="00AB3E2D" w:rsidRPr="00AB3E2D" w:rsidRDefault="00AB3E2D" w:rsidP="00AB3E2D">
      <w:pPr>
        <w:widowControl w:val="0"/>
        <w:rPr>
          <w:rFonts w:ascii="Calibri" w:eastAsia="Calibri" w:hAnsi="Calibri" w:cs="Times New Roman"/>
          <w:noProof/>
        </w:rPr>
      </w:pPr>
      <w:r w:rsidRPr="00AB3E2D">
        <w:rPr>
          <w:rFonts w:ascii="PT Astra Serif" w:eastAsia="Calibri" w:hAnsi="PT Astra Serif" w:cs="Times New Roman"/>
          <w:szCs w:val="28"/>
        </w:rPr>
        <w:t xml:space="preserve">Среди них - фестивали, которые посетило свыше 10 000 жителей </w:t>
      </w:r>
      <w:r w:rsidRPr="00AB3E2D">
        <w:rPr>
          <w:rFonts w:ascii="PT Astra Serif" w:eastAsia="Calibri" w:hAnsi="PT Astra Serif" w:cs="Times New Roman"/>
          <w:szCs w:val="28"/>
        </w:rPr>
        <w:br/>
        <w:t>и гостей города, Патриотический фестиваль «Голоса Победы», Гастрономический фестиваль «</w:t>
      </w:r>
      <w:proofErr w:type="spellStart"/>
      <w:r w:rsidRPr="00AB3E2D">
        <w:rPr>
          <w:rFonts w:ascii="PT Astra Serif" w:eastAsia="Calibri" w:hAnsi="PT Astra Serif" w:cs="Times New Roman"/>
          <w:szCs w:val="28"/>
        </w:rPr>
        <w:t>Гастролес</w:t>
      </w:r>
      <w:proofErr w:type="spellEnd"/>
      <w:r w:rsidRPr="00AB3E2D">
        <w:rPr>
          <w:rFonts w:ascii="PT Astra Serif" w:eastAsia="Calibri" w:hAnsi="PT Astra Serif" w:cs="Times New Roman"/>
          <w:szCs w:val="28"/>
        </w:rPr>
        <w:t xml:space="preserve">», </w:t>
      </w:r>
      <w:r w:rsidRPr="00AB3E2D">
        <w:rPr>
          <w:rFonts w:ascii="PT Astra Serif" w:eastAsia="Calibri" w:hAnsi="PT Astra Serif" w:cs="Times New Roman"/>
          <w:color w:val="000000"/>
          <w:szCs w:val="28"/>
        </w:rPr>
        <w:t>Комплекс мероприятий ко Дню Молодежи 2025,</w:t>
      </w:r>
      <w:r w:rsidRPr="00AB3E2D">
        <w:rPr>
          <w:rFonts w:ascii="PT Astra Serif" w:eastAsia="Calibri" w:hAnsi="PT Astra Serif" w:cs="Times New Roman"/>
          <w:szCs w:val="28"/>
        </w:rPr>
        <w:t xml:space="preserve"> Исторический фестиваль Великий Волжский путь,</w:t>
      </w:r>
      <w:r w:rsidRPr="00AB3E2D">
        <w:rPr>
          <w:rFonts w:ascii="PT Astra Serif" w:eastAsia="Calibri" w:hAnsi="PT Astra Serif" w:cs="Times New Roman"/>
          <w:color w:val="000000"/>
          <w:szCs w:val="28"/>
        </w:rPr>
        <w:t xml:space="preserve"> Фестиваль здоровья «В ПОТОКЕ ЖИЗНИ», Фестиваль «Бульвар»,</w:t>
      </w:r>
      <w:r w:rsidRPr="00AB3E2D">
        <w:rPr>
          <w:rFonts w:ascii="PT Astra Serif" w:eastAsia="Calibri" w:hAnsi="PT Astra Serif" w:cs="Times New Roman"/>
          <w:szCs w:val="28"/>
        </w:rPr>
        <w:t xml:space="preserve"> Открытый городской </w:t>
      </w:r>
      <w:r w:rsidRPr="00AB3E2D">
        <w:rPr>
          <w:rFonts w:ascii="PT Astra Serif" w:eastAsia="Calibri" w:hAnsi="PT Astra Serif" w:cs="Times New Roman"/>
          <w:szCs w:val="28"/>
        </w:rPr>
        <w:lastRenderedPageBreak/>
        <w:t>фестиваль «Высший пилотаж</w:t>
      </w:r>
      <w:r w:rsidR="00223BE2">
        <w:rPr>
          <w:rFonts w:ascii="PT Astra Serif" w:eastAsia="Calibri" w:hAnsi="PT Astra Serif" w:cs="Times New Roman"/>
          <w:szCs w:val="28"/>
        </w:rPr>
        <w:t xml:space="preserve"> </w:t>
      </w:r>
      <w:r w:rsidRPr="00AB3E2D">
        <w:rPr>
          <w:rFonts w:ascii="PT Astra Serif" w:eastAsia="Calibri" w:hAnsi="PT Astra Serif" w:cs="Times New Roman"/>
          <w:szCs w:val="28"/>
        </w:rPr>
        <w:t>-</w:t>
      </w:r>
      <w:r w:rsidR="00223BE2">
        <w:rPr>
          <w:rFonts w:ascii="PT Astra Serif" w:eastAsia="Calibri" w:hAnsi="PT Astra Serif" w:cs="Times New Roman"/>
          <w:szCs w:val="28"/>
        </w:rPr>
        <w:t xml:space="preserve"> </w:t>
      </w:r>
      <w:r w:rsidRPr="00AB3E2D">
        <w:rPr>
          <w:rFonts w:ascii="PT Astra Serif" w:eastAsia="Calibri" w:hAnsi="PT Astra Serif" w:cs="Times New Roman"/>
          <w:szCs w:val="28"/>
        </w:rPr>
        <w:t>2025,</w:t>
      </w:r>
      <w:r w:rsidRPr="00AB3E2D">
        <w:rPr>
          <w:rFonts w:ascii="PT Astra Serif" w:eastAsia="Times New Roman" w:hAnsi="PT Astra Serif" w:cs="Calibri"/>
          <w:szCs w:val="28"/>
        </w:rPr>
        <w:t xml:space="preserve"> Этап Чемпионата России по ралли-рейдам - Баха Холмы России, </w:t>
      </w:r>
      <w:r w:rsidRPr="00AB3E2D">
        <w:rPr>
          <w:rFonts w:ascii="PT Astra Serif" w:eastAsia="Calibri" w:hAnsi="PT Astra Serif" w:cs="Times New Roman"/>
          <w:szCs w:val="28"/>
        </w:rPr>
        <w:t>Программа развития общественного пространства на ул. Федерации как туристического центра города</w:t>
      </w:r>
      <w:r w:rsidR="00295654">
        <w:rPr>
          <w:rFonts w:ascii="PT Astra Serif" w:eastAsia="Calibri" w:hAnsi="PT Astra Serif" w:cs="Times New Roman"/>
          <w:szCs w:val="28"/>
        </w:rPr>
        <w:t xml:space="preserve"> </w:t>
      </w:r>
      <w:r w:rsidRPr="00AB3E2D">
        <w:rPr>
          <w:rFonts w:ascii="PT Astra Serif" w:eastAsia="Times New Roman" w:hAnsi="PT Astra Serif" w:cs="Calibri"/>
          <w:szCs w:val="28"/>
        </w:rPr>
        <w:t>«Лето</w:t>
      </w:r>
      <w:r w:rsidR="00223BE2">
        <w:rPr>
          <w:rFonts w:ascii="PT Astra Serif" w:eastAsia="Times New Roman" w:hAnsi="PT Astra Serif" w:cs="Calibri"/>
          <w:szCs w:val="28"/>
        </w:rPr>
        <w:t xml:space="preserve"> </w:t>
      </w:r>
      <w:r w:rsidRPr="00AB3E2D">
        <w:rPr>
          <w:rFonts w:ascii="PT Astra Serif" w:eastAsia="Times New Roman" w:hAnsi="PT Astra Serif" w:cs="Calibri"/>
          <w:szCs w:val="28"/>
        </w:rPr>
        <w:t>на Федерации</w:t>
      </w:r>
      <w:r w:rsidRPr="00AB3E2D">
        <w:rPr>
          <w:rFonts w:ascii="PT Astra Serif" w:eastAsia="Times New Roman" w:hAnsi="PT Astra Serif" w:cs="Times New Roman"/>
          <w:szCs w:val="28"/>
          <w:shd w:val="clear" w:color="auto" w:fill="FFFFFF"/>
        </w:rPr>
        <w:t>»,</w:t>
      </w:r>
      <w:r w:rsidRPr="00AB3E2D">
        <w:rPr>
          <w:rFonts w:ascii="PT Astra Serif" w:eastAsia="Calibri" w:hAnsi="PT Astra Serif" w:cs="Times New Roman"/>
          <w:szCs w:val="28"/>
        </w:rPr>
        <w:t xml:space="preserve"> Фестиваль, посвященный Дню Воздушного Флота России,</w:t>
      </w:r>
      <w:r w:rsidRPr="00AB3E2D">
        <w:rPr>
          <w:rFonts w:ascii="PT Astra Serif" w:eastAsia="Times New Roman" w:hAnsi="PT Astra Serif" w:cs="Calibri"/>
          <w:szCs w:val="28"/>
        </w:rPr>
        <w:t xml:space="preserve"> Ульяновск с любовью: интерактивные встречи туристов.</w:t>
      </w:r>
    </w:p>
    <w:p w14:paraId="120530AC" w14:textId="0CB558E0" w:rsidR="00AB3E2D" w:rsidRPr="00AB3E2D" w:rsidRDefault="00AB3E2D" w:rsidP="00AB3E2D">
      <w:pPr>
        <w:widowControl w:val="0"/>
        <w:rPr>
          <w:rFonts w:ascii="PT Astra Serif" w:eastAsia="Calibri" w:hAnsi="PT Astra Serif" w:cs="Times New Roman"/>
          <w:bCs/>
          <w:szCs w:val="28"/>
        </w:rPr>
      </w:pPr>
      <w:r w:rsidRPr="00AB3E2D">
        <w:rPr>
          <w:rFonts w:ascii="PT Astra Serif" w:eastAsia="Calibri" w:hAnsi="PT Astra Serif" w:cs="Times New Roman"/>
          <w:bCs/>
          <w:szCs w:val="28"/>
        </w:rPr>
        <w:t>Благодаря успешному участию города Сенгилея в федеральном проекте «Формирование комфортной городской среды», где в 2018 году открылась набережная парка «Тишь да гладь», ставшая визитной карточкой Сенгилея,</w:t>
      </w:r>
      <w:r w:rsidR="00223BE2">
        <w:rPr>
          <w:rFonts w:ascii="PT Astra Serif" w:eastAsia="Calibri" w:hAnsi="PT Astra Serif" w:cs="Times New Roman"/>
          <w:bCs/>
          <w:szCs w:val="28"/>
        </w:rPr>
        <w:t xml:space="preserve"> </w:t>
      </w:r>
      <w:r w:rsidRPr="00AB3E2D">
        <w:rPr>
          <w:rFonts w:ascii="PT Astra Serif" w:eastAsia="Calibri" w:hAnsi="PT Astra Serif" w:cs="Times New Roman"/>
          <w:bCs/>
          <w:szCs w:val="28"/>
        </w:rPr>
        <w:t>реализации масштабного проекта обустройства прибрежной зоны, включившего организацию удобных зон отдыха и установку символичного маяка, а также инициативе инвестора, направленной на проведение реконструкции причала города Сенгилея, с 18 июля 2025 года запущено движение теплохода «Московский</w:t>
      </w:r>
      <w:r w:rsidR="00223BE2">
        <w:rPr>
          <w:rFonts w:ascii="PT Astra Serif" w:eastAsia="Calibri" w:hAnsi="PT Astra Serif" w:cs="Times New Roman"/>
          <w:bCs/>
          <w:szCs w:val="28"/>
        </w:rPr>
        <w:t xml:space="preserve"> </w:t>
      </w:r>
      <w:r w:rsidRPr="00AB3E2D">
        <w:rPr>
          <w:rFonts w:ascii="PT Astra Serif" w:eastAsia="Calibri" w:hAnsi="PT Astra Serif" w:cs="Times New Roman"/>
          <w:bCs/>
          <w:szCs w:val="28"/>
        </w:rPr>
        <w:t>-</w:t>
      </w:r>
      <w:r w:rsidR="00223BE2">
        <w:rPr>
          <w:rFonts w:ascii="PT Astra Serif" w:eastAsia="Calibri" w:hAnsi="PT Astra Serif" w:cs="Times New Roman"/>
          <w:bCs/>
          <w:szCs w:val="28"/>
        </w:rPr>
        <w:t xml:space="preserve"> </w:t>
      </w:r>
      <w:r w:rsidRPr="00AB3E2D">
        <w:rPr>
          <w:rFonts w:ascii="PT Astra Serif" w:eastAsia="Calibri" w:hAnsi="PT Astra Serif" w:cs="Times New Roman"/>
          <w:bCs/>
          <w:szCs w:val="28"/>
        </w:rPr>
        <w:t>1» в город Сенгилей. Всего за навигационный период 2025 года организовано 3 поездки по водному маршруту Ульяновск – Сенгилей-Ульяновск с организацией посещения Сенгилеевского районного краеведческого музея, экскурсии по историческому центру города Сенгилея и просмотра фильма о сурках - символе национального парка «</w:t>
      </w:r>
      <w:proofErr w:type="spellStart"/>
      <w:r w:rsidRPr="00AB3E2D">
        <w:rPr>
          <w:rFonts w:ascii="PT Astra Serif" w:eastAsia="Calibri" w:hAnsi="PT Astra Serif" w:cs="Times New Roman"/>
          <w:bCs/>
          <w:szCs w:val="28"/>
        </w:rPr>
        <w:t>Сенгилеевские</w:t>
      </w:r>
      <w:proofErr w:type="spellEnd"/>
      <w:r w:rsidRPr="00AB3E2D">
        <w:rPr>
          <w:rFonts w:ascii="PT Astra Serif" w:eastAsia="Calibri" w:hAnsi="PT Astra Serif" w:cs="Times New Roman"/>
          <w:bCs/>
          <w:szCs w:val="28"/>
        </w:rPr>
        <w:t xml:space="preserve"> горы» и 3 прогулочных поездки в акватории Сенгилеевского района с общим количеством участников 1 221 человек. На Всероссийской туристической премии «Маршрут года – 2025» данный проект «Симбирская кругосветка» занял 2 место. Речное путешествие по Волге стало излюбленным видом летнего отдыха туристов.</w:t>
      </w:r>
    </w:p>
    <w:p w14:paraId="6C28FCC4" w14:textId="00757FD8"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Ключевыми туристическими объектами остаются музей – заповедник «Родина В.И. Ленина»</w:t>
      </w:r>
      <w:r w:rsidR="00295654">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shd w:val="clear" w:color="auto" w:fill="FFFFFF"/>
        </w:rPr>
        <w:t xml:space="preserve">который посетило 57 тысяч человек, головной </w:t>
      </w:r>
      <w:r w:rsidRPr="00AB3E2D">
        <w:rPr>
          <w:rFonts w:ascii="PT Astra Serif" w:eastAsia="Calibri" w:hAnsi="PT Astra Serif" w:cs="Times New Roman"/>
          <w:szCs w:val="28"/>
        </w:rPr>
        <w:t>отраслевой музей истории гражданской авиации</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shd w:val="clear" w:color="auto" w:fill="FFFFFF"/>
        </w:rPr>
        <w:t>(30 тысяч человек),</w:t>
      </w:r>
      <w:r w:rsidR="00295654">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 xml:space="preserve">музей </w:t>
      </w:r>
      <w:proofErr w:type="spellStart"/>
      <w:r w:rsidRPr="00AB3E2D">
        <w:rPr>
          <w:rFonts w:ascii="PT Astra Serif" w:eastAsia="Calibri" w:hAnsi="PT Astra Serif" w:cs="Times New Roman"/>
          <w:szCs w:val="28"/>
        </w:rPr>
        <w:t>Симбирцит</w:t>
      </w:r>
      <w:proofErr w:type="spellEnd"/>
      <w:r w:rsidRPr="00AB3E2D">
        <w:rPr>
          <w:rFonts w:ascii="PT Astra Serif" w:eastAsia="Calibri" w:hAnsi="PT Astra Serif" w:cs="Times New Roman"/>
          <w:szCs w:val="28"/>
        </w:rPr>
        <w:t xml:space="preserve"> - </w:t>
      </w:r>
      <w:proofErr w:type="spellStart"/>
      <w:r w:rsidRPr="00AB3E2D">
        <w:rPr>
          <w:rFonts w:ascii="PT Astra Serif" w:eastAsia="Calibri" w:hAnsi="PT Astra Serif" w:cs="Times New Roman"/>
          <w:szCs w:val="28"/>
        </w:rPr>
        <w:t>Симбирцитовая</w:t>
      </w:r>
      <w:proofErr w:type="spellEnd"/>
      <w:r w:rsidRPr="00AB3E2D">
        <w:rPr>
          <w:rFonts w:ascii="PT Astra Serif" w:eastAsia="Calibri" w:hAnsi="PT Astra Serif" w:cs="Times New Roman"/>
          <w:szCs w:val="28"/>
        </w:rPr>
        <w:t xml:space="preserve"> зала</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shd w:val="clear" w:color="auto" w:fill="FFFFFF"/>
        </w:rPr>
        <w:t xml:space="preserve">(20 тысяч человек), </w:t>
      </w:r>
      <w:proofErr w:type="spellStart"/>
      <w:r w:rsidRPr="00AB3E2D">
        <w:rPr>
          <w:rFonts w:ascii="PT Astra Serif" w:eastAsia="Calibri" w:hAnsi="PT Astra Serif" w:cs="Times New Roman"/>
          <w:szCs w:val="28"/>
          <w:shd w:val="clear" w:color="auto" w:fill="FFFFFF"/>
        </w:rPr>
        <w:t>геопарк</w:t>
      </w:r>
      <w:proofErr w:type="spellEnd"/>
      <w:r w:rsidRPr="00AB3E2D">
        <w:rPr>
          <w:rFonts w:ascii="PT Astra Serif" w:eastAsia="Calibri" w:hAnsi="PT Astra Serif" w:cs="Times New Roman"/>
          <w:szCs w:val="28"/>
          <w:shd w:val="clear" w:color="auto" w:fill="FFFFFF"/>
        </w:rPr>
        <w:t xml:space="preserve"> «</w:t>
      </w:r>
      <w:proofErr w:type="spellStart"/>
      <w:r w:rsidRPr="00AB3E2D">
        <w:rPr>
          <w:rFonts w:ascii="PT Astra Serif" w:eastAsia="Calibri" w:hAnsi="PT Astra Serif" w:cs="Times New Roman"/>
          <w:szCs w:val="28"/>
          <w:shd w:val="clear" w:color="auto" w:fill="FFFFFF"/>
        </w:rPr>
        <w:t>Ундория</w:t>
      </w:r>
      <w:proofErr w:type="spellEnd"/>
      <w:r w:rsidRPr="00AB3E2D">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shd w:val="clear" w:color="auto" w:fill="FFFFFF"/>
        </w:rPr>
        <w:br/>
        <w:t>с палеонтологическим музеем имени Бирюкова, (23,5 тысячи человек), национальный парк «</w:t>
      </w:r>
      <w:proofErr w:type="spellStart"/>
      <w:r w:rsidRPr="00AB3E2D">
        <w:rPr>
          <w:rFonts w:ascii="PT Astra Serif" w:eastAsia="Calibri" w:hAnsi="PT Astra Serif" w:cs="Times New Roman"/>
          <w:szCs w:val="28"/>
          <w:shd w:val="clear" w:color="auto" w:fill="FFFFFF"/>
        </w:rPr>
        <w:t>Сенгилеевские</w:t>
      </w:r>
      <w:proofErr w:type="spellEnd"/>
      <w:r w:rsidRPr="00AB3E2D">
        <w:rPr>
          <w:rFonts w:ascii="PT Astra Serif" w:eastAsia="Calibri" w:hAnsi="PT Astra Serif" w:cs="Times New Roman"/>
          <w:szCs w:val="28"/>
          <w:shd w:val="clear" w:color="auto" w:fill="FFFFFF"/>
        </w:rPr>
        <w:t xml:space="preserve"> горы» (9,5 тысяч) и аквапарк «Улёт», принявший более 260 тысяч гостей. </w:t>
      </w:r>
    </w:p>
    <w:p w14:paraId="7B75D393" w14:textId="77777777" w:rsidR="00AB3E2D" w:rsidRPr="00AB3E2D" w:rsidRDefault="00AB3E2D" w:rsidP="00AB3E2D">
      <w:pPr>
        <w:widowControl w:val="0"/>
        <w:rPr>
          <w:rFonts w:ascii="PT Astra Serif" w:eastAsia="Calibri" w:hAnsi="PT Astra Serif" w:cs="Times New Roman"/>
          <w:szCs w:val="28"/>
          <w:highlight w:val="yellow"/>
          <w:shd w:val="clear" w:color="auto" w:fill="FFFFFF"/>
        </w:rPr>
      </w:pPr>
      <w:r w:rsidRPr="00AB3E2D">
        <w:rPr>
          <w:rFonts w:ascii="PT Astra Serif" w:eastAsia="Calibri" w:hAnsi="PT Astra Serif" w:cs="Times New Roman"/>
          <w:szCs w:val="28"/>
          <w:shd w:val="clear" w:color="auto" w:fill="FFFFFF"/>
        </w:rPr>
        <w:t xml:space="preserve">Развивается и автомобильный туризм: утверждена программа до 2035 года с четырьмя маршрутами, которые знакомят путешественников </w:t>
      </w:r>
      <w:r w:rsidRPr="00AB3E2D">
        <w:rPr>
          <w:rFonts w:ascii="PT Astra Serif" w:eastAsia="Calibri" w:hAnsi="PT Astra Serif" w:cs="Times New Roman"/>
          <w:szCs w:val="28"/>
          <w:shd w:val="clear" w:color="auto" w:fill="FFFFFF"/>
        </w:rPr>
        <w:br/>
        <w:t>с природой, историей и культурой региона.</w:t>
      </w:r>
    </w:p>
    <w:p w14:paraId="7242AFA7" w14:textId="583E5291"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В 2025 году в рамках национального проекта «Инфраструктура для жизни» были выполнены работы по ремонту асфальтобетонного покрытия на сумму 919,08 млн руб</w:t>
      </w:r>
      <w:r w:rsidR="00683FC8">
        <w:rPr>
          <w:rFonts w:ascii="PT Astra Serif" w:eastAsia="Calibri" w:hAnsi="PT Astra Serif" w:cs="Times New Roman"/>
          <w:szCs w:val="28"/>
          <w:shd w:val="clear" w:color="auto" w:fill="FFFFFF"/>
        </w:rPr>
        <w:t>лей</w:t>
      </w:r>
      <w:r w:rsidRPr="00AB3E2D">
        <w:rPr>
          <w:rFonts w:ascii="PT Astra Serif" w:eastAsia="Calibri" w:hAnsi="PT Astra Serif" w:cs="Times New Roman"/>
          <w:szCs w:val="28"/>
          <w:shd w:val="clear" w:color="auto" w:fill="FFFFFF"/>
        </w:rPr>
        <w:t xml:space="preserve"> на автомобильных дорогах регионального </w:t>
      </w:r>
      <w:r w:rsidRPr="00AB3E2D">
        <w:rPr>
          <w:rFonts w:ascii="PT Astra Serif" w:eastAsia="Calibri" w:hAnsi="PT Astra Serif" w:cs="Times New Roman"/>
          <w:szCs w:val="28"/>
          <w:shd w:val="clear" w:color="auto" w:fill="FFFFFF"/>
        </w:rPr>
        <w:br/>
        <w:t>и межмуниципального значения общей протяжённостью 37,098 км, в том числе:</w:t>
      </w:r>
    </w:p>
    <w:p w14:paraId="03598040" w14:textId="4ABEDAA3"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на участке автомобильной дороги регионального значения Сурское –Шумерля протяжённостью 2,9 км, входящем в состав автомобильного туристского маршрута «Живописный край», стоимость ремонта составила 110,13 млн</w:t>
      </w:r>
      <w:r w:rsidR="003D2439">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рублей</w:t>
      </w:r>
    </w:p>
    <w:p w14:paraId="1B99BDFE" w14:textId="68E908AC"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на участке автомобильной дороги регионального значения Солдатская Ташла - Кузоватово - Новоспасское - Радищево - Старая Кулатка - граница Ульяновской области протяжённостью 4,22 км на пути следования</w:t>
      </w:r>
      <w:r w:rsidRPr="00AB3E2D">
        <w:rPr>
          <w:rFonts w:ascii="PT Astra Serif" w:eastAsia="Calibri" w:hAnsi="PT Astra Serif" w:cs="Times New Roman"/>
          <w:szCs w:val="28"/>
          <w:shd w:val="clear" w:color="auto" w:fill="FFFFFF"/>
        </w:rPr>
        <w:br/>
        <w:t>к объектам туристического показа Новоспасского (Зимина и Маркова горы)</w:t>
      </w:r>
      <w:r w:rsidRPr="00AB3E2D">
        <w:rPr>
          <w:rFonts w:ascii="PT Astra Serif" w:eastAsia="Calibri" w:hAnsi="PT Astra Serif" w:cs="Times New Roman"/>
          <w:szCs w:val="28"/>
          <w:shd w:val="clear" w:color="auto" w:fill="FFFFFF"/>
        </w:rPr>
        <w:br/>
      </w:r>
      <w:r w:rsidRPr="00AB3E2D">
        <w:rPr>
          <w:rFonts w:ascii="PT Astra Serif" w:eastAsia="Calibri" w:hAnsi="PT Astra Serif" w:cs="Times New Roman"/>
          <w:szCs w:val="28"/>
          <w:shd w:val="clear" w:color="auto" w:fill="FFFFFF"/>
        </w:rPr>
        <w:lastRenderedPageBreak/>
        <w:t>и Радищевского (Долина диких пионов) районов, стоимость ремонта составила 85,21 млн</w:t>
      </w:r>
      <w:r w:rsidR="003D2439">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рублей</w:t>
      </w:r>
      <w:r w:rsidRPr="00AB3E2D">
        <w:rPr>
          <w:rFonts w:ascii="PT Astra Serif" w:eastAsia="Calibri" w:hAnsi="PT Astra Serif" w:cs="Times New Roman"/>
          <w:szCs w:val="28"/>
          <w:shd w:val="clear" w:color="auto" w:fill="FFFFFF"/>
        </w:rPr>
        <w:t>;</w:t>
      </w:r>
    </w:p>
    <w:p w14:paraId="741A693A" w14:textId="25514FD3"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на участках автомобильной дороги регионального значения Бестужевка – Барыш – Николаевка – Павловка общей протяжённостью 4,908 км на пути следования к объектам туристического показа Павловского района (храм</w:t>
      </w:r>
      <w:r w:rsidRPr="00AB3E2D">
        <w:rPr>
          <w:rFonts w:ascii="PT Astra Serif" w:eastAsia="Calibri" w:hAnsi="PT Astra Serif" w:cs="Times New Roman"/>
          <w:szCs w:val="28"/>
          <w:shd w:val="clear" w:color="auto" w:fill="FFFFFF"/>
        </w:rPr>
        <w:br/>
        <w:t xml:space="preserve">в честь Святителя и Чудотворца Николая архиепископа </w:t>
      </w:r>
      <w:proofErr w:type="spellStart"/>
      <w:r w:rsidRPr="00AB3E2D">
        <w:rPr>
          <w:rFonts w:ascii="PT Astra Serif" w:eastAsia="Calibri" w:hAnsi="PT Astra Serif" w:cs="Times New Roman"/>
          <w:szCs w:val="28"/>
          <w:shd w:val="clear" w:color="auto" w:fill="FFFFFF"/>
        </w:rPr>
        <w:t>Мирликийского</w:t>
      </w:r>
      <w:proofErr w:type="spellEnd"/>
      <w:r w:rsidRPr="00AB3E2D">
        <w:rPr>
          <w:rFonts w:ascii="PT Astra Serif" w:eastAsia="Calibri" w:hAnsi="PT Astra Serif" w:cs="Times New Roman"/>
          <w:szCs w:val="28"/>
          <w:shd w:val="clear" w:color="auto" w:fill="FFFFFF"/>
        </w:rPr>
        <w:t>, Шаховская сельская библиотека-музей Михаила Андреевича Суслова</w:t>
      </w:r>
      <w:r w:rsidRPr="00AB3E2D">
        <w:rPr>
          <w:rFonts w:ascii="PT Astra Serif" w:eastAsia="Calibri" w:hAnsi="PT Astra Serif" w:cs="Times New Roman"/>
          <w:szCs w:val="28"/>
          <w:shd w:val="clear" w:color="auto" w:fill="FFFFFF"/>
        </w:rPr>
        <w:br/>
        <w:t>(с. Шаховское), общая стоимость ремонта составила 124,63 млн</w:t>
      </w:r>
      <w:r w:rsidR="003D2439">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рублей</w:t>
      </w:r>
      <w:r w:rsidRPr="00AB3E2D">
        <w:rPr>
          <w:rFonts w:ascii="PT Astra Serif" w:eastAsia="Calibri" w:hAnsi="PT Astra Serif" w:cs="Times New Roman"/>
          <w:szCs w:val="28"/>
          <w:shd w:val="clear" w:color="auto" w:fill="FFFFFF"/>
        </w:rPr>
        <w:t>;</w:t>
      </w:r>
    </w:p>
    <w:p w14:paraId="3443B980" w14:textId="2134E395"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 xml:space="preserve">на участках автомобильной дороги регионального значения Большие Ключищи – Сенгилей – </w:t>
      </w:r>
      <w:proofErr w:type="spellStart"/>
      <w:r w:rsidRPr="00AB3E2D">
        <w:rPr>
          <w:rFonts w:ascii="PT Astra Serif" w:eastAsia="Calibri" w:hAnsi="PT Astra Serif" w:cs="Times New Roman"/>
          <w:szCs w:val="28"/>
          <w:shd w:val="clear" w:color="auto" w:fill="FFFFFF"/>
        </w:rPr>
        <w:t>Елаур</w:t>
      </w:r>
      <w:proofErr w:type="spellEnd"/>
      <w:r w:rsidRPr="00AB3E2D">
        <w:rPr>
          <w:rFonts w:ascii="PT Astra Serif" w:eastAsia="Calibri" w:hAnsi="PT Astra Serif" w:cs="Times New Roman"/>
          <w:szCs w:val="28"/>
          <w:shd w:val="clear" w:color="auto" w:fill="FFFFFF"/>
        </w:rPr>
        <w:t xml:space="preserve"> – </w:t>
      </w:r>
      <w:proofErr w:type="spellStart"/>
      <w:r w:rsidRPr="00AB3E2D">
        <w:rPr>
          <w:rFonts w:ascii="PT Astra Serif" w:eastAsia="Calibri" w:hAnsi="PT Astra Serif" w:cs="Times New Roman"/>
          <w:szCs w:val="28"/>
          <w:shd w:val="clear" w:color="auto" w:fill="FFFFFF"/>
        </w:rPr>
        <w:t>Молвино</w:t>
      </w:r>
      <w:proofErr w:type="spellEnd"/>
      <w:r w:rsidRPr="00AB3E2D">
        <w:rPr>
          <w:rFonts w:ascii="PT Astra Serif" w:eastAsia="Calibri" w:hAnsi="PT Astra Serif" w:cs="Times New Roman"/>
          <w:szCs w:val="28"/>
          <w:shd w:val="clear" w:color="auto" w:fill="FFFFFF"/>
        </w:rPr>
        <w:t xml:space="preserve"> – </w:t>
      </w:r>
      <w:proofErr w:type="spellStart"/>
      <w:r w:rsidRPr="00AB3E2D">
        <w:rPr>
          <w:rFonts w:ascii="PT Astra Serif" w:eastAsia="Calibri" w:hAnsi="PT Astra Serif" w:cs="Times New Roman"/>
          <w:szCs w:val="28"/>
          <w:shd w:val="clear" w:color="auto" w:fill="FFFFFF"/>
        </w:rPr>
        <w:t>Байдулино</w:t>
      </w:r>
      <w:proofErr w:type="spellEnd"/>
      <w:r w:rsidRPr="00AB3E2D">
        <w:rPr>
          <w:rFonts w:ascii="PT Astra Serif" w:eastAsia="Calibri" w:hAnsi="PT Astra Serif" w:cs="Times New Roman"/>
          <w:szCs w:val="28"/>
          <w:shd w:val="clear" w:color="auto" w:fill="FFFFFF"/>
        </w:rPr>
        <w:t xml:space="preserve"> протяжённостью 3,87 км (стоимость ремонта составила 153,55 млн</w:t>
      </w:r>
      <w:r w:rsidR="003D2439">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рублей</w:t>
      </w:r>
      <w:r w:rsidRPr="00AB3E2D">
        <w:rPr>
          <w:rFonts w:ascii="PT Astra Serif" w:eastAsia="Calibri" w:hAnsi="PT Astra Serif" w:cs="Times New Roman"/>
          <w:szCs w:val="28"/>
          <w:shd w:val="clear" w:color="auto" w:fill="FFFFFF"/>
        </w:rPr>
        <w:t xml:space="preserve">) и автомобильной дороги межмуниципального значения Большие Ключищи – Сенгилей – </w:t>
      </w:r>
      <w:proofErr w:type="spellStart"/>
      <w:r w:rsidRPr="00AB3E2D">
        <w:rPr>
          <w:rFonts w:ascii="PT Astra Serif" w:eastAsia="Calibri" w:hAnsi="PT Astra Serif" w:cs="Times New Roman"/>
          <w:szCs w:val="28"/>
          <w:shd w:val="clear" w:color="auto" w:fill="FFFFFF"/>
        </w:rPr>
        <w:t>Елаур</w:t>
      </w:r>
      <w:proofErr w:type="spellEnd"/>
      <w:r w:rsidRPr="00AB3E2D">
        <w:rPr>
          <w:rFonts w:ascii="PT Astra Serif" w:eastAsia="Calibri" w:hAnsi="PT Astra Serif" w:cs="Times New Roman"/>
          <w:szCs w:val="28"/>
          <w:shd w:val="clear" w:color="auto" w:fill="FFFFFF"/>
        </w:rPr>
        <w:t xml:space="preserve"> – </w:t>
      </w:r>
      <w:proofErr w:type="spellStart"/>
      <w:r w:rsidRPr="00AB3E2D">
        <w:rPr>
          <w:rFonts w:ascii="PT Astra Serif" w:eastAsia="Calibri" w:hAnsi="PT Astra Serif" w:cs="Times New Roman"/>
          <w:szCs w:val="28"/>
          <w:shd w:val="clear" w:color="auto" w:fill="FFFFFF"/>
        </w:rPr>
        <w:t>Молвино</w:t>
      </w:r>
      <w:proofErr w:type="spellEnd"/>
      <w:r w:rsidRPr="00AB3E2D">
        <w:rPr>
          <w:rFonts w:ascii="PT Astra Serif" w:eastAsia="Calibri" w:hAnsi="PT Astra Serif" w:cs="Times New Roman"/>
          <w:szCs w:val="28"/>
          <w:shd w:val="clear" w:color="auto" w:fill="FFFFFF"/>
        </w:rPr>
        <w:t xml:space="preserve"> – </w:t>
      </w:r>
      <w:proofErr w:type="spellStart"/>
      <w:r w:rsidRPr="00AB3E2D">
        <w:rPr>
          <w:rFonts w:ascii="PT Astra Serif" w:eastAsia="Calibri" w:hAnsi="PT Astra Serif" w:cs="Times New Roman"/>
          <w:szCs w:val="28"/>
          <w:shd w:val="clear" w:color="auto" w:fill="FFFFFF"/>
        </w:rPr>
        <w:t>Байдулино</w:t>
      </w:r>
      <w:proofErr w:type="spellEnd"/>
      <w:r w:rsidRPr="00AB3E2D">
        <w:rPr>
          <w:rFonts w:ascii="PT Astra Serif" w:eastAsia="Calibri" w:hAnsi="PT Astra Serif" w:cs="Times New Roman"/>
          <w:szCs w:val="28"/>
          <w:shd w:val="clear" w:color="auto" w:fill="FFFFFF"/>
        </w:rPr>
        <w:t xml:space="preserve"> – завод силикатных изделий протяжённостью 6,0 км, (стоимо</w:t>
      </w:r>
      <w:r w:rsidR="00AE265A">
        <w:rPr>
          <w:rFonts w:ascii="PT Astra Serif" w:eastAsia="Calibri" w:hAnsi="PT Astra Serif" w:cs="Times New Roman"/>
          <w:szCs w:val="28"/>
          <w:shd w:val="clear" w:color="auto" w:fill="FFFFFF"/>
        </w:rPr>
        <w:t xml:space="preserve">сть ремонта составила 143,2 млн </w:t>
      </w:r>
      <w:r w:rsidRPr="00AB3E2D">
        <w:rPr>
          <w:rFonts w:ascii="PT Astra Serif" w:eastAsia="Calibri" w:hAnsi="PT Astra Serif" w:cs="Times New Roman"/>
          <w:szCs w:val="28"/>
        </w:rPr>
        <w:t>рублей</w:t>
      </w:r>
      <w:r w:rsidRPr="00AB3E2D">
        <w:rPr>
          <w:rFonts w:ascii="PT Astra Serif" w:eastAsia="Calibri" w:hAnsi="PT Astra Serif" w:cs="Times New Roman"/>
          <w:szCs w:val="28"/>
          <w:shd w:val="clear" w:color="auto" w:fill="FFFFFF"/>
        </w:rPr>
        <w:t>), входящих в состав автомобильного туристского маршрута «Горы и степи»;</w:t>
      </w:r>
    </w:p>
    <w:p w14:paraId="25303ED7" w14:textId="1BB0B8CF" w:rsidR="00AB3E2D" w:rsidRPr="00AB3E2D" w:rsidRDefault="00AB3E2D" w:rsidP="00AB3E2D">
      <w:pPr>
        <w:widowControl w:val="0"/>
        <w:rPr>
          <w:rFonts w:ascii="PT Astra Serif" w:eastAsia="Calibri" w:hAnsi="PT Astra Serif" w:cs="Times New Roman"/>
          <w:szCs w:val="28"/>
          <w:shd w:val="clear" w:color="auto" w:fill="FFFFFF"/>
        </w:rPr>
      </w:pPr>
      <w:r w:rsidRPr="00AB3E2D">
        <w:rPr>
          <w:rFonts w:ascii="PT Astra Serif" w:eastAsia="Calibri" w:hAnsi="PT Astra Serif" w:cs="Times New Roman"/>
          <w:szCs w:val="28"/>
          <w:shd w:val="clear" w:color="auto" w:fill="FFFFFF"/>
        </w:rPr>
        <w:t>на участке автомобильной дороги межмуниципального значения Димитровград – Чувашский Сускан протяжённостью 6,36 км на пути следования к объекту туристического показа Мелекесского района (храм Рождества Христова (с. Лебяжье), стоимость ремонта составила 121,04 млн</w:t>
      </w:r>
      <w:r w:rsidR="003D2439">
        <w:rPr>
          <w:rFonts w:ascii="PT Astra Serif" w:eastAsia="Calibri" w:hAnsi="PT Astra Serif" w:cs="Times New Roman"/>
          <w:szCs w:val="28"/>
          <w:shd w:val="clear" w:color="auto" w:fill="FFFFFF"/>
        </w:rPr>
        <w:t xml:space="preserve"> </w:t>
      </w:r>
      <w:r w:rsidRPr="00AB3E2D">
        <w:rPr>
          <w:rFonts w:ascii="PT Astra Serif" w:eastAsia="Calibri" w:hAnsi="PT Astra Serif" w:cs="Times New Roman"/>
          <w:szCs w:val="28"/>
        </w:rPr>
        <w:t>рублей</w:t>
      </w:r>
      <w:r w:rsidRPr="00AB3E2D">
        <w:rPr>
          <w:rFonts w:ascii="PT Astra Serif" w:eastAsia="Calibri" w:hAnsi="PT Astra Serif" w:cs="Times New Roman"/>
          <w:szCs w:val="28"/>
          <w:shd w:val="clear" w:color="auto" w:fill="FFFFFF"/>
        </w:rPr>
        <w:t>;</w:t>
      </w:r>
    </w:p>
    <w:p w14:paraId="46E781B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на участке автомобильной дороги межмуниципального значения Казань – Буинск – Ульяновск – Ишеевка – Ундоры – граница области – санаторий «Дубки» протяжённостью 3,14 км, входящем в состав автомобильного туристского маршрута «Долина Волжского моря», стоимость ремонта составила 53,58 млн руб.</w:t>
      </w:r>
    </w:p>
    <w:p w14:paraId="3A6736FF" w14:textId="374AB180"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Также в текущем году выполнены работы по обустройству автомобильных дорог на пути следования к </w:t>
      </w:r>
      <w:proofErr w:type="spellStart"/>
      <w:r w:rsidRPr="00AB3E2D">
        <w:rPr>
          <w:rFonts w:ascii="PT Astra Serif" w:eastAsia="Calibri" w:hAnsi="PT Astra Serif" w:cs="Times New Roman"/>
          <w:szCs w:val="28"/>
        </w:rPr>
        <w:t>геопарку</w:t>
      </w:r>
      <w:proofErr w:type="spellEnd"/>
      <w:r w:rsidRPr="00AB3E2D">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Ундория</w:t>
      </w:r>
      <w:proofErr w:type="spellEnd"/>
      <w:r w:rsidRPr="00AB3E2D">
        <w:rPr>
          <w:rFonts w:ascii="PT Astra Serif" w:eastAsia="Calibri" w:hAnsi="PT Astra Serif" w:cs="Times New Roman"/>
          <w:szCs w:val="28"/>
        </w:rPr>
        <w:t xml:space="preserve">» (Ульяновский район) 13 информационными указателями системы навигации </w:t>
      </w:r>
      <w:r w:rsidR="00AE265A">
        <w:rPr>
          <w:rFonts w:ascii="PT Astra Serif" w:eastAsia="Calibri" w:hAnsi="PT Astra Serif" w:cs="Times New Roman"/>
          <w:szCs w:val="28"/>
        </w:rPr>
        <w:br/>
      </w:r>
      <w:r w:rsidRPr="00AB3E2D">
        <w:rPr>
          <w:rFonts w:ascii="PT Astra Serif" w:eastAsia="Calibri" w:hAnsi="PT Astra Serif" w:cs="Times New Roman"/>
          <w:szCs w:val="28"/>
        </w:rPr>
        <w:t>к объектам туристической инфраструктуры, стоимость работ (в том числе изготовления указателей) составила 1,3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p>
    <w:p w14:paraId="24B5AA5B"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Ремонт дорог муниципального значения и улично-дорожной сети населённых пунктов в муниципальных образованиях Ульяновской области проводится в соответствии с утверждёнными муниципальными программами с учётом необходимости обеспечения доступа к объектам туристического показа.</w:t>
      </w:r>
    </w:p>
    <w:p w14:paraId="6855371A" w14:textId="1E07D528"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2025 году в Базарносызганском, Мелекесском, Старомайнском районах выполнены работы по ремонту асфальтобетонного покрытия</w:t>
      </w:r>
      <w:r w:rsidRPr="00AB3E2D">
        <w:rPr>
          <w:rFonts w:ascii="PT Astra Serif" w:eastAsia="Calibri" w:hAnsi="PT Astra Serif" w:cs="Times New Roman"/>
          <w:szCs w:val="28"/>
        </w:rPr>
        <w:br/>
        <w:t>на местных дорогах, ведущих к объектам туризма, общей протяжённостью 4,665 км на сумму 23,759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 в том числе:</w:t>
      </w:r>
    </w:p>
    <w:p w14:paraId="282FDCAE" w14:textId="172606A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на участках улиц Советской и Ульяновской в </w:t>
      </w:r>
      <w:proofErr w:type="spellStart"/>
      <w:r w:rsidRPr="00AB3E2D">
        <w:rPr>
          <w:rFonts w:ascii="PT Astra Serif" w:eastAsia="Calibri" w:hAnsi="PT Astra Serif" w:cs="Times New Roman"/>
          <w:szCs w:val="28"/>
        </w:rPr>
        <w:t>р.п</w:t>
      </w:r>
      <w:proofErr w:type="spellEnd"/>
      <w:r w:rsidRPr="00AB3E2D">
        <w:rPr>
          <w:rFonts w:ascii="PT Astra Serif" w:eastAsia="Calibri" w:hAnsi="PT Astra Serif" w:cs="Times New Roman"/>
          <w:szCs w:val="28"/>
        </w:rPr>
        <w:t xml:space="preserve">. Базарный Сызган общей протяжённостью 0,39 км, проходящих через туристический объект показа (храм святого великомученика Димитрия </w:t>
      </w:r>
      <w:proofErr w:type="spellStart"/>
      <w:r w:rsidRPr="00AB3E2D">
        <w:rPr>
          <w:rFonts w:ascii="PT Astra Serif" w:eastAsia="Calibri" w:hAnsi="PT Astra Serif" w:cs="Times New Roman"/>
          <w:szCs w:val="28"/>
        </w:rPr>
        <w:t>Солунского</w:t>
      </w:r>
      <w:proofErr w:type="spellEnd"/>
      <w:r w:rsidRPr="00AB3E2D">
        <w:rPr>
          <w:rFonts w:ascii="PT Astra Serif" w:eastAsia="Calibri" w:hAnsi="PT Astra Serif" w:cs="Times New Roman"/>
          <w:szCs w:val="28"/>
        </w:rPr>
        <w:t>), общая стоимость ремонта составила 3,461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p>
    <w:p w14:paraId="4F31B8D5" w14:textId="3778019D"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на участке улицы Дружбы в пос. </w:t>
      </w:r>
      <w:proofErr w:type="spellStart"/>
      <w:r w:rsidRPr="00AB3E2D">
        <w:rPr>
          <w:rFonts w:ascii="PT Astra Serif" w:eastAsia="Calibri" w:hAnsi="PT Astra Serif" w:cs="Times New Roman"/>
          <w:szCs w:val="28"/>
        </w:rPr>
        <w:t>Курлан</w:t>
      </w:r>
      <w:proofErr w:type="spellEnd"/>
      <w:r w:rsidRPr="00AB3E2D">
        <w:rPr>
          <w:rFonts w:ascii="PT Astra Serif" w:eastAsia="Calibri" w:hAnsi="PT Astra Serif" w:cs="Times New Roman"/>
          <w:szCs w:val="28"/>
        </w:rPr>
        <w:t xml:space="preserve"> протяжённостью</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0,6 км, входящем в состав автомобильного туристского маршрута «Берег историй», </w:t>
      </w:r>
      <w:r w:rsidR="003D2439">
        <w:rPr>
          <w:rFonts w:ascii="PT Astra Serif" w:eastAsia="Calibri" w:hAnsi="PT Astra Serif" w:cs="Times New Roman"/>
          <w:szCs w:val="28"/>
        </w:rPr>
        <w:br/>
      </w:r>
      <w:r w:rsidRPr="00AB3E2D">
        <w:rPr>
          <w:rFonts w:ascii="PT Astra Serif" w:eastAsia="Calibri" w:hAnsi="PT Astra Serif" w:cs="Times New Roman"/>
          <w:szCs w:val="28"/>
        </w:rPr>
        <w:lastRenderedPageBreak/>
        <w:t>в Мелекесском районе, стоимость ремонта составила 2,799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p>
    <w:p w14:paraId="418C9101" w14:textId="203962B4"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на улицах и местных дорогах, входящих в состав автомобильного туристского маршрута «Берег историй» в Старомайнском районе:</w:t>
      </w:r>
    </w:p>
    <w:p w14:paraId="48A3B418" w14:textId="112B6BFB"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на участках улиц Сидорова, Рабочей и Революционной в </w:t>
      </w:r>
      <w:proofErr w:type="spellStart"/>
      <w:r w:rsidRPr="00AB3E2D">
        <w:rPr>
          <w:rFonts w:ascii="PT Astra Serif" w:eastAsia="Calibri" w:hAnsi="PT Astra Serif" w:cs="Times New Roman"/>
          <w:szCs w:val="28"/>
        </w:rPr>
        <w:t>р.п</w:t>
      </w:r>
      <w:proofErr w:type="spellEnd"/>
      <w:r w:rsidRPr="00AB3E2D">
        <w:rPr>
          <w:rFonts w:ascii="PT Astra Serif" w:eastAsia="Calibri" w:hAnsi="PT Astra Serif" w:cs="Times New Roman"/>
          <w:szCs w:val="28"/>
        </w:rPr>
        <w:t>. Старая Майна общей протяжённостью 1,775 км, стоимость ремонта составила 12,904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p>
    <w:p w14:paraId="4B40E9AA" w14:textId="31C1832E"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на участке местной дороги с. Ивановка – СНТ «Лада», ведущем</w:t>
      </w:r>
      <w:r w:rsidRPr="00AB3E2D">
        <w:rPr>
          <w:rFonts w:ascii="PT Astra Serif" w:eastAsia="Calibri" w:hAnsi="PT Astra Serif" w:cs="Times New Roman"/>
          <w:szCs w:val="28"/>
        </w:rPr>
        <w:br/>
        <w:t xml:space="preserve">к </w:t>
      </w:r>
      <w:proofErr w:type="spellStart"/>
      <w:r w:rsidRPr="00AB3E2D">
        <w:rPr>
          <w:rFonts w:ascii="PT Astra Serif" w:eastAsia="Calibri" w:hAnsi="PT Astra Serif" w:cs="Times New Roman"/>
          <w:szCs w:val="28"/>
        </w:rPr>
        <w:t>агротуристическому</w:t>
      </w:r>
      <w:proofErr w:type="spellEnd"/>
      <w:r w:rsidRPr="00AB3E2D">
        <w:rPr>
          <w:rFonts w:ascii="PT Astra Serif" w:eastAsia="Calibri" w:hAnsi="PT Astra Serif" w:cs="Times New Roman"/>
          <w:szCs w:val="28"/>
        </w:rPr>
        <w:t xml:space="preserve"> историко-культурному комплексу «Булгарская застава», где ежегодно проводится фестиваль исторической реконструкции «Великий Волжский путь» с посещаемостью 9 тыс. человек, протяжённостью 1,3 км, стоимость работ по ремонту щебёночного покрытия ремонта составила 4,595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p>
    <w:p w14:paraId="1450FCA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2025 году проведены работы по благоустройству парковки рядом</w:t>
      </w:r>
      <w:r w:rsidRPr="00AB3E2D">
        <w:rPr>
          <w:rFonts w:ascii="PT Astra Serif" w:eastAsia="Calibri" w:hAnsi="PT Astra Serif" w:cs="Times New Roman"/>
          <w:szCs w:val="28"/>
        </w:rPr>
        <w:br/>
        <w:t>с объектом туристического показа «</w:t>
      </w:r>
      <w:proofErr w:type="spellStart"/>
      <w:r w:rsidRPr="00AB3E2D">
        <w:rPr>
          <w:rFonts w:ascii="PT Astra Serif" w:eastAsia="Calibri" w:hAnsi="PT Astra Serif" w:cs="Times New Roman"/>
          <w:szCs w:val="28"/>
        </w:rPr>
        <w:t>Ундоровский</w:t>
      </w:r>
      <w:proofErr w:type="spellEnd"/>
      <w:r w:rsidRPr="00AB3E2D">
        <w:rPr>
          <w:rFonts w:ascii="PT Astra Serif" w:eastAsia="Calibri" w:hAnsi="PT Astra Serif" w:cs="Times New Roman"/>
          <w:szCs w:val="28"/>
        </w:rPr>
        <w:t xml:space="preserve"> палеонтологический музей» с. Ундоры Ульяновского района, входящим в состав автомобильного туристского маршрута «Долина Волжского моря», а также благоустроена парковка на территории музея-усадьбы А.А. </w:t>
      </w:r>
      <w:proofErr w:type="spellStart"/>
      <w:r w:rsidRPr="00AB3E2D">
        <w:rPr>
          <w:rFonts w:ascii="PT Astra Serif" w:eastAsia="Calibri" w:hAnsi="PT Astra Serif" w:cs="Times New Roman"/>
          <w:szCs w:val="28"/>
        </w:rPr>
        <w:t>Пластова</w:t>
      </w:r>
      <w:proofErr w:type="spellEnd"/>
      <w:r w:rsidRPr="00AB3E2D">
        <w:rPr>
          <w:rFonts w:ascii="PT Astra Serif" w:eastAsia="Calibri" w:hAnsi="PT Astra Serif" w:cs="Times New Roman"/>
          <w:szCs w:val="28"/>
        </w:rPr>
        <w:t xml:space="preserve"> в с. </w:t>
      </w:r>
      <w:proofErr w:type="spellStart"/>
      <w:r w:rsidRPr="00AB3E2D">
        <w:rPr>
          <w:rFonts w:ascii="PT Astra Serif" w:eastAsia="Calibri" w:hAnsi="PT Astra Serif" w:cs="Times New Roman"/>
          <w:szCs w:val="28"/>
        </w:rPr>
        <w:t>Прислониха</w:t>
      </w:r>
      <w:proofErr w:type="spellEnd"/>
      <w:r w:rsidRPr="00AB3E2D">
        <w:rPr>
          <w:rFonts w:ascii="PT Astra Serif" w:eastAsia="Calibri" w:hAnsi="PT Astra Serif" w:cs="Times New Roman"/>
          <w:szCs w:val="28"/>
        </w:rPr>
        <w:t xml:space="preserve"> Карсунского района, входящего в состав автомобильного туристского маршрута «Живописный край».</w:t>
      </w:r>
    </w:p>
    <w:p w14:paraId="01F91046" w14:textId="267A0A7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феврале, марте, ноябре и декабре 2025 года региональным туроператором АНО «</w:t>
      </w:r>
      <w:proofErr w:type="spellStart"/>
      <w:r w:rsidRPr="00AB3E2D">
        <w:rPr>
          <w:rFonts w:ascii="PT Astra Serif" w:eastAsia="Calibri" w:hAnsi="PT Astra Serif" w:cs="Times New Roman"/>
          <w:szCs w:val="28"/>
        </w:rPr>
        <w:t>Симбирсити</w:t>
      </w:r>
      <w:proofErr w:type="spellEnd"/>
      <w:r w:rsidR="00683FC8">
        <w:rPr>
          <w:rFonts w:ascii="PT Astra Serif" w:eastAsia="Calibri" w:hAnsi="PT Astra Serif" w:cs="Times New Roman"/>
          <w:szCs w:val="28"/>
        </w:rPr>
        <w:t>»</w:t>
      </w:r>
      <w:r w:rsidRPr="00AB3E2D">
        <w:rPr>
          <w:rFonts w:ascii="PT Astra Serif" w:eastAsia="Calibri" w:hAnsi="PT Astra Serif" w:cs="Times New Roman"/>
          <w:szCs w:val="28"/>
        </w:rPr>
        <w:t xml:space="preserve"> в рамках реализации проекта </w:t>
      </w:r>
      <w:proofErr w:type="spellStart"/>
      <w:r w:rsidRPr="00AB3E2D">
        <w:rPr>
          <w:rFonts w:ascii="PT Astra Serif" w:eastAsia="Calibri" w:hAnsi="PT Astra Serif" w:cs="Times New Roman"/>
          <w:szCs w:val="28"/>
        </w:rPr>
        <w:t>профориентационных</w:t>
      </w:r>
      <w:proofErr w:type="spellEnd"/>
      <w:r w:rsidRPr="00AB3E2D">
        <w:rPr>
          <w:rFonts w:ascii="PT Astra Serif" w:eastAsia="Calibri" w:hAnsi="PT Astra Serif" w:cs="Times New Roman"/>
          <w:szCs w:val="28"/>
        </w:rPr>
        <w:t xml:space="preserve"> и образовательных туров «Школьный экспресс» были организованы 5 </w:t>
      </w:r>
      <w:proofErr w:type="spellStart"/>
      <w:r w:rsidRPr="00AB3E2D">
        <w:rPr>
          <w:rFonts w:ascii="PT Astra Serif" w:eastAsia="Calibri" w:hAnsi="PT Astra Serif" w:cs="Times New Roman"/>
          <w:szCs w:val="28"/>
        </w:rPr>
        <w:t>профориентационных</w:t>
      </w:r>
      <w:proofErr w:type="spellEnd"/>
      <w:r w:rsidRPr="00AB3E2D">
        <w:rPr>
          <w:rFonts w:ascii="PT Astra Serif" w:eastAsia="Calibri" w:hAnsi="PT Astra Serif" w:cs="Times New Roman"/>
          <w:szCs w:val="28"/>
        </w:rPr>
        <w:t xml:space="preserve"> туров для школьников из </w:t>
      </w:r>
      <w:r w:rsidR="00683FC8">
        <w:rPr>
          <w:rFonts w:ascii="PT Astra Serif" w:eastAsia="Calibri" w:hAnsi="PT Astra Serif" w:cs="Times New Roman"/>
          <w:szCs w:val="28"/>
        </w:rPr>
        <w:t xml:space="preserve">городов </w:t>
      </w:r>
      <w:r w:rsidRPr="00AB3E2D">
        <w:rPr>
          <w:rFonts w:ascii="PT Astra Serif" w:eastAsia="Calibri" w:hAnsi="PT Astra Serif" w:cs="Times New Roman"/>
          <w:szCs w:val="28"/>
        </w:rPr>
        <w:t>Инзы</w:t>
      </w:r>
      <w:r w:rsidRPr="00AB3E2D">
        <w:rPr>
          <w:rFonts w:ascii="PT Astra Serif" w:eastAsia="Calibri" w:hAnsi="PT Astra Serif" w:cs="Times New Roman"/>
          <w:szCs w:val="28"/>
        </w:rPr>
        <w:br/>
        <w:t>и Димитровграда. Ребята посетили ведущие учебные заведения и крупные промышленные предприятия города Ульяновска. Всего в поездках «Школьного экспресса» приняли участие 756 учащихся образовательных учреждений. Каждая поездка сопровождалась родителями и педагогами.</w:t>
      </w:r>
    </w:p>
    <w:p w14:paraId="4AF20819" w14:textId="14C83E7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соответствии с Постановлением Правительства Российской Федерации от 07.05.2022 № 833 «Об утверждении Положения об аттестации экскурсоводов</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(гидов), гидов-переводчиков», Приказом Министерства искусства и культурной</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политики Улья</w:t>
      </w:r>
      <w:r w:rsidR="00683FC8">
        <w:rPr>
          <w:rFonts w:ascii="PT Astra Serif" w:eastAsia="Calibri" w:hAnsi="PT Astra Serif" w:cs="Times New Roman"/>
          <w:szCs w:val="28"/>
        </w:rPr>
        <w:t>новской области от 03.07.2025</w:t>
      </w:r>
      <w:r w:rsidR="00683FC8">
        <w:rPr>
          <w:rFonts w:ascii="PT Astra Serif" w:eastAsia="Calibri" w:hAnsi="PT Astra Serif" w:cs="Times New Roman"/>
          <w:szCs w:val="28"/>
        </w:rPr>
        <w:br/>
        <w:t>№ </w:t>
      </w:r>
      <w:r w:rsidRPr="00AB3E2D">
        <w:rPr>
          <w:rFonts w:ascii="PT Astra Serif" w:eastAsia="Calibri" w:hAnsi="PT Astra Serif" w:cs="Times New Roman"/>
          <w:szCs w:val="28"/>
        </w:rPr>
        <w:t>ГР-04/5 «Об утверждении</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Положения об аттестационной комиссии для аттестации экскурсоводов (гидов)</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rPr>
        <w:t>и гидов-переводчиков» ежемесячно</w:t>
      </w:r>
      <w:r w:rsidRPr="00AB3E2D">
        <w:rPr>
          <w:rFonts w:ascii="PT Astra Serif" w:eastAsia="Calibri" w:hAnsi="PT Astra Serif" w:cs="Times New Roman"/>
          <w:szCs w:val="28"/>
        </w:rPr>
        <w:br/>
        <w:t>в регионе проводится аттестация экскурсоводов (гидов), гидов-переводчиков.</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rPr>
        <w:t>В 2025 году было аттестовано 11 экскурсоводов (гидов). Утверждён новый регламент проведения экзамена, обновлён перечень вопросов. Процесс стал понятнее, прозрачнее и удобнее для специалистов, которые хотят работать</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в туристической сфере официально и качественно.</w:t>
      </w:r>
    </w:p>
    <w:p w14:paraId="422D898A" w14:textId="7628EA4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shd w:val="clear" w:color="auto" w:fill="FFFFFF"/>
        </w:rPr>
        <w:t xml:space="preserve">Таким образом, область активно развивает туристическую отрасль, сочетая природные и культурные ресурсы с эффективной государственной поддержкой и расширением инфраструктуры. Это позволяет региону занимать лидирующие позиции по темпам роста туристического потока в России </w:t>
      </w:r>
      <w:r w:rsidR="00683FC8">
        <w:rPr>
          <w:rFonts w:ascii="PT Astra Serif" w:eastAsia="Calibri" w:hAnsi="PT Astra Serif" w:cs="Times New Roman"/>
          <w:szCs w:val="28"/>
          <w:shd w:val="clear" w:color="auto" w:fill="FFFFFF"/>
        </w:rPr>
        <w:br/>
      </w:r>
      <w:r w:rsidRPr="00AB3E2D">
        <w:rPr>
          <w:rFonts w:ascii="PT Astra Serif" w:eastAsia="Calibri" w:hAnsi="PT Astra Serif" w:cs="Times New Roman"/>
          <w:szCs w:val="28"/>
          <w:shd w:val="clear" w:color="auto" w:fill="FFFFFF"/>
        </w:rPr>
        <w:t>и привлекать всё больше гостей из разных городов и стран.</w:t>
      </w:r>
    </w:p>
    <w:p w14:paraId="4607B27D" w14:textId="77777777" w:rsidR="00FD65E0" w:rsidRDefault="00FD65E0" w:rsidP="00AB3E2D">
      <w:pPr>
        <w:widowControl w:val="0"/>
        <w:ind w:firstLine="0"/>
        <w:jc w:val="center"/>
        <w:rPr>
          <w:rFonts w:ascii="PT Astra Serif" w:eastAsia="Calibri" w:hAnsi="PT Astra Serif" w:cs="Times New Roman"/>
          <w:b/>
          <w:bCs/>
          <w:i/>
          <w:szCs w:val="28"/>
        </w:rPr>
      </w:pPr>
    </w:p>
    <w:p w14:paraId="3956F412" w14:textId="77777777" w:rsidR="00FD65E0" w:rsidRDefault="00FD65E0" w:rsidP="00AB3E2D">
      <w:pPr>
        <w:widowControl w:val="0"/>
        <w:ind w:firstLine="0"/>
        <w:jc w:val="center"/>
        <w:rPr>
          <w:rFonts w:ascii="PT Astra Serif" w:eastAsia="Calibri" w:hAnsi="PT Astra Serif" w:cs="Times New Roman"/>
          <w:b/>
          <w:bCs/>
          <w:i/>
          <w:szCs w:val="28"/>
        </w:rPr>
      </w:pPr>
    </w:p>
    <w:p w14:paraId="3CE50BE5" w14:textId="2CD7DC7F" w:rsidR="00AB3E2D" w:rsidRPr="00AB3E2D" w:rsidRDefault="00AB3E2D" w:rsidP="00AB3E2D">
      <w:pPr>
        <w:widowControl w:val="0"/>
        <w:ind w:firstLine="0"/>
        <w:jc w:val="center"/>
        <w:rPr>
          <w:rFonts w:ascii="PT Astra Serif" w:eastAsia="Calibri" w:hAnsi="PT Astra Serif" w:cs="Times New Roman"/>
          <w:b/>
          <w:bCs/>
          <w:i/>
          <w:szCs w:val="28"/>
        </w:rPr>
      </w:pPr>
      <w:r w:rsidRPr="00AB3E2D">
        <w:rPr>
          <w:rFonts w:ascii="PT Astra Serif" w:eastAsia="Calibri" w:hAnsi="PT Astra Serif" w:cs="Times New Roman"/>
          <w:b/>
          <w:bCs/>
          <w:i/>
          <w:szCs w:val="28"/>
        </w:rPr>
        <w:lastRenderedPageBreak/>
        <w:t>Объёмы финансирования в 2025 году</w:t>
      </w:r>
    </w:p>
    <w:p w14:paraId="3A0623F6" w14:textId="77777777" w:rsidR="00AB3E2D" w:rsidRPr="00AB3E2D" w:rsidRDefault="00AB3E2D" w:rsidP="00AB3E2D">
      <w:pPr>
        <w:widowControl w:val="0"/>
        <w:rPr>
          <w:rFonts w:ascii="PT Astra Serif" w:eastAsia="Calibri" w:hAnsi="PT Astra Serif" w:cs="Times New Roman"/>
          <w:b/>
          <w:szCs w:val="28"/>
        </w:rPr>
      </w:pPr>
    </w:p>
    <w:p w14:paraId="189E710E" w14:textId="0E6F5ABD" w:rsid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b/>
          <w:szCs w:val="28"/>
          <w:shd w:val="clear" w:color="auto" w:fill="FFFFFF"/>
        </w:rPr>
        <w:t xml:space="preserve">Важным фактором роста туризма является государственная поддержка отрасли. </w:t>
      </w:r>
      <w:r w:rsidRPr="00AB3E2D">
        <w:rPr>
          <w:rFonts w:ascii="PT Astra Serif" w:eastAsia="Calibri" w:hAnsi="PT Astra Serif" w:cs="Times New Roman"/>
          <w:szCs w:val="28"/>
        </w:rPr>
        <w:t xml:space="preserve">На реализацию национального проекта «Туризм </w:t>
      </w:r>
      <w:r w:rsidRPr="00AB3E2D">
        <w:rPr>
          <w:rFonts w:ascii="PT Astra Serif" w:eastAsia="Calibri" w:hAnsi="PT Astra Serif" w:cs="Times New Roman"/>
          <w:szCs w:val="28"/>
        </w:rPr>
        <w:br/>
        <w:t>и гостеприимство» в 2025 году выделено 90 555,8 тыс. рублей, что на 15,6% больше, чем в 2024 году (78 292 тыс. рублей).</w:t>
      </w:r>
    </w:p>
    <w:p w14:paraId="60F8C58C" w14:textId="77777777" w:rsidR="00683FC8" w:rsidRPr="00FD65E0" w:rsidRDefault="00683FC8" w:rsidP="00AB3E2D">
      <w:pPr>
        <w:widowControl w:val="0"/>
        <w:rPr>
          <w:rFonts w:ascii="PT Astra Serif" w:eastAsia="Calibri" w:hAnsi="PT Astra Serif" w:cs="Times New Roman"/>
          <w:sz w:val="20"/>
          <w:szCs w:val="20"/>
        </w:rPr>
      </w:pPr>
    </w:p>
    <w:p w14:paraId="1163F404" w14:textId="77777777" w:rsidR="00AB3E2D" w:rsidRPr="00AB3E2D" w:rsidRDefault="00AB3E2D" w:rsidP="00AB3E2D">
      <w:pPr>
        <w:widowControl w:val="0"/>
        <w:ind w:firstLine="0"/>
        <w:jc w:val="center"/>
        <w:rPr>
          <w:rFonts w:ascii="PT Astra Serif" w:eastAsia="Calibri" w:hAnsi="PT Astra Serif" w:cs="Times New Roman"/>
          <w:szCs w:val="28"/>
        </w:rPr>
      </w:pPr>
      <w:r w:rsidRPr="00AB3E2D">
        <w:rPr>
          <w:rFonts w:ascii="PT Astra Serif" w:eastAsia="Calibri" w:hAnsi="PT Astra Serif" w:cs="Times New Roman"/>
          <w:noProof/>
          <w:szCs w:val="28"/>
          <w:lang w:eastAsia="ru-RU"/>
        </w:rPr>
        <w:drawing>
          <wp:inline distT="0" distB="0" distL="0" distR="0" wp14:anchorId="1C5319F4" wp14:editId="52F092E2">
            <wp:extent cx="5518205" cy="2130950"/>
            <wp:effectExtent l="0" t="0" r="0" b="0"/>
            <wp:docPr id="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294ED55" w14:textId="77777777" w:rsidR="00AB3E2D" w:rsidRPr="00AB3E2D" w:rsidRDefault="00AB3E2D" w:rsidP="00683FC8">
      <w:pPr>
        <w:widowControl w:val="0"/>
        <w:ind w:firstLine="142"/>
        <w:jc w:val="center"/>
        <w:rPr>
          <w:rFonts w:ascii="PT Astra Serif" w:eastAsia="Calibri" w:hAnsi="PT Astra Serif" w:cs="Times New Roman"/>
          <w:b/>
          <w:bCs/>
          <w:sz w:val="20"/>
          <w:szCs w:val="20"/>
        </w:rPr>
      </w:pPr>
      <w:r w:rsidRPr="00AB3E2D">
        <w:rPr>
          <w:rFonts w:ascii="PT Astra Serif" w:eastAsia="Calibri" w:hAnsi="PT Astra Serif" w:cs="Times New Roman"/>
          <w:b/>
          <w:bCs/>
          <w:sz w:val="20"/>
          <w:szCs w:val="20"/>
        </w:rPr>
        <w:t>Распределение средств в 2024 - 2025 годах</w:t>
      </w:r>
    </w:p>
    <w:p w14:paraId="6661B257" w14:textId="77777777" w:rsidR="00AB3E2D" w:rsidRPr="008D5740" w:rsidRDefault="00AB3E2D" w:rsidP="00AB3E2D">
      <w:pPr>
        <w:widowControl w:val="0"/>
        <w:rPr>
          <w:rFonts w:ascii="PT Astra Serif" w:eastAsia="Calibri" w:hAnsi="PT Astra Serif" w:cs="Times New Roman"/>
          <w:b/>
          <w:sz w:val="20"/>
          <w:szCs w:val="20"/>
        </w:rPr>
      </w:pPr>
    </w:p>
    <w:p w14:paraId="4D0392FD" w14:textId="0D455C22"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Из них </w:t>
      </w:r>
      <w:r w:rsidRPr="00AB3E2D">
        <w:rPr>
          <w:rFonts w:ascii="PT Astra Serif" w:eastAsia="Calibri" w:hAnsi="PT Astra Serif" w:cs="Times New Roman"/>
          <w:b/>
          <w:szCs w:val="28"/>
        </w:rPr>
        <w:t>в рамках единой субсидии</w:t>
      </w:r>
      <w:r w:rsidRPr="00AB3E2D">
        <w:rPr>
          <w:rFonts w:ascii="PT Astra Serif" w:eastAsia="Calibri" w:hAnsi="PT Astra Serif" w:cs="Times New Roman"/>
          <w:szCs w:val="28"/>
        </w:rPr>
        <w:t xml:space="preserve"> 73,9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 (71,6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 средств</w:t>
      </w:r>
      <w:r w:rsidR="00AE265A">
        <w:rPr>
          <w:rFonts w:ascii="PT Astra Serif" w:eastAsia="Calibri" w:hAnsi="PT Astra Serif" w:cs="Times New Roman"/>
          <w:szCs w:val="28"/>
        </w:rPr>
        <w:t xml:space="preserve">а федерального бюджета, 2,3 млн </w:t>
      </w:r>
      <w:r w:rsidRPr="00AB3E2D">
        <w:rPr>
          <w:rFonts w:ascii="PT Astra Serif" w:eastAsia="Calibri" w:hAnsi="PT Astra Serif" w:cs="Times New Roman"/>
          <w:szCs w:val="28"/>
        </w:rPr>
        <w:t>рублей средства регионального бюджета).</w:t>
      </w:r>
    </w:p>
    <w:p w14:paraId="1D2AD685" w14:textId="77777777"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b/>
          <w:szCs w:val="28"/>
        </w:rPr>
        <w:t>Распределение единой субсидии:</w:t>
      </w:r>
    </w:p>
    <w:p w14:paraId="0F74614B" w14:textId="78AFAE51"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на поддержку и продвижение событийных мероприятий, направленных на развитие туризма в Ульяновской области, составляет 41,9 млн рублей (40,7 млн</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рублей средства федерального бюджета, 1,2 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p>
    <w:p w14:paraId="7EC53DD4" w14:textId="5954B108"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на поддержку общественных инициатив, проектов юридических лиц</w:t>
      </w:r>
      <w:r w:rsidR="00683FC8">
        <w:rPr>
          <w:rFonts w:ascii="PT Astra Serif" w:eastAsia="Calibri" w:hAnsi="PT Astra Serif" w:cs="Times New Roman"/>
          <w:szCs w:val="28"/>
        </w:rPr>
        <w:t xml:space="preserve"> </w:t>
      </w:r>
      <w:r w:rsidR="00683FC8">
        <w:rPr>
          <w:rFonts w:ascii="PT Astra Serif" w:eastAsia="Calibri" w:hAnsi="PT Astra Serif" w:cs="Times New Roman"/>
          <w:szCs w:val="28"/>
        </w:rPr>
        <w:br/>
      </w:r>
      <w:r w:rsidRPr="00AB3E2D">
        <w:rPr>
          <w:rFonts w:ascii="PT Astra Serif" w:eastAsia="Calibri" w:hAnsi="PT Astra Serif" w:cs="Times New Roman"/>
          <w:szCs w:val="28"/>
        </w:rPr>
        <w:t>и индивидуальных предпринимателей, направленных на развитие туристической инфраструктуры (ТИЦ), 31,92 млн рублей (30,96 млн рублей</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0,96 млн рублей</w:t>
      </w:r>
      <w:r w:rsidR="00295654">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p>
    <w:p w14:paraId="6FE1E812" w14:textId="60917EE2"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szCs w:val="28"/>
        </w:rPr>
        <w:t xml:space="preserve">Также в рамках реализации </w:t>
      </w:r>
      <w:r w:rsidRPr="00AB3E2D">
        <w:rPr>
          <w:rFonts w:ascii="PT Astra Serif" w:eastAsia="Calibri" w:hAnsi="PT Astra Serif" w:cs="Times New Roman"/>
          <w:color w:val="000000"/>
          <w:szCs w:val="28"/>
        </w:rPr>
        <w:t xml:space="preserve">национального проекта «Туризм </w:t>
      </w:r>
      <w:r w:rsidRPr="00AB3E2D">
        <w:rPr>
          <w:rFonts w:ascii="PT Astra Serif" w:eastAsia="Calibri" w:hAnsi="PT Astra Serif" w:cs="Times New Roman"/>
          <w:color w:val="000000"/>
          <w:szCs w:val="28"/>
        </w:rPr>
        <w:br/>
        <w:t xml:space="preserve">и гостеприимство» предоставлена государственная поддержка в виде предоставления субсидии </w:t>
      </w:r>
      <w:r w:rsidRPr="00AB3E2D">
        <w:rPr>
          <w:rFonts w:ascii="PT Astra Serif" w:eastAsia="Calibri" w:hAnsi="PT Astra Serif" w:cs="Times New Roman"/>
          <w:b/>
          <w:color w:val="000000"/>
          <w:szCs w:val="28"/>
        </w:rPr>
        <w:t xml:space="preserve">на </w:t>
      </w:r>
      <w:r w:rsidRPr="00AB3E2D">
        <w:rPr>
          <w:rFonts w:ascii="PT Astra Serif" w:eastAsia="Calibri" w:hAnsi="PT Astra Serif" w:cs="Times New Roman"/>
          <w:b/>
          <w:szCs w:val="28"/>
        </w:rPr>
        <w:t>реализацию инвестиционных проектов по созданию модульных некапитальных средств размещения в 2025</w:t>
      </w:r>
      <w:r w:rsidR="00683FC8">
        <w:rPr>
          <w:rFonts w:ascii="PT Astra Serif" w:eastAsia="Calibri" w:hAnsi="PT Astra Serif" w:cs="Times New Roman"/>
          <w:b/>
          <w:szCs w:val="28"/>
        </w:rPr>
        <w:t xml:space="preserve"> - </w:t>
      </w:r>
      <w:r w:rsidRPr="00AB3E2D">
        <w:rPr>
          <w:rFonts w:ascii="PT Astra Serif" w:eastAsia="Calibri" w:hAnsi="PT Astra Serif" w:cs="Times New Roman"/>
          <w:b/>
          <w:szCs w:val="28"/>
        </w:rPr>
        <w:t>2027 годах.</w:t>
      </w:r>
    </w:p>
    <w:p w14:paraId="4890F6B2" w14:textId="372D74A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От Ульяновской области поддержано 3 инвестиционных проекта (выписка из Приложения № 6 Протокола заседания комиссии по вопросам предоставления и распределения в 2025-2027 годах субсидий из федерального бюджета бюджетам субъектов Российской Федерации на государственную поддержку инвестиционных проектов по созданию модульных некапитальных средств размещения от 9 июня 2025 года №</w:t>
      </w:r>
      <w:r w:rsidR="00683FC8">
        <w:rPr>
          <w:rFonts w:ascii="PT Astra Serif" w:eastAsia="Calibri" w:hAnsi="PT Astra Serif" w:cs="Times New Roman"/>
          <w:szCs w:val="28"/>
        </w:rPr>
        <w:t> </w:t>
      </w:r>
      <w:r w:rsidRPr="00AB3E2D">
        <w:rPr>
          <w:rFonts w:ascii="PT Astra Serif" w:eastAsia="Calibri" w:hAnsi="PT Astra Serif" w:cs="Times New Roman"/>
          <w:szCs w:val="28"/>
        </w:rPr>
        <w:t>39-ВД).</w:t>
      </w:r>
    </w:p>
    <w:p w14:paraId="7C54E3C0" w14:textId="7FB0441E"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1. Инвестиционный проект по созданию новых модульных некапитальных круглогодичных средств размещения на территории </w:t>
      </w:r>
      <w:r w:rsidRPr="00AB3E2D">
        <w:rPr>
          <w:rFonts w:ascii="PT Astra Serif" w:eastAsia="Calibri" w:hAnsi="PT Astra Serif" w:cs="Times New Roman"/>
          <w:szCs w:val="28"/>
        </w:rPr>
        <w:br/>
      </w:r>
      <w:r w:rsidRPr="00AB3E2D">
        <w:rPr>
          <w:rFonts w:ascii="PT Astra Serif" w:eastAsia="Calibri" w:hAnsi="PT Astra Serif" w:cs="Times New Roman"/>
          <w:szCs w:val="28"/>
        </w:rPr>
        <w:lastRenderedPageBreak/>
        <w:t xml:space="preserve">и </w:t>
      </w:r>
      <w:r w:rsidR="00683FC8">
        <w:rPr>
          <w:rFonts w:ascii="PT Astra Serif" w:eastAsia="Calibri" w:hAnsi="PT Astra Serif" w:cs="Times New Roman"/>
          <w:szCs w:val="28"/>
        </w:rPr>
        <w:t>з</w:t>
      </w:r>
      <w:r w:rsidRPr="00AB3E2D">
        <w:rPr>
          <w:rFonts w:ascii="PT Astra Serif" w:eastAsia="Calibri" w:hAnsi="PT Astra Serif" w:cs="Times New Roman"/>
          <w:szCs w:val="28"/>
        </w:rPr>
        <w:t>агородного клуба «Малинки» в 2025</w:t>
      </w:r>
      <w:r w:rsidR="00AE265A">
        <w:rPr>
          <w:rFonts w:ascii="PT Astra Serif" w:eastAsia="Calibri" w:hAnsi="PT Astra Serif" w:cs="Times New Roman"/>
          <w:szCs w:val="28"/>
        </w:rPr>
        <w:t xml:space="preserve"> </w:t>
      </w:r>
      <w:r w:rsidRPr="00AB3E2D">
        <w:rPr>
          <w:rFonts w:ascii="PT Astra Serif" w:eastAsia="Calibri" w:hAnsi="PT Astra Serif" w:cs="Times New Roman"/>
          <w:szCs w:val="28"/>
        </w:rPr>
        <w:t>-</w:t>
      </w:r>
      <w:r w:rsidR="00AE265A">
        <w:rPr>
          <w:rFonts w:ascii="PT Astra Serif" w:eastAsia="Calibri" w:hAnsi="PT Astra Serif" w:cs="Times New Roman"/>
          <w:szCs w:val="28"/>
        </w:rPr>
        <w:t xml:space="preserve"> </w:t>
      </w:r>
      <w:r w:rsidRPr="00AB3E2D">
        <w:rPr>
          <w:rFonts w:ascii="PT Astra Serif" w:eastAsia="Calibri" w:hAnsi="PT Astra Serif" w:cs="Times New Roman"/>
          <w:szCs w:val="28"/>
        </w:rPr>
        <w:t>2027 годах (Старомайнский район). Общий объём денежных средств в 2025 году -16,7 млн рублей (16,2 млн рублей</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0,5 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Общий объём денежных средств в 2026 году -55,7 млн рублей (54,0 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1,7 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регионального бюджета), количество номеров – 52, из них в 2025 году – 12, </w:t>
      </w:r>
      <w:r w:rsidR="00683FC8">
        <w:rPr>
          <w:rFonts w:ascii="PT Astra Serif" w:eastAsia="Calibri" w:hAnsi="PT Astra Serif" w:cs="Times New Roman"/>
          <w:szCs w:val="28"/>
        </w:rPr>
        <w:br/>
      </w:r>
      <w:r w:rsidRPr="00AB3E2D">
        <w:rPr>
          <w:rFonts w:ascii="PT Astra Serif" w:eastAsia="Calibri" w:hAnsi="PT Astra Serif" w:cs="Times New Roman"/>
          <w:szCs w:val="28"/>
        </w:rPr>
        <w:t>в 2026 году – 40.</w:t>
      </w:r>
    </w:p>
    <w:p w14:paraId="5FB23BD4" w14:textId="58F40A5C"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2. Строительство туристической базы отдыха «Урень» (Чердаклинский район). Общий объём денежных средств в 2027 году –37 млн рублей, </w:t>
      </w:r>
      <w:r w:rsidRPr="00AB3E2D">
        <w:rPr>
          <w:rFonts w:ascii="PT Astra Serif" w:eastAsia="Calibri" w:hAnsi="PT Astra Serif" w:cs="Times New Roman"/>
          <w:szCs w:val="28"/>
        </w:rPr>
        <w:br/>
        <w:t>(35,9</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1,1</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 количество номеров – 32.</w:t>
      </w:r>
    </w:p>
    <w:p w14:paraId="53AE1040" w14:textId="0DF00F24"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3. Проект по созданию модульных некапитальных средств размещения рядом с Ульяновским речным портом «Гостиничный комплекс «</w:t>
      </w:r>
      <w:proofErr w:type="spellStart"/>
      <w:r w:rsidRPr="00AB3E2D">
        <w:rPr>
          <w:rFonts w:ascii="PT Astra Serif" w:eastAsia="Calibri" w:hAnsi="PT Astra Serif" w:cs="Times New Roman"/>
          <w:szCs w:val="28"/>
        </w:rPr>
        <w:t>Завидово</w:t>
      </w:r>
      <w:proofErr w:type="spellEnd"/>
      <w:r w:rsidRPr="00AB3E2D">
        <w:rPr>
          <w:rFonts w:ascii="PT Astra Serif" w:eastAsia="Calibri" w:hAnsi="PT Astra Serif" w:cs="Times New Roman"/>
          <w:szCs w:val="28"/>
        </w:rPr>
        <w:t>»: отдых и туризм на Волге» (г.</w:t>
      </w:r>
      <w:r w:rsidR="00683FC8">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Ульяновск). Общий объём денежных средств </w:t>
      </w:r>
      <w:r w:rsidRPr="00AB3E2D">
        <w:rPr>
          <w:rFonts w:ascii="PT Astra Serif" w:eastAsia="Calibri" w:hAnsi="PT Astra Serif" w:cs="Times New Roman"/>
          <w:szCs w:val="28"/>
        </w:rPr>
        <w:br/>
        <w:t>в 2027 году – 12,6 млн рублей, (12,2</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0,4</w:t>
      </w:r>
      <w:r w:rsidR="003D2439">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 средства регионального бюджета), количество номеров – 15.</w:t>
      </w:r>
    </w:p>
    <w:p w14:paraId="57B25817" w14:textId="77777777" w:rsidR="00AB3E2D" w:rsidRPr="008D5740" w:rsidRDefault="00AB3E2D" w:rsidP="00AB3E2D">
      <w:pPr>
        <w:widowControl w:val="0"/>
        <w:contextualSpacing/>
        <w:rPr>
          <w:rFonts w:ascii="PT Astra Serif" w:eastAsia="Calibri" w:hAnsi="PT Astra Serif" w:cs="Calibri"/>
          <w:b/>
          <w:sz w:val="20"/>
          <w:szCs w:val="20"/>
        </w:rPr>
      </w:pPr>
    </w:p>
    <w:p w14:paraId="6FEA5952" w14:textId="77777777" w:rsidR="00AB3E2D" w:rsidRPr="00AB3E2D" w:rsidRDefault="00AB3E2D" w:rsidP="00AB3E2D">
      <w:pPr>
        <w:widowControl w:val="0"/>
        <w:contextualSpacing/>
        <w:jc w:val="center"/>
        <w:rPr>
          <w:rFonts w:ascii="PT Astra Serif" w:eastAsia="Calibri" w:hAnsi="PT Astra Serif" w:cs="Calibri"/>
          <w:b/>
          <w:sz w:val="20"/>
          <w:szCs w:val="20"/>
        </w:rPr>
      </w:pPr>
      <w:r w:rsidRPr="00AB3E2D">
        <w:rPr>
          <w:rFonts w:ascii="PT Astra Serif" w:eastAsia="Calibri" w:hAnsi="PT Astra Serif" w:cs="Calibri"/>
          <w:b/>
          <w:sz w:val="20"/>
          <w:szCs w:val="20"/>
        </w:rPr>
        <w:t>Распределение финансирования в 2025 году</w:t>
      </w:r>
    </w:p>
    <w:p w14:paraId="0C719F5F" w14:textId="77777777" w:rsidR="00AB3E2D" w:rsidRPr="00683FC8" w:rsidRDefault="00AB3E2D" w:rsidP="00AB3E2D">
      <w:pPr>
        <w:widowControl w:val="0"/>
        <w:contextualSpacing/>
        <w:rPr>
          <w:rFonts w:ascii="PT Astra Serif" w:eastAsia="Calibri" w:hAnsi="PT Astra Serif" w:cs="Calibri"/>
          <w:sz w:val="20"/>
          <w:szCs w:val="20"/>
        </w:rPr>
      </w:pPr>
    </w:p>
    <w:tbl>
      <w:tblPr>
        <w:tblStyle w:val="190"/>
        <w:tblW w:w="9506" w:type="dxa"/>
        <w:tblInd w:w="108" w:type="dxa"/>
        <w:tblLook w:val="04A0" w:firstRow="1" w:lastRow="0" w:firstColumn="1" w:lastColumn="0" w:noHBand="0" w:noVBand="1"/>
      </w:tblPr>
      <w:tblGrid>
        <w:gridCol w:w="4423"/>
        <w:gridCol w:w="1701"/>
        <w:gridCol w:w="1701"/>
        <w:gridCol w:w="1672"/>
        <w:gridCol w:w="9"/>
      </w:tblGrid>
      <w:tr w:rsidR="00AB3E2D" w:rsidRPr="00AB3E2D" w14:paraId="287ED078" w14:textId="77777777" w:rsidTr="005C59CE">
        <w:trPr>
          <w:gridAfter w:val="1"/>
          <w:wAfter w:w="9" w:type="dxa"/>
          <w:trHeight w:val="431"/>
        </w:trPr>
        <w:tc>
          <w:tcPr>
            <w:tcW w:w="4423" w:type="dxa"/>
            <w:tcBorders>
              <w:top w:val="single" w:sz="4" w:space="0" w:color="auto"/>
              <w:left w:val="single" w:sz="4" w:space="0" w:color="auto"/>
              <w:bottom w:val="single" w:sz="4" w:space="0" w:color="auto"/>
              <w:right w:val="single" w:sz="4" w:space="0" w:color="auto"/>
            </w:tcBorders>
            <w:vAlign w:val="center"/>
          </w:tcPr>
          <w:p w14:paraId="7DFBA74C" w14:textId="77777777" w:rsidR="00AB3E2D" w:rsidRPr="00683FC8" w:rsidRDefault="00AB3E2D" w:rsidP="00AB3E2D">
            <w:pPr>
              <w:widowControl w:val="0"/>
              <w:ind w:firstLine="0"/>
              <w:contextualSpacing/>
              <w:jc w:val="center"/>
              <w:rPr>
                <w:rFonts w:ascii="PT Astra Serif" w:hAnsi="PT Astra Serif" w:cs="Calibri"/>
                <w:b/>
                <w:bCs/>
                <w:sz w:val="20"/>
                <w:szCs w:val="20"/>
              </w:rPr>
            </w:pPr>
            <w:r w:rsidRPr="00683FC8">
              <w:rPr>
                <w:rFonts w:ascii="PT Astra Serif" w:hAnsi="PT Astra Serif" w:cs="Calibri"/>
                <w:b/>
                <w:bCs/>
                <w:sz w:val="20"/>
                <w:szCs w:val="20"/>
              </w:rPr>
              <w:t>Показатели</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4DF9C2" w14:textId="77777777" w:rsidR="00AB3E2D" w:rsidRPr="00683FC8" w:rsidRDefault="00AB3E2D" w:rsidP="00AB3E2D">
            <w:pPr>
              <w:widowControl w:val="0"/>
              <w:ind w:firstLine="0"/>
              <w:contextualSpacing/>
              <w:jc w:val="center"/>
              <w:rPr>
                <w:rFonts w:ascii="PT Astra Serif" w:hAnsi="PT Astra Serif" w:cs="Calibri"/>
                <w:b/>
                <w:sz w:val="20"/>
                <w:szCs w:val="20"/>
              </w:rPr>
            </w:pPr>
            <w:r w:rsidRPr="00683FC8">
              <w:rPr>
                <w:rFonts w:ascii="PT Astra Serif" w:hAnsi="PT Astra Serif" w:cs="Calibri"/>
                <w:b/>
                <w:sz w:val="20"/>
                <w:szCs w:val="20"/>
              </w:rPr>
              <w:t>Всего, руб.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357B9" w14:textId="77777777" w:rsidR="00AB3E2D" w:rsidRPr="00683FC8" w:rsidRDefault="00AB3E2D" w:rsidP="00AB3E2D">
            <w:pPr>
              <w:widowControl w:val="0"/>
              <w:ind w:firstLine="0"/>
              <w:contextualSpacing/>
              <w:jc w:val="center"/>
              <w:rPr>
                <w:rFonts w:ascii="PT Astra Serif" w:hAnsi="PT Astra Serif" w:cs="Calibri"/>
                <w:b/>
                <w:sz w:val="20"/>
                <w:szCs w:val="20"/>
              </w:rPr>
            </w:pPr>
            <w:r w:rsidRPr="00683FC8">
              <w:rPr>
                <w:rFonts w:ascii="PT Astra Serif" w:hAnsi="PT Astra Serif" w:cs="Calibri"/>
                <w:b/>
                <w:sz w:val="20"/>
                <w:szCs w:val="20"/>
              </w:rPr>
              <w:t>Федеральный бюджет, руб.</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FF942A7" w14:textId="7DCF58AA" w:rsidR="00AB3E2D" w:rsidRPr="00683FC8" w:rsidRDefault="00AB3E2D" w:rsidP="005C59CE">
            <w:pPr>
              <w:widowControl w:val="0"/>
              <w:ind w:firstLine="0"/>
              <w:contextualSpacing/>
              <w:jc w:val="center"/>
              <w:rPr>
                <w:rFonts w:ascii="PT Astra Serif" w:hAnsi="PT Astra Serif" w:cs="Calibri"/>
                <w:b/>
                <w:sz w:val="20"/>
                <w:szCs w:val="20"/>
              </w:rPr>
            </w:pPr>
            <w:r w:rsidRPr="00683FC8">
              <w:rPr>
                <w:rFonts w:ascii="PT Astra Serif" w:hAnsi="PT Astra Serif" w:cs="Calibri"/>
                <w:b/>
                <w:sz w:val="20"/>
                <w:szCs w:val="20"/>
              </w:rPr>
              <w:t>Бюджет Ульяновской области, руб.</w:t>
            </w:r>
          </w:p>
        </w:tc>
      </w:tr>
      <w:tr w:rsidR="00AB3E2D" w:rsidRPr="005C59CE" w14:paraId="2418B1E5" w14:textId="77777777" w:rsidTr="005C59CE">
        <w:trPr>
          <w:gridAfter w:val="1"/>
          <w:wAfter w:w="9" w:type="dxa"/>
        </w:trPr>
        <w:tc>
          <w:tcPr>
            <w:tcW w:w="4423" w:type="dxa"/>
            <w:tcBorders>
              <w:top w:val="single" w:sz="4" w:space="0" w:color="auto"/>
              <w:left w:val="single" w:sz="4" w:space="0" w:color="auto"/>
              <w:bottom w:val="single" w:sz="4" w:space="0" w:color="auto"/>
              <w:right w:val="single" w:sz="4" w:space="0" w:color="auto"/>
            </w:tcBorders>
            <w:hideMark/>
          </w:tcPr>
          <w:p w14:paraId="2410503B" w14:textId="77777777" w:rsidR="00AB3E2D" w:rsidRPr="005C59CE" w:rsidRDefault="00AB3E2D" w:rsidP="00AB3E2D">
            <w:pPr>
              <w:widowControl w:val="0"/>
              <w:ind w:firstLine="0"/>
              <w:contextualSpacing/>
              <w:rPr>
                <w:rFonts w:ascii="PT Astra Serif" w:hAnsi="PT Astra Serif" w:cs="Calibri"/>
                <w:sz w:val="20"/>
                <w:szCs w:val="20"/>
              </w:rPr>
            </w:pPr>
            <w:r w:rsidRPr="005C59CE">
              <w:rPr>
                <w:rFonts w:ascii="PT Astra Serif" w:hAnsi="PT Astra Serif" w:cs="Calibri"/>
                <w:sz w:val="20"/>
                <w:szCs w:val="20"/>
              </w:rPr>
              <w:t>Модульные некапитальные средства размещения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E2A999"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16 701 030,93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9114F8"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16 200 000,00</w:t>
            </w:r>
          </w:p>
        </w:tc>
        <w:tc>
          <w:tcPr>
            <w:tcW w:w="1672" w:type="dxa"/>
            <w:tcBorders>
              <w:top w:val="single" w:sz="4" w:space="0" w:color="auto"/>
              <w:left w:val="single" w:sz="4" w:space="0" w:color="auto"/>
              <w:bottom w:val="single" w:sz="4" w:space="0" w:color="auto"/>
              <w:right w:val="single" w:sz="4" w:space="0" w:color="auto"/>
            </w:tcBorders>
            <w:vAlign w:val="center"/>
            <w:hideMark/>
          </w:tcPr>
          <w:p w14:paraId="02DE4564"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501 030,93</w:t>
            </w:r>
          </w:p>
        </w:tc>
      </w:tr>
      <w:tr w:rsidR="00AB3E2D" w:rsidRPr="005C59CE" w14:paraId="7CE7E794" w14:textId="77777777" w:rsidTr="005C59CE">
        <w:trPr>
          <w:gridAfter w:val="1"/>
          <w:wAfter w:w="9" w:type="dxa"/>
        </w:trPr>
        <w:tc>
          <w:tcPr>
            <w:tcW w:w="4423" w:type="dxa"/>
            <w:tcBorders>
              <w:top w:val="single" w:sz="4" w:space="0" w:color="auto"/>
              <w:left w:val="single" w:sz="4" w:space="0" w:color="auto"/>
              <w:bottom w:val="single" w:sz="4" w:space="0" w:color="auto"/>
              <w:right w:val="single" w:sz="4" w:space="0" w:color="auto"/>
            </w:tcBorders>
            <w:hideMark/>
          </w:tcPr>
          <w:p w14:paraId="626D6A3F" w14:textId="77777777" w:rsidR="00AB3E2D" w:rsidRPr="005C59CE" w:rsidRDefault="00AB3E2D" w:rsidP="00AB3E2D">
            <w:pPr>
              <w:widowControl w:val="0"/>
              <w:ind w:firstLine="0"/>
              <w:contextualSpacing/>
              <w:rPr>
                <w:rFonts w:ascii="PT Astra Serif" w:hAnsi="PT Astra Serif" w:cs="Calibri"/>
                <w:sz w:val="20"/>
                <w:szCs w:val="20"/>
              </w:rPr>
            </w:pPr>
            <w:r w:rsidRPr="005C59CE">
              <w:rPr>
                <w:rFonts w:ascii="PT Astra Serif" w:hAnsi="PT Astra Serif" w:cs="Calibri"/>
                <w:sz w:val="20"/>
                <w:szCs w:val="20"/>
              </w:rPr>
              <w:t>Единая субсидия, в том числе:</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91CB61"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73 854 771,65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6340F91"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71 639 128,50</w:t>
            </w:r>
          </w:p>
        </w:tc>
        <w:tc>
          <w:tcPr>
            <w:tcW w:w="1672" w:type="dxa"/>
            <w:tcBorders>
              <w:top w:val="single" w:sz="4" w:space="0" w:color="auto"/>
              <w:left w:val="single" w:sz="4" w:space="0" w:color="auto"/>
              <w:bottom w:val="single" w:sz="4" w:space="0" w:color="auto"/>
              <w:right w:val="single" w:sz="4" w:space="0" w:color="auto"/>
            </w:tcBorders>
            <w:vAlign w:val="center"/>
            <w:hideMark/>
          </w:tcPr>
          <w:p w14:paraId="76462AE1"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2 215 643,15</w:t>
            </w:r>
          </w:p>
        </w:tc>
      </w:tr>
      <w:tr w:rsidR="00AB3E2D" w:rsidRPr="005C59CE" w14:paraId="35294BFB" w14:textId="77777777" w:rsidTr="005C59CE">
        <w:trPr>
          <w:gridAfter w:val="1"/>
          <w:wAfter w:w="9" w:type="dxa"/>
        </w:trPr>
        <w:tc>
          <w:tcPr>
            <w:tcW w:w="4423" w:type="dxa"/>
            <w:tcBorders>
              <w:top w:val="single" w:sz="4" w:space="0" w:color="auto"/>
              <w:left w:val="single" w:sz="4" w:space="0" w:color="auto"/>
              <w:bottom w:val="single" w:sz="4" w:space="0" w:color="auto"/>
              <w:right w:val="single" w:sz="4" w:space="0" w:color="auto"/>
            </w:tcBorders>
          </w:tcPr>
          <w:p w14:paraId="67AC240E" w14:textId="77777777" w:rsidR="00AB3E2D" w:rsidRPr="005C59CE" w:rsidRDefault="00AB3E2D" w:rsidP="00AB3E2D">
            <w:pPr>
              <w:widowControl w:val="0"/>
              <w:ind w:firstLine="0"/>
              <w:contextualSpacing/>
              <w:rPr>
                <w:rFonts w:ascii="PT Astra Serif" w:hAnsi="PT Astra Serif" w:cs="Calibri"/>
                <w:i/>
                <w:sz w:val="20"/>
                <w:szCs w:val="20"/>
              </w:rPr>
            </w:pPr>
            <w:r w:rsidRPr="005C59CE">
              <w:rPr>
                <w:rFonts w:ascii="PT Astra Serif" w:hAnsi="PT Astra Serif" w:cs="Calibri"/>
                <w:i/>
                <w:sz w:val="20"/>
                <w:szCs w:val="20"/>
              </w:rPr>
              <w:t>на развитие туристической инфраструктуры (ТИЦ)</w:t>
            </w:r>
          </w:p>
        </w:tc>
        <w:tc>
          <w:tcPr>
            <w:tcW w:w="1701" w:type="dxa"/>
            <w:tcBorders>
              <w:top w:val="single" w:sz="4" w:space="0" w:color="auto"/>
              <w:left w:val="single" w:sz="4" w:space="0" w:color="auto"/>
              <w:bottom w:val="single" w:sz="4" w:space="0" w:color="auto"/>
              <w:right w:val="single" w:sz="4" w:space="0" w:color="auto"/>
            </w:tcBorders>
            <w:vAlign w:val="center"/>
          </w:tcPr>
          <w:p w14:paraId="51F020B3" w14:textId="77777777" w:rsidR="00AB3E2D" w:rsidRPr="005C59CE" w:rsidRDefault="00AB3E2D" w:rsidP="00AB3E2D">
            <w:pPr>
              <w:widowControl w:val="0"/>
              <w:ind w:firstLine="0"/>
              <w:contextualSpacing/>
              <w:jc w:val="center"/>
              <w:rPr>
                <w:rFonts w:ascii="PT Astra Serif" w:hAnsi="PT Astra Serif" w:cs="Calibri"/>
                <w:i/>
                <w:sz w:val="20"/>
                <w:szCs w:val="20"/>
              </w:rPr>
            </w:pPr>
            <w:r w:rsidRPr="005C59CE">
              <w:rPr>
                <w:rFonts w:ascii="PT Astra Serif" w:hAnsi="PT Astra Serif" w:cs="Calibri"/>
                <w:i/>
                <w:sz w:val="20"/>
                <w:szCs w:val="20"/>
              </w:rPr>
              <w:t>31 916 163,07</w:t>
            </w:r>
          </w:p>
        </w:tc>
        <w:tc>
          <w:tcPr>
            <w:tcW w:w="1701" w:type="dxa"/>
            <w:tcBorders>
              <w:top w:val="single" w:sz="4" w:space="0" w:color="auto"/>
              <w:left w:val="single" w:sz="4" w:space="0" w:color="auto"/>
              <w:bottom w:val="single" w:sz="4" w:space="0" w:color="auto"/>
              <w:right w:val="single" w:sz="4" w:space="0" w:color="auto"/>
            </w:tcBorders>
            <w:vAlign w:val="center"/>
          </w:tcPr>
          <w:p w14:paraId="04235749" w14:textId="77777777" w:rsidR="00AB3E2D" w:rsidRPr="005C59CE" w:rsidRDefault="00AB3E2D" w:rsidP="00AB3E2D">
            <w:pPr>
              <w:widowControl w:val="0"/>
              <w:ind w:firstLine="0"/>
              <w:contextualSpacing/>
              <w:jc w:val="center"/>
              <w:rPr>
                <w:rFonts w:ascii="PT Astra Serif" w:hAnsi="PT Astra Serif" w:cs="Calibri"/>
                <w:i/>
                <w:sz w:val="20"/>
                <w:szCs w:val="20"/>
              </w:rPr>
            </w:pPr>
            <w:r w:rsidRPr="005C59CE">
              <w:rPr>
                <w:rFonts w:ascii="PT Astra Serif" w:hAnsi="PT Astra Serif" w:cs="Calibri"/>
                <w:i/>
                <w:sz w:val="20"/>
                <w:szCs w:val="20"/>
              </w:rPr>
              <w:t>30 958 678,17</w:t>
            </w:r>
          </w:p>
        </w:tc>
        <w:tc>
          <w:tcPr>
            <w:tcW w:w="1672" w:type="dxa"/>
            <w:tcBorders>
              <w:top w:val="single" w:sz="4" w:space="0" w:color="auto"/>
              <w:left w:val="single" w:sz="4" w:space="0" w:color="auto"/>
              <w:bottom w:val="single" w:sz="4" w:space="0" w:color="auto"/>
              <w:right w:val="single" w:sz="4" w:space="0" w:color="auto"/>
            </w:tcBorders>
            <w:vAlign w:val="center"/>
          </w:tcPr>
          <w:p w14:paraId="5AD84058" w14:textId="77777777" w:rsidR="00AB3E2D" w:rsidRPr="005C59CE" w:rsidRDefault="00AB3E2D" w:rsidP="00AB3E2D">
            <w:pPr>
              <w:widowControl w:val="0"/>
              <w:ind w:firstLine="0"/>
              <w:contextualSpacing/>
              <w:jc w:val="center"/>
              <w:rPr>
                <w:rFonts w:ascii="PT Astra Serif" w:hAnsi="PT Astra Serif" w:cs="Calibri"/>
                <w:i/>
                <w:sz w:val="20"/>
                <w:szCs w:val="20"/>
              </w:rPr>
            </w:pPr>
            <w:r w:rsidRPr="005C59CE">
              <w:rPr>
                <w:rFonts w:ascii="PT Astra Serif" w:hAnsi="PT Astra Serif" w:cs="Calibri"/>
                <w:i/>
                <w:sz w:val="20"/>
                <w:szCs w:val="20"/>
              </w:rPr>
              <w:t>957 484,90</w:t>
            </w:r>
          </w:p>
        </w:tc>
      </w:tr>
      <w:tr w:rsidR="00AB3E2D" w:rsidRPr="005C59CE" w14:paraId="5410E1ED" w14:textId="77777777" w:rsidTr="005C59CE">
        <w:trPr>
          <w:gridAfter w:val="1"/>
          <w:wAfter w:w="9" w:type="dxa"/>
        </w:trPr>
        <w:tc>
          <w:tcPr>
            <w:tcW w:w="4423" w:type="dxa"/>
            <w:tcBorders>
              <w:top w:val="single" w:sz="4" w:space="0" w:color="auto"/>
              <w:left w:val="single" w:sz="4" w:space="0" w:color="auto"/>
              <w:bottom w:val="single" w:sz="4" w:space="0" w:color="auto"/>
              <w:right w:val="single" w:sz="4" w:space="0" w:color="auto"/>
            </w:tcBorders>
          </w:tcPr>
          <w:p w14:paraId="0C54B820" w14:textId="77777777" w:rsidR="00AB3E2D" w:rsidRPr="005C59CE" w:rsidRDefault="00AB3E2D" w:rsidP="00AB3E2D">
            <w:pPr>
              <w:widowControl w:val="0"/>
              <w:ind w:firstLine="0"/>
              <w:contextualSpacing/>
              <w:rPr>
                <w:rFonts w:ascii="PT Astra Serif" w:hAnsi="PT Astra Serif" w:cs="Calibri"/>
                <w:i/>
                <w:sz w:val="20"/>
                <w:szCs w:val="20"/>
              </w:rPr>
            </w:pPr>
            <w:r w:rsidRPr="005C59CE">
              <w:rPr>
                <w:rFonts w:ascii="PT Astra Serif" w:hAnsi="PT Astra Serif" w:cs="Calibri"/>
                <w:i/>
                <w:sz w:val="20"/>
                <w:szCs w:val="20"/>
              </w:rPr>
              <w:t>на поддержку и продвижением событийных мероприятий</w:t>
            </w:r>
          </w:p>
        </w:tc>
        <w:tc>
          <w:tcPr>
            <w:tcW w:w="1701" w:type="dxa"/>
            <w:tcBorders>
              <w:top w:val="single" w:sz="4" w:space="0" w:color="auto"/>
              <w:left w:val="single" w:sz="4" w:space="0" w:color="auto"/>
              <w:bottom w:val="single" w:sz="4" w:space="0" w:color="auto"/>
              <w:right w:val="single" w:sz="4" w:space="0" w:color="auto"/>
            </w:tcBorders>
            <w:vAlign w:val="center"/>
          </w:tcPr>
          <w:p w14:paraId="2928523B" w14:textId="77777777" w:rsidR="00AB3E2D" w:rsidRPr="005C59CE" w:rsidRDefault="00AB3E2D" w:rsidP="00AB3E2D">
            <w:pPr>
              <w:widowControl w:val="0"/>
              <w:ind w:firstLine="0"/>
              <w:contextualSpacing/>
              <w:jc w:val="center"/>
              <w:rPr>
                <w:rFonts w:ascii="PT Astra Serif" w:hAnsi="PT Astra Serif" w:cs="Calibri"/>
                <w:i/>
                <w:sz w:val="20"/>
                <w:szCs w:val="20"/>
                <w:highlight w:val="yellow"/>
              </w:rPr>
            </w:pPr>
            <w:r w:rsidRPr="005C59CE">
              <w:rPr>
                <w:rFonts w:ascii="PT Astra Serif" w:hAnsi="PT Astra Serif" w:cs="Calibri"/>
                <w:i/>
                <w:sz w:val="20"/>
                <w:szCs w:val="20"/>
              </w:rPr>
              <w:t>41 938 608,58</w:t>
            </w:r>
          </w:p>
        </w:tc>
        <w:tc>
          <w:tcPr>
            <w:tcW w:w="1701" w:type="dxa"/>
            <w:tcBorders>
              <w:top w:val="single" w:sz="4" w:space="0" w:color="auto"/>
              <w:left w:val="single" w:sz="4" w:space="0" w:color="auto"/>
              <w:bottom w:val="single" w:sz="4" w:space="0" w:color="auto"/>
              <w:right w:val="single" w:sz="4" w:space="0" w:color="auto"/>
            </w:tcBorders>
            <w:vAlign w:val="center"/>
          </w:tcPr>
          <w:p w14:paraId="0AE77A87" w14:textId="77777777" w:rsidR="00AB3E2D" w:rsidRPr="005C59CE" w:rsidRDefault="00AB3E2D" w:rsidP="00AB3E2D">
            <w:pPr>
              <w:widowControl w:val="0"/>
              <w:ind w:firstLine="0"/>
              <w:contextualSpacing/>
              <w:jc w:val="center"/>
              <w:rPr>
                <w:rFonts w:ascii="PT Astra Serif" w:hAnsi="PT Astra Serif" w:cs="Calibri"/>
                <w:i/>
                <w:sz w:val="20"/>
                <w:szCs w:val="20"/>
                <w:highlight w:val="yellow"/>
              </w:rPr>
            </w:pPr>
            <w:r w:rsidRPr="005C59CE">
              <w:rPr>
                <w:rFonts w:ascii="PT Astra Serif" w:hAnsi="PT Astra Serif" w:cs="Calibri"/>
                <w:i/>
                <w:sz w:val="20"/>
                <w:szCs w:val="20"/>
              </w:rPr>
              <w:t>40 680 450,33</w:t>
            </w:r>
          </w:p>
        </w:tc>
        <w:tc>
          <w:tcPr>
            <w:tcW w:w="1672" w:type="dxa"/>
            <w:tcBorders>
              <w:top w:val="single" w:sz="4" w:space="0" w:color="auto"/>
              <w:left w:val="single" w:sz="4" w:space="0" w:color="auto"/>
              <w:bottom w:val="single" w:sz="4" w:space="0" w:color="auto"/>
              <w:right w:val="single" w:sz="4" w:space="0" w:color="auto"/>
            </w:tcBorders>
            <w:vAlign w:val="center"/>
          </w:tcPr>
          <w:p w14:paraId="6D543F64" w14:textId="77777777" w:rsidR="00AB3E2D" w:rsidRPr="005C59CE" w:rsidRDefault="00AB3E2D" w:rsidP="00AB3E2D">
            <w:pPr>
              <w:widowControl w:val="0"/>
              <w:ind w:firstLine="0"/>
              <w:contextualSpacing/>
              <w:jc w:val="center"/>
              <w:rPr>
                <w:rFonts w:ascii="PT Astra Serif" w:hAnsi="PT Astra Serif" w:cs="Calibri"/>
                <w:i/>
                <w:sz w:val="20"/>
                <w:szCs w:val="20"/>
              </w:rPr>
            </w:pPr>
            <w:r w:rsidRPr="005C59CE">
              <w:rPr>
                <w:rFonts w:ascii="PT Astra Serif" w:hAnsi="PT Astra Serif" w:cs="Calibri"/>
                <w:i/>
                <w:sz w:val="20"/>
                <w:szCs w:val="20"/>
              </w:rPr>
              <w:t>1 258 158,25</w:t>
            </w:r>
          </w:p>
        </w:tc>
      </w:tr>
      <w:tr w:rsidR="00AB3E2D" w:rsidRPr="005C59CE" w14:paraId="1EFBFA4A" w14:textId="77777777" w:rsidTr="005C59CE">
        <w:trPr>
          <w:gridAfter w:val="1"/>
          <w:wAfter w:w="9" w:type="dxa"/>
        </w:trPr>
        <w:tc>
          <w:tcPr>
            <w:tcW w:w="4423" w:type="dxa"/>
            <w:tcBorders>
              <w:top w:val="single" w:sz="4" w:space="0" w:color="auto"/>
              <w:left w:val="single" w:sz="4" w:space="0" w:color="auto"/>
              <w:bottom w:val="single" w:sz="4" w:space="0" w:color="auto"/>
              <w:right w:val="single" w:sz="4" w:space="0" w:color="auto"/>
            </w:tcBorders>
            <w:hideMark/>
          </w:tcPr>
          <w:p w14:paraId="26B83204" w14:textId="77777777" w:rsidR="00AB3E2D" w:rsidRPr="005C59CE" w:rsidRDefault="00AB3E2D" w:rsidP="00AB3E2D">
            <w:pPr>
              <w:widowControl w:val="0"/>
              <w:ind w:firstLine="0"/>
              <w:contextualSpacing/>
              <w:rPr>
                <w:rFonts w:ascii="PT Astra Serif" w:hAnsi="PT Astra Serif" w:cs="Calibri"/>
                <w:b/>
                <w:bCs/>
                <w:sz w:val="20"/>
                <w:szCs w:val="20"/>
              </w:rPr>
            </w:pPr>
            <w:r w:rsidRPr="005C59CE">
              <w:rPr>
                <w:rFonts w:ascii="PT Astra Serif" w:hAnsi="PT Astra Serif" w:cs="Calibri"/>
                <w:b/>
                <w:bCs/>
                <w:sz w:val="20"/>
                <w:szCs w:val="20"/>
              </w:rPr>
              <w:t>Итого</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639308"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90 555 802,58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0C49A3"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87 839 128,50</w:t>
            </w:r>
          </w:p>
        </w:tc>
        <w:tc>
          <w:tcPr>
            <w:tcW w:w="1672" w:type="dxa"/>
            <w:tcBorders>
              <w:top w:val="single" w:sz="4" w:space="0" w:color="auto"/>
              <w:left w:val="single" w:sz="4" w:space="0" w:color="auto"/>
              <w:bottom w:val="single" w:sz="4" w:space="0" w:color="auto"/>
              <w:right w:val="single" w:sz="4" w:space="0" w:color="auto"/>
            </w:tcBorders>
            <w:vAlign w:val="center"/>
            <w:hideMark/>
          </w:tcPr>
          <w:p w14:paraId="5871C0BD" w14:textId="77777777" w:rsidR="00AB3E2D" w:rsidRPr="005C59CE" w:rsidRDefault="00AB3E2D" w:rsidP="00AB3E2D">
            <w:pPr>
              <w:widowControl w:val="0"/>
              <w:ind w:firstLine="0"/>
              <w:contextualSpacing/>
              <w:jc w:val="center"/>
              <w:rPr>
                <w:rFonts w:ascii="PT Astra Serif" w:hAnsi="PT Astra Serif" w:cs="Calibri"/>
                <w:sz w:val="20"/>
                <w:szCs w:val="20"/>
              </w:rPr>
            </w:pPr>
            <w:r w:rsidRPr="005C59CE">
              <w:rPr>
                <w:rFonts w:ascii="PT Astra Serif" w:hAnsi="PT Astra Serif" w:cs="Calibri"/>
                <w:sz w:val="20"/>
                <w:szCs w:val="20"/>
              </w:rPr>
              <w:t>2 716 674,08</w:t>
            </w:r>
          </w:p>
        </w:tc>
      </w:tr>
      <w:tr w:rsidR="00AB3E2D" w:rsidRPr="00AB3E2D" w14:paraId="5D57D941" w14:textId="77777777" w:rsidTr="00B80AAC">
        <w:tc>
          <w:tcPr>
            <w:tcW w:w="9506" w:type="dxa"/>
            <w:gridSpan w:val="5"/>
            <w:tcBorders>
              <w:top w:val="single" w:sz="4" w:space="0" w:color="auto"/>
              <w:left w:val="single" w:sz="4" w:space="0" w:color="auto"/>
              <w:bottom w:val="single" w:sz="4" w:space="0" w:color="auto"/>
              <w:right w:val="single" w:sz="4" w:space="0" w:color="auto"/>
            </w:tcBorders>
            <w:hideMark/>
          </w:tcPr>
          <w:p w14:paraId="43BDA460" w14:textId="77777777" w:rsidR="00AB3E2D" w:rsidRPr="005C59CE" w:rsidRDefault="00AB3E2D" w:rsidP="00AB3E2D">
            <w:pPr>
              <w:widowControl w:val="0"/>
              <w:ind w:firstLine="0"/>
              <w:contextualSpacing/>
              <w:rPr>
                <w:rFonts w:ascii="PT Astra Serif" w:hAnsi="PT Astra Serif" w:cs="Calibri"/>
                <w:b/>
                <w:bCs/>
                <w:sz w:val="20"/>
                <w:szCs w:val="20"/>
              </w:rPr>
            </w:pPr>
            <w:r w:rsidRPr="005C59CE">
              <w:rPr>
                <w:rFonts w:ascii="PT Astra Serif" w:hAnsi="PT Astra Serif" w:cs="Calibri"/>
                <w:b/>
                <w:bCs/>
                <w:sz w:val="20"/>
                <w:szCs w:val="20"/>
              </w:rPr>
              <w:t>Процент исполнения – 100 %</w:t>
            </w:r>
          </w:p>
        </w:tc>
      </w:tr>
    </w:tbl>
    <w:p w14:paraId="0E367F6A" w14:textId="77777777" w:rsidR="00AB3E2D" w:rsidRPr="008D5740" w:rsidRDefault="00AB3E2D" w:rsidP="00AB3E2D">
      <w:pPr>
        <w:widowControl w:val="0"/>
        <w:rPr>
          <w:rFonts w:ascii="PT Astra Serif" w:eastAsia="Calibri" w:hAnsi="PT Astra Serif" w:cs="Times New Roman"/>
          <w:sz w:val="20"/>
          <w:szCs w:val="20"/>
        </w:rPr>
      </w:pPr>
    </w:p>
    <w:p w14:paraId="5BC2AF17" w14:textId="1F576F4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Объём денежных средств на предоставление государственной поддержки в 2025 году увеличился на 15,6% по сравнению с 2024 годом.</w:t>
      </w:r>
    </w:p>
    <w:p w14:paraId="56C3FE4A" w14:textId="77777777" w:rsidR="00AB3E2D" w:rsidRPr="00AB3E2D" w:rsidRDefault="00AB3E2D" w:rsidP="00AB3E2D">
      <w:pPr>
        <w:widowControl w:val="0"/>
        <w:rPr>
          <w:rFonts w:ascii="PT Astra Serif" w:eastAsia="Calibri" w:hAnsi="PT Astra Serif" w:cs="Times New Roman"/>
          <w:szCs w:val="28"/>
        </w:rPr>
      </w:pPr>
    </w:p>
    <w:p w14:paraId="37FF3D2B" w14:textId="77777777"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Основные агрегированные показатели деятельности, позиции Ульяновской области в окружных, всероссийских и международных рейтингах</w:t>
      </w:r>
    </w:p>
    <w:p w14:paraId="55DA5DC1" w14:textId="77777777" w:rsidR="00AB3E2D" w:rsidRPr="00AB3E2D" w:rsidRDefault="00AB3E2D" w:rsidP="00AB3E2D">
      <w:pPr>
        <w:widowControl w:val="0"/>
        <w:rPr>
          <w:rFonts w:ascii="PT Astra Serif" w:eastAsia="Calibri" w:hAnsi="PT Astra Serif" w:cs="Times New Roman"/>
          <w:b/>
          <w:szCs w:val="28"/>
        </w:rPr>
      </w:pPr>
    </w:p>
    <w:p w14:paraId="354BABBA"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Рост числа ночевок на 9 276 ед. свидетельствует о повышении туристической активности.</w:t>
      </w:r>
    </w:p>
    <w:p w14:paraId="230E0A40" w14:textId="08BAE9A5" w:rsidR="003D2439" w:rsidRPr="00AB3E2D" w:rsidRDefault="00AB3E2D" w:rsidP="003D2439">
      <w:pPr>
        <w:widowControl w:val="0"/>
        <w:rPr>
          <w:rFonts w:ascii="PT Astra Serif" w:eastAsia="Calibri" w:hAnsi="PT Astra Serif" w:cs="Arial"/>
          <w:szCs w:val="28"/>
        </w:rPr>
      </w:pPr>
      <w:r w:rsidRPr="00AB3E2D">
        <w:rPr>
          <w:rFonts w:ascii="PT Astra Serif" w:eastAsia="Calibri" w:hAnsi="PT Astra Serif" w:cs="Times New Roman"/>
          <w:szCs w:val="28"/>
        </w:rPr>
        <w:t>Количество объектов размещения и номеров незначительно увеличились (179 объектов, 6</w:t>
      </w:r>
      <w:r w:rsidR="005C59CE">
        <w:rPr>
          <w:rFonts w:ascii="PT Astra Serif" w:eastAsia="Calibri" w:hAnsi="PT Astra Serif" w:cs="Times New Roman"/>
          <w:szCs w:val="28"/>
        </w:rPr>
        <w:t> </w:t>
      </w:r>
      <w:r w:rsidRPr="00AB3E2D">
        <w:rPr>
          <w:rFonts w:ascii="PT Astra Serif" w:eastAsia="Calibri" w:hAnsi="PT Astra Serif" w:cs="Times New Roman"/>
          <w:szCs w:val="28"/>
        </w:rPr>
        <w:t>166 номера)</w:t>
      </w:r>
      <w:r w:rsidRPr="00AB3E2D">
        <w:rPr>
          <w:rFonts w:ascii="PT Astra Serif" w:eastAsia="Calibri" w:hAnsi="PT Astra Serif" w:cs="Arial"/>
          <w:szCs w:val="28"/>
        </w:rPr>
        <w:t xml:space="preserve">, что </w:t>
      </w:r>
      <w:r w:rsidR="005C59CE">
        <w:rPr>
          <w:rFonts w:ascii="PT Astra Serif" w:eastAsia="Calibri" w:hAnsi="PT Astra Serif" w:cs="Arial"/>
          <w:szCs w:val="28"/>
        </w:rPr>
        <w:t xml:space="preserve">также </w:t>
      </w:r>
      <w:r w:rsidRPr="00AB3E2D">
        <w:rPr>
          <w:rFonts w:ascii="PT Astra Serif" w:eastAsia="Calibri" w:hAnsi="PT Astra Serif" w:cs="Arial"/>
          <w:szCs w:val="28"/>
        </w:rPr>
        <w:t>способств</w:t>
      </w:r>
      <w:r w:rsidR="005C59CE">
        <w:rPr>
          <w:rFonts w:ascii="PT Astra Serif" w:eastAsia="Calibri" w:hAnsi="PT Astra Serif" w:cs="Arial"/>
          <w:szCs w:val="28"/>
        </w:rPr>
        <w:t>ует</w:t>
      </w:r>
      <w:r w:rsidRPr="00AB3E2D">
        <w:rPr>
          <w:rFonts w:ascii="PT Astra Serif" w:eastAsia="Calibri" w:hAnsi="PT Astra Serif" w:cs="Arial"/>
          <w:szCs w:val="28"/>
        </w:rPr>
        <w:t xml:space="preserve"> увеличению туристических поездок и комфорт</w:t>
      </w:r>
      <w:r w:rsidR="005C59CE">
        <w:rPr>
          <w:rFonts w:ascii="PT Astra Serif" w:eastAsia="Calibri" w:hAnsi="PT Astra Serif" w:cs="Arial"/>
          <w:szCs w:val="28"/>
        </w:rPr>
        <w:t>у</w:t>
      </w:r>
      <w:r w:rsidRPr="00AB3E2D">
        <w:rPr>
          <w:rFonts w:ascii="PT Astra Serif" w:eastAsia="Calibri" w:hAnsi="PT Astra Serif" w:cs="Arial"/>
          <w:szCs w:val="28"/>
        </w:rPr>
        <w:t>. Увеличение номеров говорит о расширении возможностей для размещения туристов. Рост площади номеров - позитивный сигнал развития инфраструктуры, улучшение условий для гостей.</w:t>
      </w:r>
      <w:r w:rsidR="005C59CE">
        <w:rPr>
          <w:rFonts w:ascii="PT Astra Serif" w:eastAsia="Calibri" w:hAnsi="PT Astra Serif" w:cs="Arial"/>
          <w:szCs w:val="28"/>
        </w:rPr>
        <w:t xml:space="preserve"> </w:t>
      </w:r>
      <w:r w:rsidR="003D2439" w:rsidRPr="00AB3E2D">
        <w:rPr>
          <w:rFonts w:ascii="PT Astra Serif" w:eastAsia="Calibri" w:hAnsi="PT Astra Serif" w:cs="Arial"/>
          <w:szCs w:val="28"/>
        </w:rPr>
        <w:t>Увеличение доходов от услуг (</w:t>
      </w:r>
      <w:r w:rsidR="003D2439" w:rsidRPr="00AB3E2D">
        <w:rPr>
          <w:rFonts w:ascii="PT Astra Serif" w:eastAsia="Calibri" w:hAnsi="PT Astra Serif" w:cs="Times New Roman"/>
          <w:szCs w:val="28"/>
        </w:rPr>
        <w:t>+485,3</w:t>
      </w:r>
      <w:r w:rsidR="003D2439">
        <w:rPr>
          <w:rFonts w:ascii="PT Astra Serif" w:eastAsia="Calibri" w:hAnsi="PT Astra Serif" w:cs="Times New Roman"/>
          <w:szCs w:val="28"/>
        </w:rPr>
        <w:t xml:space="preserve"> </w:t>
      </w:r>
      <w:r w:rsidR="003D2439" w:rsidRPr="00AB3E2D">
        <w:rPr>
          <w:rFonts w:ascii="PT Astra Serif" w:eastAsia="Calibri" w:hAnsi="PT Astra Serif" w:cs="Times New Roman"/>
          <w:szCs w:val="28"/>
        </w:rPr>
        <w:t xml:space="preserve">млн рублей) </w:t>
      </w:r>
      <w:r w:rsidR="003D2439" w:rsidRPr="00AB3E2D">
        <w:rPr>
          <w:rFonts w:ascii="PT Astra Serif" w:eastAsia="Calibri" w:hAnsi="PT Astra Serif" w:cs="Arial"/>
          <w:szCs w:val="28"/>
        </w:rPr>
        <w:t>свидетельствует об улучшении качества сервиса и росте туристического спроса.</w:t>
      </w:r>
    </w:p>
    <w:p w14:paraId="11BAD2A8" w14:textId="74C27C48" w:rsidR="005C59CE" w:rsidRDefault="005C59CE" w:rsidP="00AB3E2D">
      <w:pPr>
        <w:widowControl w:val="0"/>
        <w:ind w:firstLine="0"/>
        <w:jc w:val="center"/>
        <w:rPr>
          <w:rFonts w:ascii="PT Astra Serif" w:eastAsia="Calibri" w:hAnsi="PT Astra Serif" w:cs="Times New Roman"/>
          <w:b/>
          <w:sz w:val="20"/>
          <w:szCs w:val="20"/>
        </w:rPr>
      </w:pPr>
    </w:p>
    <w:p w14:paraId="1DE9F43B" w14:textId="1DF316B5" w:rsidR="00AB3E2D" w:rsidRPr="00AB3E2D" w:rsidRDefault="00AB3E2D" w:rsidP="00AB3E2D">
      <w:pPr>
        <w:widowControl w:val="0"/>
        <w:ind w:firstLine="0"/>
        <w:jc w:val="center"/>
        <w:rPr>
          <w:rFonts w:ascii="PT Astra Serif" w:eastAsia="Calibri" w:hAnsi="PT Astra Serif" w:cs="Times New Roman"/>
          <w:b/>
          <w:sz w:val="20"/>
          <w:szCs w:val="20"/>
        </w:rPr>
      </w:pPr>
      <w:r w:rsidRPr="00AB3E2D">
        <w:rPr>
          <w:rFonts w:ascii="PT Astra Serif" w:eastAsia="Calibri" w:hAnsi="PT Astra Serif" w:cs="Times New Roman"/>
          <w:b/>
          <w:sz w:val="20"/>
          <w:szCs w:val="20"/>
        </w:rPr>
        <w:lastRenderedPageBreak/>
        <w:t>Основные агрегированные показатели деятельности отрасли туризм</w:t>
      </w:r>
    </w:p>
    <w:p w14:paraId="334B3D99" w14:textId="77777777" w:rsidR="00AB3E2D" w:rsidRPr="00AB3E2D" w:rsidRDefault="00AB3E2D" w:rsidP="00AB3E2D">
      <w:pPr>
        <w:widowControl w:val="0"/>
        <w:jc w:val="center"/>
        <w:rPr>
          <w:rFonts w:ascii="PT Astra Serif" w:eastAsia="Calibri" w:hAnsi="PT Astra Serif" w:cs="Times New Roman"/>
          <w:b/>
          <w:sz w:val="20"/>
          <w:szCs w:val="20"/>
        </w:rPr>
      </w:pPr>
    </w:p>
    <w:tbl>
      <w:tblPr>
        <w:tblStyle w:val="190"/>
        <w:tblW w:w="9468" w:type="dxa"/>
        <w:tblInd w:w="-5" w:type="dxa"/>
        <w:tblLayout w:type="fixed"/>
        <w:tblLook w:val="04A0" w:firstRow="1" w:lastRow="0" w:firstColumn="1" w:lastColumn="0" w:noHBand="0" w:noVBand="1"/>
      </w:tblPr>
      <w:tblGrid>
        <w:gridCol w:w="5358"/>
        <w:gridCol w:w="1275"/>
        <w:gridCol w:w="1418"/>
        <w:gridCol w:w="1417"/>
      </w:tblGrid>
      <w:tr w:rsidR="00AB3E2D" w:rsidRPr="00AB3E2D" w14:paraId="0A12B861" w14:textId="77777777" w:rsidTr="005C59CE">
        <w:trPr>
          <w:trHeight w:val="392"/>
        </w:trPr>
        <w:tc>
          <w:tcPr>
            <w:tcW w:w="5358" w:type="dxa"/>
            <w:tcBorders>
              <w:top w:val="single" w:sz="4" w:space="0" w:color="auto"/>
              <w:left w:val="single" w:sz="4" w:space="0" w:color="auto"/>
              <w:bottom w:val="single" w:sz="4" w:space="0" w:color="auto"/>
              <w:right w:val="single" w:sz="4" w:space="0" w:color="auto"/>
            </w:tcBorders>
            <w:vAlign w:val="center"/>
            <w:hideMark/>
          </w:tcPr>
          <w:p w14:paraId="6886D8F7" w14:textId="77777777" w:rsidR="00AB3E2D" w:rsidRPr="00AB3E2D" w:rsidRDefault="00AB3E2D" w:rsidP="005C59CE">
            <w:pPr>
              <w:widowControl w:val="0"/>
              <w:ind w:firstLine="0"/>
              <w:jc w:val="center"/>
              <w:rPr>
                <w:rFonts w:ascii="PT Astra Serif" w:hAnsi="PT Astra Serif"/>
                <w:b/>
                <w:sz w:val="20"/>
                <w:szCs w:val="20"/>
              </w:rPr>
            </w:pPr>
            <w:r w:rsidRPr="00AB3E2D">
              <w:rPr>
                <w:rFonts w:ascii="PT Astra Serif" w:hAnsi="PT Astra Serif"/>
                <w:b/>
                <w:sz w:val="20"/>
                <w:szCs w:val="20"/>
              </w:rPr>
              <w:t>Показатели</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3E7963" w14:textId="77777777" w:rsidR="00AB3E2D" w:rsidRPr="00AB3E2D" w:rsidRDefault="00AB3E2D" w:rsidP="005C59CE">
            <w:pPr>
              <w:widowControl w:val="0"/>
              <w:ind w:firstLine="0"/>
              <w:jc w:val="center"/>
              <w:rPr>
                <w:rFonts w:ascii="PT Astra Serif" w:hAnsi="PT Astra Serif"/>
                <w:b/>
                <w:sz w:val="20"/>
                <w:szCs w:val="20"/>
              </w:rPr>
            </w:pPr>
            <w:r w:rsidRPr="00AB3E2D">
              <w:rPr>
                <w:rFonts w:ascii="PT Astra Serif" w:hAnsi="PT Astra Serif"/>
                <w:b/>
                <w:sz w:val="20"/>
                <w:szCs w:val="20"/>
              </w:rPr>
              <w:t>2024 г.</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C395E5" w14:textId="77777777" w:rsidR="00AB3E2D" w:rsidRPr="00AB3E2D" w:rsidRDefault="00AB3E2D" w:rsidP="005C59CE">
            <w:pPr>
              <w:widowControl w:val="0"/>
              <w:ind w:firstLine="0"/>
              <w:jc w:val="center"/>
              <w:rPr>
                <w:rFonts w:ascii="PT Astra Serif" w:hAnsi="PT Astra Serif"/>
                <w:b/>
                <w:sz w:val="20"/>
                <w:szCs w:val="20"/>
              </w:rPr>
            </w:pPr>
            <w:r w:rsidRPr="00AB3E2D">
              <w:rPr>
                <w:rFonts w:ascii="PT Astra Serif" w:hAnsi="PT Astra Serif"/>
                <w:b/>
                <w:sz w:val="20"/>
                <w:szCs w:val="20"/>
              </w:rPr>
              <w:t>2025 г.</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5A3E3D" w14:textId="77777777" w:rsidR="00AB3E2D" w:rsidRPr="00AB3E2D" w:rsidRDefault="00AB3E2D" w:rsidP="005C59CE">
            <w:pPr>
              <w:widowControl w:val="0"/>
              <w:ind w:firstLine="0"/>
              <w:jc w:val="center"/>
              <w:rPr>
                <w:rFonts w:ascii="PT Astra Serif" w:hAnsi="PT Astra Serif"/>
                <w:b/>
                <w:sz w:val="20"/>
                <w:szCs w:val="20"/>
              </w:rPr>
            </w:pPr>
            <w:r w:rsidRPr="00AB3E2D">
              <w:rPr>
                <w:rFonts w:ascii="PT Astra Serif" w:hAnsi="PT Astra Serif"/>
                <w:b/>
                <w:sz w:val="20"/>
                <w:szCs w:val="20"/>
              </w:rPr>
              <w:t>Отклонение (+,-)</w:t>
            </w:r>
          </w:p>
        </w:tc>
      </w:tr>
      <w:tr w:rsidR="00AB3E2D" w:rsidRPr="00AB3E2D" w14:paraId="3DEA95BB"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0B380B6D"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Число ночевок в коллективных средствах размещения (оперативные данные за январь - декабрь), ед.</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01B1231"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1 401 409*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95A11E"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1 410 685*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52C208"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+9 276</w:t>
            </w:r>
          </w:p>
        </w:tc>
      </w:tr>
      <w:tr w:rsidR="00AB3E2D" w:rsidRPr="00AB3E2D" w14:paraId="7252FF44"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6B7F0544"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Количество объектов размещения, ед.</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2F9F5D9"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177**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5927ED"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179***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5D7B60"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+2</w:t>
            </w:r>
          </w:p>
        </w:tc>
      </w:tr>
      <w:tr w:rsidR="00AB3E2D" w:rsidRPr="00AB3E2D" w14:paraId="0871821A"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7517DB65"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Число номеров (за январь - декабрь), ед.</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48B019"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6 082**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98730C"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6 166***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823D2A"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+84</w:t>
            </w:r>
          </w:p>
        </w:tc>
      </w:tr>
      <w:tr w:rsidR="00AB3E2D" w:rsidRPr="00AB3E2D" w14:paraId="1D73D6BE"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0598CD15"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 xml:space="preserve">Площадь номеров, </w:t>
            </w:r>
            <w:proofErr w:type="spellStart"/>
            <w:r w:rsidRPr="00AB3E2D">
              <w:rPr>
                <w:rFonts w:ascii="PT Astra Serif" w:hAnsi="PT Astra Serif"/>
                <w:sz w:val="20"/>
                <w:szCs w:val="20"/>
              </w:rPr>
              <w:t>кв.м</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5200437E"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124 523,2**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2A20B2"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126203,2***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354A65"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+1680</w:t>
            </w:r>
          </w:p>
        </w:tc>
      </w:tr>
      <w:tr w:rsidR="00AB3E2D" w:rsidRPr="00AB3E2D" w14:paraId="1A0572B8"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0001E688"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 xml:space="preserve">Объём платных услуг (за январь – декабрь), млн руб.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3F5A906"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3804,4*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2623F2B"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4289,7**</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1E4336"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+485,3</w:t>
            </w:r>
          </w:p>
        </w:tc>
      </w:tr>
      <w:tr w:rsidR="00AB3E2D" w:rsidRPr="00AB3E2D" w14:paraId="51EB13CB" w14:textId="77777777" w:rsidTr="005C59CE">
        <w:tc>
          <w:tcPr>
            <w:tcW w:w="5358" w:type="dxa"/>
            <w:tcBorders>
              <w:top w:val="single" w:sz="4" w:space="0" w:color="auto"/>
              <w:left w:val="single" w:sz="4" w:space="0" w:color="auto"/>
              <w:bottom w:val="single" w:sz="4" w:space="0" w:color="auto"/>
              <w:right w:val="single" w:sz="4" w:space="0" w:color="auto"/>
            </w:tcBorders>
            <w:hideMark/>
          </w:tcPr>
          <w:p w14:paraId="5E0EB94F" w14:textId="77777777" w:rsidR="00AB3E2D" w:rsidRPr="00AB3E2D" w:rsidRDefault="00AB3E2D" w:rsidP="005C59CE">
            <w:pPr>
              <w:widowControl w:val="0"/>
              <w:ind w:firstLine="0"/>
              <w:rPr>
                <w:rFonts w:ascii="PT Astra Serif" w:hAnsi="PT Astra Serif"/>
                <w:sz w:val="20"/>
                <w:szCs w:val="20"/>
              </w:rPr>
            </w:pPr>
            <w:r w:rsidRPr="00AB3E2D">
              <w:rPr>
                <w:rFonts w:ascii="PT Astra Serif" w:hAnsi="PT Astra Serif"/>
                <w:sz w:val="20"/>
                <w:szCs w:val="20"/>
              </w:rPr>
              <w:t>Количество туристических поездок по территории Российской Федерации, Ульяновская область</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5E7FBF0"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92A22" w14:textId="77777777" w:rsidR="00AB3E2D" w:rsidRPr="00AB3E2D" w:rsidRDefault="00AB3E2D" w:rsidP="005C59CE">
            <w:pPr>
              <w:widowControl w:val="0"/>
              <w:ind w:firstLine="0"/>
              <w:jc w:val="center"/>
              <w:rPr>
                <w:rFonts w:ascii="PT Astra Serif" w:hAnsi="PT Astra Serif"/>
                <w:sz w:val="20"/>
                <w:szCs w:val="20"/>
              </w:rPr>
            </w:pPr>
            <w:r w:rsidRPr="00AB3E2D">
              <w:rPr>
                <w:rFonts w:ascii="PT Astra Serif" w:hAnsi="PT Astra Serif"/>
                <w:sz w:val="20"/>
                <w:szCs w:val="20"/>
              </w:rPr>
              <w:t>516 600</w:t>
            </w:r>
          </w:p>
        </w:tc>
        <w:tc>
          <w:tcPr>
            <w:tcW w:w="1417" w:type="dxa"/>
            <w:tcBorders>
              <w:top w:val="single" w:sz="4" w:space="0" w:color="auto"/>
              <w:left w:val="single" w:sz="4" w:space="0" w:color="auto"/>
              <w:bottom w:val="single" w:sz="4" w:space="0" w:color="auto"/>
              <w:right w:val="single" w:sz="4" w:space="0" w:color="auto"/>
            </w:tcBorders>
            <w:vAlign w:val="center"/>
          </w:tcPr>
          <w:p w14:paraId="5D92559B" w14:textId="77777777" w:rsidR="00AB3E2D" w:rsidRPr="00AB3E2D" w:rsidRDefault="00AB3E2D" w:rsidP="005C59CE">
            <w:pPr>
              <w:widowControl w:val="0"/>
              <w:ind w:firstLine="0"/>
              <w:jc w:val="center"/>
              <w:rPr>
                <w:rFonts w:ascii="PT Astra Serif" w:hAnsi="PT Astra Serif"/>
                <w:sz w:val="20"/>
                <w:szCs w:val="20"/>
              </w:rPr>
            </w:pPr>
          </w:p>
        </w:tc>
      </w:tr>
    </w:tbl>
    <w:p w14:paraId="73547A05" w14:textId="77777777" w:rsidR="006D56FE" w:rsidRDefault="006D56FE" w:rsidP="00AB3E2D">
      <w:pPr>
        <w:widowControl w:val="0"/>
        <w:ind w:firstLine="0"/>
        <w:rPr>
          <w:rFonts w:ascii="PT Astra Serif" w:eastAsia="Calibri" w:hAnsi="PT Astra Serif" w:cs="Times New Roman"/>
          <w:sz w:val="16"/>
          <w:szCs w:val="16"/>
        </w:rPr>
      </w:pPr>
    </w:p>
    <w:p w14:paraId="42632F95" w14:textId="3ED45883" w:rsidR="00AB3E2D" w:rsidRPr="00AB3E2D" w:rsidRDefault="00AB3E2D" w:rsidP="00AB3E2D">
      <w:pPr>
        <w:widowControl w:val="0"/>
        <w:ind w:firstLine="0"/>
        <w:rPr>
          <w:rFonts w:ascii="PT Astra Serif" w:eastAsia="Calibri" w:hAnsi="PT Astra Serif" w:cs="Arial"/>
          <w:sz w:val="16"/>
          <w:szCs w:val="16"/>
          <w:shd w:val="clear" w:color="auto" w:fill="FFFFFF"/>
        </w:rPr>
      </w:pPr>
      <w:r w:rsidRPr="00AB3E2D">
        <w:rPr>
          <w:rFonts w:ascii="PT Astra Serif" w:eastAsia="Calibri" w:hAnsi="PT Astra Serif" w:cs="Times New Roman"/>
          <w:sz w:val="16"/>
          <w:szCs w:val="16"/>
        </w:rPr>
        <w:t xml:space="preserve">*-оперативная информация </w:t>
      </w:r>
      <w:r w:rsidRPr="00AB3E2D">
        <w:rPr>
          <w:rFonts w:ascii="PT Astra Serif" w:eastAsia="Calibri" w:hAnsi="PT Astra Serif" w:cs="Arial"/>
          <w:sz w:val="16"/>
          <w:szCs w:val="16"/>
          <w:shd w:val="clear" w:color="auto" w:fill="FFFFFF"/>
        </w:rPr>
        <w:t>территориального органа Федеральной службы государственной</w:t>
      </w:r>
      <w:r w:rsidR="00717250">
        <w:rPr>
          <w:rFonts w:ascii="PT Astra Serif" w:eastAsia="Calibri" w:hAnsi="PT Astra Serif" w:cs="Arial"/>
          <w:sz w:val="16"/>
          <w:szCs w:val="16"/>
          <w:shd w:val="clear" w:color="auto" w:fill="FFFFFF"/>
        </w:rPr>
        <w:t xml:space="preserve"> </w:t>
      </w:r>
      <w:r w:rsidRPr="00AB3E2D">
        <w:rPr>
          <w:rFonts w:ascii="PT Astra Serif" w:eastAsia="Calibri" w:hAnsi="PT Astra Serif" w:cs="Arial"/>
          <w:bCs/>
          <w:sz w:val="16"/>
          <w:szCs w:val="16"/>
          <w:shd w:val="clear" w:color="auto" w:fill="FFFFFF"/>
        </w:rPr>
        <w:t>статистики (Росстат</w:t>
      </w:r>
      <w:r w:rsidRPr="00AB3E2D">
        <w:rPr>
          <w:rFonts w:ascii="PT Astra Serif" w:eastAsia="Calibri" w:hAnsi="PT Astra Serif" w:cs="Arial"/>
          <w:sz w:val="16"/>
          <w:szCs w:val="16"/>
          <w:shd w:val="clear" w:color="auto" w:fill="FFFFFF"/>
        </w:rPr>
        <w:t>).</w:t>
      </w:r>
    </w:p>
    <w:p w14:paraId="722542FD" w14:textId="54E932DC" w:rsidR="00AB3E2D" w:rsidRPr="00AB3E2D" w:rsidRDefault="00AB3E2D" w:rsidP="00AB3E2D">
      <w:pPr>
        <w:widowControl w:val="0"/>
        <w:ind w:firstLine="0"/>
        <w:rPr>
          <w:rFonts w:ascii="PT Astra Serif" w:eastAsia="Calibri" w:hAnsi="PT Astra Serif" w:cs="Times New Roman"/>
          <w:sz w:val="16"/>
          <w:szCs w:val="16"/>
        </w:rPr>
      </w:pPr>
      <w:r w:rsidRPr="00AB3E2D">
        <w:rPr>
          <w:rFonts w:ascii="PT Astra Serif" w:eastAsia="Calibri" w:hAnsi="PT Astra Serif" w:cs="Times New Roman"/>
          <w:sz w:val="16"/>
          <w:szCs w:val="16"/>
        </w:rPr>
        <w:t xml:space="preserve">** - </w:t>
      </w:r>
      <w:r w:rsidRPr="00AB3E2D">
        <w:rPr>
          <w:rFonts w:ascii="PT Astra Serif" w:eastAsia="Times New Roman" w:hAnsi="PT Astra Serif" w:cs="Times New Roman"/>
          <w:sz w:val="16"/>
          <w:szCs w:val="16"/>
        </w:rPr>
        <w:t xml:space="preserve">официальные данные </w:t>
      </w:r>
      <w:r w:rsidRPr="00AB3E2D">
        <w:rPr>
          <w:rFonts w:ascii="PT Astra Serif" w:eastAsia="Calibri" w:hAnsi="PT Astra Serif" w:cs="Arial"/>
          <w:sz w:val="16"/>
          <w:szCs w:val="16"/>
          <w:shd w:val="clear" w:color="auto" w:fill="FFFFFF"/>
        </w:rPr>
        <w:t>территориального органа Федеральной службы государственной</w:t>
      </w:r>
      <w:r w:rsidR="00717250">
        <w:rPr>
          <w:rFonts w:ascii="PT Astra Serif" w:eastAsia="Calibri" w:hAnsi="PT Astra Serif" w:cs="Arial"/>
          <w:sz w:val="16"/>
          <w:szCs w:val="16"/>
          <w:shd w:val="clear" w:color="auto" w:fill="FFFFFF"/>
        </w:rPr>
        <w:t xml:space="preserve"> </w:t>
      </w:r>
      <w:r w:rsidRPr="00AB3E2D">
        <w:rPr>
          <w:rFonts w:ascii="PT Astra Serif" w:eastAsia="Calibri" w:hAnsi="PT Astra Serif" w:cs="Arial"/>
          <w:bCs/>
          <w:sz w:val="16"/>
          <w:szCs w:val="16"/>
          <w:shd w:val="clear" w:color="auto" w:fill="FFFFFF"/>
        </w:rPr>
        <w:t>статистики Ульяновской области (</w:t>
      </w:r>
      <w:proofErr w:type="spellStart"/>
      <w:r w:rsidRPr="00AB3E2D">
        <w:rPr>
          <w:rFonts w:ascii="PT Astra Serif" w:eastAsia="Times New Roman" w:hAnsi="PT Astra Serif" w:cs="Times New Roman"/>
          <w:sz w:val="16"/>
          <w:szCs w:val="16"/>
        </w:rPr>
        <w:t>Ульяновскстат</w:t>
      </w:r>
      <w:proofErr w:type="spellEnd"/>
      <w:r w:rsidRPr="00AB3E2D">
        <w:rPr>
          <w:rFonts w:ascii="PT Astra Serif" w:eastAsia="Times New Roman" w:hAnsi="PT Astra Serif" w:cs="Times New Roman"/>
          <w:sz w:val="16"/>
          <w:szCs w:val="16"/>
        </w:rPr>
        <w:t>).</w:t>
      </w:r>
    </w:p>
    <w:p w14:paraId="1A87D847" w14:textId="77777777" w:rsidR="00AB3E2D" w:rsidRPr="00AB3E2D" w:rsidRDefault="00AB3E2D" w:rsidP="00AB3E2D">
      <w:pPr>
        <w:widowControl w:val="0"/>
        <w:ind w:firstLine="0"/>
        <w:rPr>
          <w:rFonts w:ascii="PT Astra Serif" w:eastAsia="Calibri" w:hAnsi="PT Astra Serif" w:cs="Times New Roman"/>
          <w:b/>
          <w:sz w:val="16"/>
          <w:szCs w:val="16"/>
        </w:rPr>
      </w:pPr>
      <w:r w:rsidRPr="00AB3E2D">
        <w:rPr>
          <w:rFonts w:ascii="PT Astra Serif" w:eastAsia="Calibri" w:hAnsi="PT Astra Serif" w:cs="Times New Roman"/>
          <w:sz w:val="16"/>
          <w:szCs w:val="16"/>
        </w:rPr>
        <w:t>*** - прогнозное значение показателя.</w:t>
      </w:r>
    </w:p>
    <w:p w14:paraId="6880D2B7" w14:textId="77777777" w:rsidR="00AB3E2D" w:rsidRPr="00AB3E2D" w:rsidRDefault="00AB3E2D" w:rsidP="00AB3E2D">
      <w:pPr>
        <w:widowControl w:val="0"/>
        <w:rPr>
          <w:rFonts w:ascii="PT Astra Serif" w:eastAsia="Calibri" w:hAnsi="PT Astra Serif" w:cs="Times New Roman"/>
          <w:szCs w:val="28"/>
        </w:rPr>
      </w:pPr>
    </w:p>
    <w:p w14:paraId="4A1F420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Положительная динамика во всех измеримых показателях свидетельствует о том, что развитие туристической инфраструктуры и рост туристических поездок способствуют повышению уровня экономической активности и, соответственно, качества жизни.</w:t>
      </w:r>
    </w:p>
    <w:p w14:paraId="2C349947"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Рост объемов услуг, количества номеров и туристических поездок указывает на более активное использование туристического потенциала региона, что способствует занятости, развитию бизнеса и повышению уровня благосостояния.</w:t>
      </w:r>
    </w:p>
    <w:p w14:paraId="78E8FC00" w14:textId="77777777" w:rsidR="00AB3E2D" w:rsidRPr="00AB3E2D" w:rsidRDefault="00AB3E2D" w:rsidP="00AB3E2D">
      <w:pPr>
        <w:widowControl w:val="0"/>
        <w:tabs>
          <w:tab w:val="left" w:pos="2856"/>
        </w:tabs>
        <w:contextualSpacing/>
        <w:rPr>
          <w:rFonts w:ascii="PT Astra Serif" w:eastAsia="Calibri" w:hAnsi="PT Astra Serif" w:cs="Times New Roman"/>
          <w:i/>
          <w:color w:val="000000"/>
          <w:szCs w:val="28"/>
          <w:shd w:val="clear" w:color="auto" w:fill="FFFFFF"/>
        </w:rPr>
      </w:pPr>
      <w:r w:rsidRPr="00AB3E2D">
        <w:rPr>
          <w:rFonts w:ascii="PT Astra Serif" w:eastAsia="Calibri" w:hAnsi="PT Astra Serif" w:cs="Times New Roman"/>
          <w:szCs w:val="28"/>
        </w:rPr>
        <w:t xml:space="preserve">По количеству туристических поездок по итогам года Ульяновская область </w:t>
      </w:r>
      <w:r w:rsidRPr="00AB3E2D">
        <w:rPr>
          <w:rFonts w:ascii="PT Astra Serif" w:eastAsia="Calibri" w:hAnsi="PT Astra Serif" w:cs="Times New Roman"/>
          <w:b/>
          <w:szCs w:val="28"/>
        </w:rPr>
        <w:t xml:space="preserve">вошла в топ-10 субъектов </w:t>
      </w:r>
      <w:r w:rsidRPr="00AB3E2D">
        <w:rPr>
          <w:rFonts w:ascii="PT Astra Serif" w:eastAsia="Calibri" w:hAnsi="PT Astra Serif" w:cs="Times New Roman"/>
          <w:szCs w:val="28"/>
        </w:rPr>
        <w:t xml:space="preserve">Приволжского федерального округа (ПФО) </w:t>
      </w:r>
      <w:r w:rsidRPr="00AB3E2D">
        <w:rPr>
          <w:rFonts w:ascii="PT Astra Serif" w:eastAsia="Calibri" w:hAnsi="PT Astra Serif" w:cs="Times New Roman"/>
          <w:b/>
          <w:szCs w:val="28"/>
        </w:rPr>
        <w:t xml:space="preserve">и заняла девятое место </w:t>
      </w:r>
      <w:r w:rsidRPr="00AB3E2D">
        <w:rPr>
          <w:rFonts w:ascii="PT Astra Serif" w:eastAsia="Calibri" w:hAnsi="PT Astra Serif" w:cs="Times New Roman"/>
          <w:i/>
          <w:color w:val="000000"/>
          <w:szCs w:val="28"/>
          <w:shd w:val="clear" w:color="auto" w:fill="FFFFFF"/>
        </w:rPr>
        <w:t>(показатель «Количество туристических поездок по территории Российской Федерации» применяется с 01 января 2025 года).</w:t>
      </w:r>
    </w:p>
    <w:p w14:paraId="1D188995" w14:textId="77777777" w:rsidR="00AB3E2D" w:rsidRPr="00AB3E2D" w:rsidRDefault="00AB3E2D" w:rsidP="00AB3E2D">
      <w:pPr>
        <w:widowControl w:val="0"/>
        <w:tabs>
          <w:tab w:val="left" w:pos="2856"/>
        </w:tabs>
        <w:ind w:firstLine="0"/>
        <w:contextualSpacing/>
        <w:jc w:val="center"/>
        <w:rPr>
          <w:rFonts w:ascii="PT Astra Serif" w:eastAsia="Calibri" w:hAnsi="PT Astra Serif" w:cs="Times New Roman"/>
          <w:i/>
          <w:color w:val="000000"/>
          <w:szCs w:val="24"/>
          <w:shd w:val="clear" w:color="auto" w:fill="FFFFFF"/>
        </w:rPr>
      </w:pPr>
      <w:r w:rsidRPr="00AB3E2D">
        <w:rPr>
          <w:rFonts w:ascii="PT Astra Serif" w:eastAsia="Calibri" w:hAnsi="PT Astra Serif" w:cs="Times New Roman"/>
          <w:noProof/>
          <w:szCs w:val="28"/>
          <w:lang w:eastAsia="ru-RU"/>
        </w:rPr>
        <w:drawing>
          <wp:inline distT="0" distB="0" distL="0" distR="0" wp14:anchorId="0C7D2626" wp14:editId="2ED34662">
            <wp:extent cx="5923721" cy="2838616"/>
            <wp:effectExtent l="0" t="0" r="127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62DD17" w14:textId="77777777" w:rsidR="00AB3E2D" w:rsidRPr="00AB3E2D" w:rsidRDefault="00AB3E2D" w:rsidP="00AB3E2D">
      <w:pPr>
        <w:widowControl w:val="0"/>
        <w:ind w:firstLine="0"/>
        <w:jc w:val="center"/>
        <w:rPr>
          <w:rFonts w:ascii="PT Astra Serif" w:eastAsia="Calibri" w:hAnsi="PT Astra Serif" w:cs="Times New Roman"/>
          <w:b/>
          <w:bCs/>
          <w:i/>
          <w:szCs w:val="28"/>
        </w:rPr>
      </w:pPr>
      <w:r w:rsidRPr="00AB3E2D">
        <w:rPr>
          <w:rFonts w:ascii="PT Astra Serif" w:eastAsia="Calibri" w:hAnsi="PT Astra Serif" w:cs="Times New Roman"/>
          <w:b/>
          <w:bCs/>
          <w:i/>
          <w:szCs w:val="28"/>
        </w:rPr>
        <w:t>Позиции Ульяновской области в рейтингах</w:t>
      </w:r>
    </w:p>
    <w:p w14:paraId="58C88B87" w14:textId="77777777" w:rsidR="00AB3E2D" w:rsidRPr="008D5740" w:rsidRDefault="00AB3E2D" w:rsidP="00AB3E2D">
      <w:pPr>
        <w:widowControl w:val="0"/>
        <w:rPr>
          <w:rFonts w:ascii="PT Astra Serif" w:eastAsia="Calibri" w:hAnsi="PT Astra Serif" w:cs="Times New Roman"/>
          <w:i/>
          <w:sz w:val="20"/>
          <w:szCs w:val="20"/>
        </w:rPr>
      </w:pPr>
    </w:p>
    <w:p w14:paraId="209DA185" w14:textId="77777777"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b/>
          <w:szCs w:val="28"/>
        </w:rPr>
        <w:t>В 2025 году Ульяновская область упоминалась в нескольких рейтингах, связанных с туризмом:</w:t>
      </w:r>
    </w:p>
    <w:p w14:paraId="5A4A3F3C" w14:textId="3CDA80A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1. «Зелёный» рейтинг устойчивого развития туризма (подготовлен </w:t>
      </w:r>
      <w:r w:rsidRPr="00AB3E2D">
        <w:rPr>
          <w:rFonts w:ascii="PT Astra Serif" w:eastAsia="Calibri" w:hAnsi="PT Astra Serif" w:cs="Times New Roman"/>
          <w:szCs w:val="28"/>
        </w:rPr>
        <w:lastRenderedPageBreak/>
        <w:t xml:space="preserve">туристической платформой «Погнали!», консорциумом «Устойчивый туризм» и аналитическим центром ВШУ РУДН). По итогам 2025 года </w:t>
      </w:r>
      <w:r w:rsidRPr="00AB3E2D">
        <w:rPr>
          <w:rFonts w:ascii="PT Astra Serif" w:eastAsia="Calibri" w:hAnsi="PT Astra Serif" w:cs="Times New Roman"/>
          <w:b/>
          <w:szCs w:val="28"/>
        </w:rPr>
        <w:t xml:space="preserve">Ульяновская область заняла </w:t>
      </w:r>
      <w:r w:rsidR="005C59CE">
        <w:rPr>
          <w:rFonts w:ascii="PT Astra Serif" w:eastAsia="Calibri" w:hAnsi="PT Astra Serif" w:cs="Times New Roman"/>
          <w:b/>
          <w:szCs w:val="28"/>
        </w:rPr>
        <w:t>5</w:t>
      </w:r>
      <w:r w:rsidRPr="00AB3E2D">
        <w:rPr>
          <w:rFonts w:ascii="PT Astra Serif" w:eastAsia="Calibri" w:hAnsi="PT Astra Serif" w:cs="Times New Roman"/>
          <w:b/>
          <w:szCs w:val="28"/>
        </w:rPr>
        <w:t xml:space="preserve"> место в общероссийском рейтинге</w:t>
      </w:r>
      <w:r w:rsidRPr="00AB3E2D">
        <w:rPr>
          <w:rFonts w:ascii="PT Astra Serif" w:eastAsia="Calibri" w:hAnsi="PT Astra Serif" w:cs="Times New Roman"/>
          <w:szCs w:val="28"/>
        </w:rPr>
        <w:t xml:space="preserve">. Рейтинг оценивает устойчивость туристической отрасли в регионах, учитывая баланс между ростом туристического потока, сохранением природных территорий </w:t>
      </w:r>
      <w:r w:rsidR="00C65049">
        <w:rPr>
          <w:rFonts w:ascii="PT Astra Serif" w:eastAsia="Calibri" w:hAnsi="PT Astra Serif" w:cs="Times New Roman"/>
          <w:szCs w:val="28"/>
        </w:rPr>
        <w:br/>
      </w:r>
      <w:r w:rsidRPr="00AB3E2D">
        <w:rPr>
          <w:rFonts w:ascii="PT Astra Serif" w:eastAsia="Calibri" w:hAnsi="PT Astra Serif" w:cs="Times New Roman"/>
          <w:szCs w:val="28"/>
        </w:rPr>
        <w:t xml:space="preserve">и исторического наследия, а также комфорт местных жителей. В Приволжском федеральном округе (ПФО) </w:t>
      </w:r>
      <w:r w:rsidRPr="00AB3E2D">
        <w:rPr>
          <w:rFonts w:ascii="PT Astra Serif" w:eastAsia="Calibri" w:hAnsi="PT Astra Serif" w:cs="Times New Roman"/>
          <w:b/>
          <w:szCs w:val="28"/>
        </w:rPr>
        <w:t xml:space="preserve">Ульяновская область заняла </w:t>
      </w:r>
      <w:r w:rsidR="005C59CE">
        <w:rPr>
          <w:rFonts w:ascii="PT Astra Serif" w:eastAsia="Calibri" w:hAnsi="PT Astra Serif" w:cs="Times New Roman"/>
          <w:b/>
          <w:szCs w:val="28"/>
        </w:rPr>
        <w:t>3</w:t>
      </w:r>
      <w:r w:rsidRPr="00AB3E2D">
        <w:rPr>
          <w:rFonts w:ascii="PT Astra Serif" w:eastAsia="Calibri" w:hAnsi="PT Astra Serif" w:cs="Times New Roman"/>
          <w:b/>
          <w:szCs w:val="28"/>
        </w:rPr>
        <w:t xml:space="preserve"> место</w:t>
      </w:r>
      <w:r w:rsidRPr="00AB3E2D">
        <w:rPr>
          <w:rFonts w:ascii="PT Astra Serif" w:eastAsia="Calibri" w:hAnsi="PT Astra Serif" w:cs="Times New Roman"/>
          <w:szCs w:val="28"/>
        </w:rPr>
        <w:t xml:space="preserve"> после Нижегородской области и Татарстана</w:t>
      </w:r>
      <w:r w:rsidR="00C65049">
        <w:rPr>
          <w:rFonts w:ascii="PT Astra Serif" w:eastAsia="Calibri" w:hAnsi="PT Astra Serif" w:cs="Times New Roman"/>
          <w:szCs w:val="28"/>
        </w:rPr>
        <w:t xml:space="preserve"> </w:t>
      </w:r>
      <w:r w:rsidRPr="00AB3E2D">
        <w:rPr>
          <w:rFonts w:ascii="PT Astra Serif" w:eastAsia="Calibri" w:hAnsi="PT Astra Serif" w:cs="Times New Roman"/>
          <w:szCs w:val="28"/>
        </w:rPr>
        <w:t>(в 2024 году рейтинг не составлялся).</w:t>
      </w:r>
    </w:p>
    <w:p w14:paraId="6D68CB6B" w14:textId="27B32014"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2. Индекс туристической привлекательности регионов России - 2025. По итогам года Ульяновская область вошла в топ-10 субъектов Российской Федерации (по результатам 2024 года Ульяновская область в мониторинге по П</w:t>
      </w:r>
      <w:r w:rsidR="005C59CE">
        <w:rPr>
          <w:rFonts w:ascii="PT Astra Serif" w:eastAsia="Calibri" w:hAnsi="PT Astra Serif" w:cs="Times New Roman"/>
          <w:szCs w:val="28"/>
        </w:rPr>
        <w:t xml:space="preserve">ФО </w:t>
      </w:r>
      <w:r w:rsidRPr="00AB3E2D">
        <w:rPr>
          <w:rFonts w:ascii="PT Astra Serif" w:eastAsia="Calibri" w:hAnsi="PT Astra Serif" w:cs="Times New Roman"/>
          <w:szCs w:val="28"/>
        </w:rPr>
        <w:t xml:space="preserve">заняла </w:t>
      </w:r>
      <w:r w:rsidR="005C59CE">
        <w:rPr>
          <w:rFonts w:ascii="PT Astra Serif" w:eastAsia="Calibri" w:hAnsi="PT Astra Serif" w:cs="Times New Roman"/>
          <w:szCs w:val="28"/>
        </w:rPr>
        <w:t>2</w:t>
      </w:r>
      <w:r w:rsidRPr="00AB3E2D">
        <w:rPr>
          <w:rFonts w:ascii="PT Astra Serif" w:eastAsia="Calibri" w:hAnsi="PT Astra Serif" w:cs="Times New Roman"/>
          <w:szCs w:val="28"/>
        </w:rPr>
        <w:t xml:space="preserve"> место, уступив лишь </w:t>
      </w:r>
      <w:proofErr w:type="spellStart"/>
      <w:r w:rsidRPr="00AB3E2D">
        <w:rPr>
          <w:rFonts w:ascii="PT Astra Serif" w:eastAsia="Calibri" w:hAnsi="PT Astra Serif" w:cs="Times New Roman"/>
          <w:szCs w:val="28"/>
        </w:rPr>
        <w:t>Татарстану.В</w:t>
      </w:r>
      <w:proofErr w:type="spellEnd"/>
      <w:r w:rsidRPr="00AB3E2D">
        <w:rPr>
          <w:rFonts w:ascii="PT Astra Serif" w:eastAsia="Calibri" w:hAnsi="PT Astra Serif" w:cs="Times New Roman"/>
          <w:szCs w:val="28"/>
        </w:rPr>
        <w:t xml:space="preserve"> общем рейтинге среди всех регионов Ульяновская область вошла в ТОП-10 регионов-лидеров.). Индекс отражает уровень интереса к региону, качество туристской среды </w:t>
      </w:r>
      <w:r w:rsidR="005C59CE">
        <w:rPr>
          <w:rFonts w:ascii="PT Astra Serif" w:eastAsia="Calibri" w:hAnsi="PT Astra Serif" w:cs="Times New Roman"/>
          <w:szCs w:val="28"/>
        </w:rPr>
        <w:br/>
      </w:r>
      <w:r w:rsidRPr="00AB3E2D">
        <w:rPr>
          <w:rFonts w:ascii="PT Astra Serif" w:eastAsia="Calibri" w:hAnsi="PT Astra Serif" w:cs="Times New Roman"/>
          <w:szCs w:val="28"/>
        </w:rPr>
        <w:t>и эффективность продвижения. Презентация Индекса состоялась в г. Москве на площадке Русского географического общества.</w:t>
      </w:r>
    </w:p>
    <w:p w14:paraId="6850B3EA" w14:textId="77777777" w:rsidR="00AB3E2D" w:rsidRPr="00AB3E2D" w:rsidRDefault="00AB3E2D" w:rsidP="00AB3E2D">
      <w:pPr>
        <w:widowControl w:val="0"/>
        <w:rPr>
          <w:rFonts w:ascii="PT Astra Serif" w:eastAsia="Calibri" w:hAnsi="PT Astra Serif" w:cs="Times New Roman"/>
          <w:b/>
          <w:szCs w:val="28"/>
          <w:highlight w:val="yellow"/>
        </w:rPr>
      </w:pPr>
    </w:p>
    <w:p w14:paraId="7B131582" w14:textId="2B1E190A" w:rsidR="00AB3E2D" w:rsidRDefault="00AB3E2D" w:rsidP="00AB3E2D">
      <w:pPr>
        <w:widowControl w:val="0"/>
        <w:jc w:val="center"/>
        <w:rPr>
          <w:rFonts w:ascii="PT Astra Serif" w:eastAsia="Calibri" w:hAnsi="PT Astra Serif" w:cs="Times New Roman"/>
          <w:b/>
          <w:szCs w:val="28"/>
        </w:rPr>
      </w:pPr>
      <w:r w:rsidRPr="00AB3E2D">
        <w:rPr>
          <w:rFonts w:ascii="PT Astra Serif" w:eastAsia="Calibri" w:hAnsi="PT Astra Serif" w:cs="Times New Roman"/>
          <w:b/>
          <w:szCs w:val="28"/>
        </w:rPr>
        <w:t>Число занятых в отрасли. Характеристика подведомственной сети с учетом динамики</w:t>
      </w:r>
    </w:p>
    <w:p w14:paraId="3CB355E5" w14:textId="77777777" w:rsidR="00C65049" w:rsidRPr="00AB3E2D" w:rsidRDefault="00C65049" w:rsidP="00AB3E2D">
      <w:pPr>
        <w:widowControl w:val="0"/>
        <w:jc w:val="center"/>
        <w:rPr>
          <w:rFonts w:ascii="PT Astra Serif" w:eastAsia="Calibri" w:hAnsi="PT Astra Serif" w:cs="Times New Roman"/>
          <w:b/>
          <w:szCs w:val="28"/>
        </w:rPr>
      </w:pPr>
    </w:p>
    <w:p w14:paraId="39400A9E" w14:textId="52AEF158" w:rsidR="00C65049" w:rsidRPr="00AB3E2D" w:rsidRDefault="00C65049" w:rsidP="00C65049">
      <w:pPr>
        <w:widowControl w:val="0"/>
        <w:rPr>
          <w:rFonts w:ascii="PT Astra Serif" w:eastAsia="Calibri" w:hAnsi="PT Astra Serif" w:cs="Times New Roman"/>
          <w:szCs w:val="28"/>
        </w:rPr>
      </w:pPr>
      <w:r w:rsidRPr="00AB3E2D">
        <w:rPr>
          <w:rFonts w:ascii="PT Astra Serif" w:eastAsia="Calibri" w:hAnsi="PT Astra Serif" w:cs="Times New Roman"/>
          <w:szCs w:val="28"/>
        </w:rPr>
        <w:t>Увеличение</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среднегодовой численности занятых в отрасли</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с 2022 по 2025 годы говорит о росте деятельности в сфере гостиниц и общепита.</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Рост</w:t>
      </w:r>
      <w:r w:rsidRPr="00AB3E2D">
        <w:rPr>
          <w:rFonts w:ascii="PT Astra Serif" w:eastAsia="Calibri" w:hAnsi="PT Astra Serif" w:cs="Times New Roman"/>
          <w:szCs w:val="28"/>
        </w:rPr>
        <w:br/>
        <w:t>с 11 920 человек в 2022 году до 12 370 человек в 2025 году - примерно на 3,8%, что свидетельствует о стабильном и позитивном тренде.</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Такой рост связан </w:t>
      </w:r>
      <w:r w:rsidR="00E356AB">
        <w:rPr>
          <w:rFonts w:ascii="PT Astra Serif" w:eastAsia="Calibri" w:hAnsi="PT Astra Serif" w:cs="Times New Roman"/>
          <w:szCs w:val="28"/>
        </w:rPr>
        <w:br/>
      </w:r>
      <w:r w:rsidRPr="00AB3E2D">
        <w:rPr>
          <w:rFonts w:ascii="PT Astra Serif" w:eastAsia="Calibri" w:hAnsi="PT Astra Serif" w:cs="Times New Roman"/>
          <w:szCs w:val="28"/>
        </w:rPr>
        <w:t>с увеличением туристических поездок, улучшением инфраструктуры или повышением привлекательности региона для бизнеса.</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Позитивная динамика </w:t>
      </w:r>
      <w:r w:rsidR="00E356AB">
        <w:rPr>
          <w:rFonts w:ascii="PT Astra Serif" w:eastAsia="Calibri" w:hAnsi="PT Astra Serif" w:cs="Times New Roman"/>
          <w:szCs w:val="28"/>
        </w:rPr>
        <w:br/>
      </w:r>
      <w:r w:rsidRPr="00AB3E2D">
        <w:rPr>
          <w:rFonts w:ascii="PT Astra Serif" w:eastAsia="Calibri" w:hAnsi="PT Astra Serif" w:cs="Times New Roman"/>
          <w:szCs w:val="28"/>
        </w:rPr>
        <w:t>в сфере гостиниц и общественного питания сигнализирует о восстановлении и росте туристической и коммерческой активности.</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Это благоприятный фактор для общего улучшения качества жизни и развития региона.</w:t>
      </w:r>
    </w:p>
    <w:p w14:paraId="262D25F2" w14:textId="77777777" w:rsidR="00AB3E2D" w:rsidRPr="008D5740" w:rsidRDefault="00AB3E2D" w:rsidP="00AB3E2D">
      <w:pPr>
        <w:widowControl w:val="0"/>
        <w:rPr>
          <w:rFonts w:ascii="PT Astra Serif" w:eastAsia="Calibri" w:hAnsi="PT Astra Serif" w:cs="Times New Roman"/>
          <w:sz w:val="20"/>
          <w:szCs w:val="20"/>
        </w:rPr>
      </w:pPr>
    </w:p>
    <w:p w14:paraId="2D15895C" w14:textId="77777777" w:rsidR="00AB3E2D" w:rsidRPr="00AB3E2D" w:rsidRDefault="00AB3E2D" w:rsidP="00AB3E2D">
      <w:pPr>
        <w:widowControl w:val="0"/>
        <w:ind w:firstLine="0"/>
        <w:jc w:val="center"/>
        <w:rPr>
          <w:rFonts w:ascii="PT Astra Serif" w:eastAsia="Calibri" w:hAnsi="PT Astra Serif" w:cs="Times New Roman"/>
          <w:b/>
          <w:sz w:val="20"/>
          <w:szCs w:val="20"/>
        </w:rPr>
      </w:pPr>
      <w:r w:rsidRPr="00AB3E2D">
        <w:rPr>
          <w:rFonts w:ascii="PT Astra Serif" w:eastAsia="Calibri" w:hAnsi="PT Astra Serif" w:cs="Times New Roman"/>
          <w:b/>
          <w:sz w:val="20"/>
          <w:szCs w:val="20"/>
        </w:rPr>
        <w:t>Число занятых в отрасли (среднегодовая численность), человек</w:t>
      </w:r>
    </w:p>
    <w:p w14:paraId="2E435D19" w14:textId="77777777" w:rsidR="00AB3E2D" w:rsidRPr="00AB3E2D" w:rsidRDefault="00AB3E2D" w:rsidP="00AB3E2D">
      <w:pPr>
        <w:widowControl w:val="0"/>
        <w:jc w:val="center"/>
        <w:rPr>
          <w:rFonts w:ascii="PT Astra Serif" w:eastAsia="Calibri" w:hAnsi="PT Astra Serif" w:cs="Times New Roman"/>
          <w:b/>
          <w:sz w:val="20"/>
          <w:szCs w:val="20"/>
        </w:rPr>
      </w:pPr>
    </w:p>
    <w:tbl>
      <w:tblPr>
        <w:tblStyle w:val="190"/>
        <w:tblW w:w="9450" w:type="dxa"/>
        <w:tblInd w:w="-5" w:type="dxa"/>
        <w:tblLook w:val="04A0" w:firstRow="1" w:lastRow="0" w:firstColumn="1" w:lastColumn="0" w:noHBand="0" w:noVBand="1"/>
      </w:tblPr>
      <w:tblGrid>
        <w:gridCol w:w="4820"/>
        <w:gridCol w:w="1086"/>
        <w:gridCol w:w="1276"/>
        <w:gridCol w:w="1134"/>
        <w:gridCol w:w="1134"/>
      </w:tblGrid>
      <w:tr w:rsidR="00AB3E2D" w:rsidRPr="00AB3E2D" w14:paraId="60D9CFC6" w14:textId="77777777" w:rsidTr="003D41AF">
        <w:trPr>
          <w:trHeight w:val="256"/>
        </w:trPr>
        <w:tc>
          <w:tcPr>
            <w:tcW w:w="4820" w:type="dxa"/>
          </w:tcPr>
          <w:p w14:paraId="69575747" w14:textId="77777777" w:rsidR="00AB3E2D" w:rsidRPr="00AB3E2D" w:rsidRDefault="00AB3E2D" w:rsidP="00E356AB">
            <w:pPr>
              <w:widowControl w:val="0"/>
              <w:ind w:firstLine="0"/>
              <w:jc w:val="center"/>
              <w:rPr>
                <w:rFonts w:ascii="PT Astra Serif" w:hAnsi="PT Astra Serif"/>
                <w:b/>
                <w:sz w:val="20"/>
                <w:szCs w:val="20"/>
              </w:rPr>
            </w:pPr>
            <w:r w:rsidRPr="00AB3E2D">
              <w:rPr>
                <w:rFonts w:ascii="PT Astra Serif" w:eastAsia="Times New Roman" w:hAnsi="PT Astra Serif"/>
                <w:b/>
                <w:color w:val="000000"/>
                <w:sz w:val="20"/>
                <w:szCs w:val="20"/>
                <w:lang w:eastAsia="ru-RU"/>
              </w:rPr>
              <w:t>Вид экономической деятельности</w:t>
            </w:r>
          </w:p>
        </w:tc>
        <w:tc>
          <w:tcPr>
            <w:tcW w:w="1086" w:type="dxa"/>
          </w:tcPr>
          <w:p w14:paraId="56BC3EC5" w14:textId="25596269" w:rsidR="00AB3E2D" w:rsidRPr="00AB3E2D" w:rsidRDefault="00AB3E2D" w:rsidP="00E356AB">
            <w:pPr>
              <w:widowControl w:val="0"/>
              <w:ind w:firstLine="0"/>
              <w:jc w:val="center"/>
              <w:rPr>
                <w:rFonts w:ascii="PT Astra Serif" w:hAnsi="PT Astra Serif"/>
                <w:b/>
                <w:sz w:val="20"/>
                <w:szCs w:val="20"/>
              </w:rPr>
            </w:pPr>
            <w:r w:rsidRPr="00AB3E2D">
              <w:rPr>
                <w:rFonts w:ascii="PT Astra Serif" w:hAnsi="PT Astra Serif"/>
                <w:b/>
                <w:sz w:val="20"/>
                <w:szCs w:val="20"/>
              </w:rPr>
              <w:t>2022</w:t>
            </w:r>
            <w:r w:rsidR="00FF78B0">
              <w:rPr>
                <w:rFonts w:ascii="PT Astra Serif" w:hAnsi="PT Astra Serif"/>
                <w:b/>
                <w:sz w:val="20"/>
                <w:szCs w:val="20"/>
              </w:rPr>
              <w:t xml:space="preserve"> г</w:t>
            </w:r>
          </w:p>
        </w:tc>
        <w:tc>
          <w:tcPr>
            <w:tcW w:w="1276" w:type="dxa"/>
          </w:tcPr>
          <w:p w14:paraId="0EC0EEB3" w14:textId="094E368D" w:rsidR="00AB3E2D" w:rsidRPr="00AB3E2D" w:rsidRDefault="00AB3E2D" w:rsidP="00E356AB">
            <w:pPr>
              <w:widowControl w:val="0"/>
              <w:ind w:firstLine="0"/>
              <w:jc w:val="center"/>
              <w:rPr>
                <w:rFonts w:ascii="PT Astra Serif" w:hAnsi="PT Astra Serif"/>
                <w:b/>
                <w:sz w:val="20"/>
                <w:szCs w:val="20"/>
              </w:rPr>
            </w:pPr>
            <w:r w:rsidRPr="00AB3E2D">
              <w:rPr>
                <w:rFonts w:ascii="PT Astra Serif" w:hAnsi="PT Astra Serif"/>
                <w:b/>
                <w:sz w:val="20"/>
                <w:szCs w:val="20"/>
              </w:rPr>
              <w:t>2023</w:t>
            </w:r>
            <w:r w:rsidR="00FF78B0">
              <w:rPr>
                <w:rFonts w:ascii="PT Astra Serif" w:hAnsi="PT Astra Serif"/>
                <w:b/>
                <w:sz w:val="20"/>
                <w:szCs w:val="20"/>
              </w:rPr>
              <w:t xml:space="preserve"> г.</w:t>
            </w:r>
          </w:p>
        </w:tc>
        <w:tc>
          <w:tcPr>
            <w:tcW w:w="1134" w:type="dxa"/>
          </w:tcPr>
          <w:p w14:paraId="1A92086B" w14:textId="5C38C127" w:rsidR="00AB3E2D" w:rsidRPr="00AB3E2D" w:rsidRDefault="00AB3E2D" w:rsidP="00E356AB">
            <w:pPr>
              <w:widowControl w:val="0"/>
              <w:ind w:firstLine="0"/>
              <w:jc w:val="center"/>
              <w:rPr>
                <w:rFonts w:ascii="PT Astra Serif" w:hAnsi="PT Astra Serif"/>
                <w:b/>
                <w:sz w:val="20"/>
                <w:szCs w:val="20"/>
              </w:rPr>
            </w:pPr>
            <w:r w:rsidRPr="00AB3E2D">
              <w:rPr>
                <w:rFonts w:ascii="PT Astra Serif" w:hAnsi="PT Astra Serif"/>
                <w:b/>
                <w:sz w:val="20"/>
                <w:szCs w:val="20"/>
              </w:rPr>
              <w:t>2024</w:t>
            </w:r>
            <w:r w:rsidR="00FF78B0">
              <w:rPr>
                <w:rFonts w:ascii="PT Astra Serif" w:hAnsi="PT Astra Serif"/>
                <w:b/>
                <w:sz w:val="20"/>
                <w:szCs w:val="20"/>
              </w:rPr>
              <w:t xml:space="preserve"> г.</w:t>
            </w:r>
          </w:p>
        </w:tc>
        <w:tc>
          <w:tcPr>
            <w:tcW w:w="1134" w:type="dxa"/>
          </w:tcPr>
          <w:p w14:paraId="6F59BDF8" w14:textId="57BDB8B1" w:rsidR="00AB3E2D" w:rsidRPr="00AB3E2D" w:rsidRDefault="00AB3E2D" w:rsidP="00E356AB">
            <w:pPr>
              <w:widowControl w:val="0"/>
              <w:ind w:firstLine="0"/>
              <w:jc w:val="center"/>
              <w:rPr>
                <w:rFonts w:ascii="PT Astra Serif" w:hAnsi="PT Astra Serif"/>
                <w:b/>
                <w:sz w:val="20"/>
                <w:szCs w:val="20"/>
              </w:rPr>
            </w:pPr>
            <w:r w:rsidRPr="00AB3E2D">
              <w:rPr>
                <w:rFonts w:ascii="PT Astra Serif" w:hAnsi="PT Astra Serif"/>
                <w:b/>
                <w:sz w:val="20"/>
                <w:szCs w:val="20"/>
              </w:rPr>
              <w:t>2025</w:t>
            </w:r>
            <w:r w:rsidR="00FF78B0">
              <w:rPr>
                <w:rFonts w:ascii="PT Astra Serif" w:hAnsi="PT Astra Serif"/>
                <w:b/>
                <w:sz w:val="20"/>
                <w:szCs w:val="20"/>
              </w:rPr>
              <w:t xml:space="preserve"> г.</w:t>
            </w:r>
          </w:p>
        </w:tc>
      </w:tr>
      <w:tr w:rsidR="00AB3E2D" w:rsidRPr="00AB3E2D" w14:paraId="5A732368" w14:textId="77777777" w:rsidTr="003D41AF">
        <w:tc>
          <w:tcPr>
            <w:tcW w:w="4820" w:type="dxa"/>
          </w:tcPr>
          <w:p w14:paraId="1F04C25D" w14:textId="77777777" w:rsidR="00AB3E2D" w:rsidRPr="00AB3E2D" w:rsidRDefault="00AB3E2D" w:rsidP="00E356AB">
            <w:pPr>
              <w:widowControl w:val="0"/>
              <w:ind w:firstLine="0"/>
              <w:rPr>
                <w:rFonts w:ascii="PT Astra Serif" w:hAnsi="PT Astra Serif"/>
                <w:sz w:val="20"/>
                <w:szCs w:val="20"/>
              </w:rPr>
            </w:pPr>
            <w:r w:rsidRPr="00AB3E2D">
              <w:rPr>
                <w:rFonts w:ascii="PT Astra Serif" w:hAnsi="PT Astra Serif"/>
                <w:sz w:val="20"/>
                <w:szCs w:val="20"/>
              </w:rPr>
              <w:t>Деятельность гостиниц и предприятий общественного питания</w:t>
            </w:r>
          </w:p>
        </w:tc>
        <w:tc>
          <w:tcPr>
            <w:tcW w:w="1086" w:type="dxa"/>
            <w:vAlign w:val="center"/>
          </w:tcPr>
          <w:p w14:paraId="14A11EB0" w14:textId="77777777" w:rsidR="00AB3E2D" w:rsidRPr="00AB3E2D" w:rsidRDefault="00AB3E2D" w:rsidP="00E356AB">
            <w:pPr>
              <w:widowControl w:val="0"/>
              <w:ind w:firstLine="0"/>
              <w:jc w:val="center"/>
              <w:rPr>
                <w:rFonts w:ascii="PT Astra Serif" w:hAnsi="PT Astra Serif"/>
                <w:sz w:val="20"/>
                <w:szCs w:val="20"/>
              </w:rPr>
            </w:pPr>
            <w:r w:rsidRPr="00AB3E2D">
              <w:rPr>
                <w:rFonts w:ascii="PT Astra Serif" w:hAnsi="PT Astra Serif"/>
                <w:sz w:val="20"/>
                <w:szCs w:val="20"/>
              </w:rPr>
              <w:t>11920*</w:t>
            </w:r>
          </w:p>
        </w:tc>
        <w:tc>
          <w:tcPr>
            <w:tcW w:w="1276" w:type="dxa"/>
            <w:vAlign w:val="center"/>
          </w:tcPr>
          <w:p w14:paraId="0423028F" w14:textId="77777777" w:rsidR="00AB3E2D" w:rsidRPr="00AB3E2D" w:rsidRDefault="00AB3E2D" w:rsidP="00E356AB">
            <w:pPr>
              <w:widowControl w:val="0"/>
              <w:ind w:firstLine="0"/>
              <w:jc w:val="center"/>
              <w:rPr>
                <w:rFonts w:ascii="PT Astra Serif" w:hAnsi="PT Astra Serif"/>
                <w:sz w:val="20"/>
                <w:szCs w:val="20"/>
              </w:rPr>
            </w:pPr>
            <w:r w:rsidRPr="00AB3E2D">
              <w:rPr>
                <w:rFonts w:ascii="PT Astra Serif" w:hAnsi="PT Astra Serif"/>
                <w:sz w:val="20"/>
                <w:szCs w:val="20"/>
              </w:rPr>
              <w:t>11764*</w:t>
            </w:r>
          </w:p>
        </w:tc>
        <w:tc>
          <w:tcPr>
            <w:tcW w:w="1134" w:type="dxa"/>
            <w:vAlign w:val="center"/>
          </w:tcPr>
          <w:p w14:paraId="4E25D967" w14:textId="77777777" w:rsidR="00AB3E2D" w:rsidRPr="00AB3E2D" w:rsidRDefault="00AB3E2D" w:rsidP="00E356AB">
            <w:pPr>
              <w:widowControl w:val="0"/>
              <w:ind w:firstLine="0"/>
              <w:jc w:val="center"/>
              <w:rPr>
                <w:rFonts w:ascii="PT Astra Serif" w:hAnsi="PT Astra Serif"/>
                <w:sz w:val="20"/>
                <w:szCs w:val="20"/>
              </w:rPr>
            </w:pPr>
            <w:r w:rsidRPr="00AB3E2D">
              <w:rPr>
                <w:rFonts w:ascii="PT Astra Serif" w:hAnsi="PT Astra Serif"/>
                <w:sz w:val="20"/>
                <w:szCs w:val="20"/>
              </w:rPr>
              <w:t>12345*</w:t>
            </w:r>
          </w:p>
        </w:tc>
        <w:tc>
          <w:tcPr>
            <w:tcW w:w="1134" w:type="dxa"/>
            <w:vAlign w:val="center"/>
          </w:tcPr>
          <w:p w14:paraId="1D1219C4" w14:textId="77777777" w:rsidR="00AB3E2D" w:rsidRPr="00AB3E2D" w:rsidRDefault="00AB3E2D" w:rsidP="00E356AB">
            <w:pPr>
              <w:widowControl w:val="0"/>
              <w:ind w:firstLine="0"/>
              <w:jc w:val="center"/>
              <w:rPr>
                <w:rFonts w:ascii="PT Astra Serif" w:hAnsi="PT Astra Serif"/>
                <w:sz w:val="20"/>
                <w:szCs w:val="20"/>
              </w:rPr>
            </w:pPr>
            <w:r w:rsidRPr="00AB3E2D">
              <w:rPr>
                <w:rFonts w:ascii="PT Astra Serif" w:hAnsi="PT Astra Serif"/>
                <w:sz w:val="20"/>
                <w:szCs w:val="20"/>
              </w:rPr>
              <w:t>12370**</w:t>
            </w:r>
          </w:p>
        </w:tc>
      </w:tr>
    </w:tbl>
    <w:p w14:paraId="72BE6C10" w14:textId="77777777" w:rsidR="006D56FE" w:rsidRDefault="006D56FE" w:rsidP="00AB3E2D">
      <w:pPr>
        <w:widowControl w:val="0"/>
        <w:ind w:firstLine="0"/>
        <w:rPr>
          <w:rFonts w:ascii="PT Astra Serif" w:eastAsia="Calibri" w:hAnsi="PT Astra Serif" w:cs="Times New Roman"/>
          <w:sz w:val="16"/>
          <w:szCs w:val="16"/>
        </w:rPr>
      </w:pPr>
    </w:p>
    <w:p w14:paraId="0E223742" w14:textId="3261F345" w:rsidR="00AB3E2D" w:rsidRPr="00AB3E2D" w:rsidRDefault="00AB3E2D" w:rsidP="00AB3E2D">
      <w:pPr>
        <w:widowControl w:val="0"/>
        <w:ind w:firstLine="0"/>
        <w:rPr>
          <w:rFonts w:ascii="PT Astra Serif" w:eastAsia="Calibri" w:hAnsi="PT Astra Serif" w:cs="Times New Roman"/>
          <w:sz w:val="16"/>
          <w:szCs w:val="16"/>
        </w:rPr>
      </w:pPr>
      <w:r w:rsidRPr="00AB3E2D">
        <w:rPr>
          <w:rFonts w:ascii="PT Astra Serif" w:eastAsia="Calibri" w:hAnsi="PT Astra Serif" w:cs="Times New Roman"/>
          <w:sz w:val="16"/>
          <w:szCs w:val="16"/>
        </w:rPr>
        <w:t xml:space="preserve">*- официальные данные </w:t>
      </w:r>
      <w:r w:rsidRPr="00AB3E2D">
        <w:rPr>
          <w:rFonts w:ascii="PT Astra Serif" w:eastAsia="Calibri" w:hAnsi="PT Astra Serif" w:cs="Arial"/>
          <w:sz w:val="16"/>
          <w:szCs w:val="16"/>
          <w:shd w:val="clear" w:color="auto" w:fill="FFFFFF"/>
        </w:rPr>
        <w:t xml:space="preserve">территориального органа Федеральной службы государственной </w:t>
      </w:r>
      <w:r w:rsidRPr="00AB3E2D">
        <w:rPr>
          <w:rFonts w:ascii="PT Astra Serif" w:eastAsia="Calibri" w:hAnsi="PT Astra Serif" w:cs="Arial"/>
          <w:bCs/>
          <w:sz w:val="16"/>
          <w:szCs w:val="16"/>
          <w:shd w:val="clear" w:color="auto" w:fill="FFFFFF"/>
        </w:rPr>
        <w:t>статистики</w:t>
      </w:r>
      <w:r w:rsidRPr="00AB3E2D">
        <w:rPr>
          <w:rFonts w:ascii="PT Astra Serif" w:eastAsia="Calibri" w:hAnsi="PT Astra Serif" w:cs="Arial"/>
          <w:sz w:val="16"/>
          <w:szCs w:val="16"/>
          <w:shd w:val="clear" w:color="auto" w:fill="FFFFFF"/>
        </w:rPr>
        <w:t xml:space="preserve"> по Ульяновской области (</w:t>
      </w:r>
      <w:proofErr w:type="spellStart"/>
      <w:r w:rsidRPr="00AB3E2D">
        <w:rPr>
          <w:rFonts w:ascii="PT Astra Serif" w:eastAsia="Calibri" w:hAnsi="PT Astra Serif" w:cs="Arial"/>
          <w:sz w:val="16"/>
          <w:szCs w:val="16"/>
          <w:shd w:val="clear" w:color="auto" w:fill="FFFFFF"/>
        </w:rPr>
        <w:t>Ульяновскстат</w:t>
      </w:r>
      <w:proofErr w:type="spellEnd"/>
      <w:r w:rsidRPr="00AB3E2D">
        <w:rPr>
          <w:rFonts w:ascii="PT Astra Serif" w:eastAsia="Calibri" w:hAnsi="PT Astra Serif" w:cs="Arial"/>
          <w:sz w:val="16"/>
          <w:szCs w:val="16"/>
          <w:shd w:val="clear" w:color="auto" w:fill="FFFFFF"/>
        </w:rPr>
        <w:t>).</w:t>
      </w:r>
    </w:p>
    <w:p w14:paraId="51AE96B9" w14:textId="61318237" w:rsidR="00AB3E2D" w:rsidRDefault="00AB3E2D" w:rsidP="00AB3E2D">
      <w:pPr>
        <w:widowControl w:val="0"/>
        <w:ind w:firstLine="0"/>
        <w:rPr>
          <w:rFonts w:ascii="PT Astra Serif" w:eastAsia="Calibri" w:hAnsi="PT Astra Serif" w:cs="Times New Roman"/>
          <w:sz w:val="16"/>
          <w:szCs w:val="16"/>
        </w:rPr>
      </w:pPr>
      <w:r w:rsidRPr="00AB3E2D">
        <w:rPr>
          <w:rFonts w:ascii="PT Astra Serif" w:eastAsia="Calibri" w:hAnsi="PT Astra Serif" w:cs="Times New Roman"/>
          <w:sz w:val="16"/>
          <w:szCs w:val="16"/>
        </w:rPr>
        <w:t>** - прогнозное значение показателя.</w:t>
      </w:r>
    </w:p>
    <w:p w14:paraId="435D6A79" w14:textId="77777777" w:rsidR="00E356AB" w:rsidRPr="00AB3E2D" w:rsidRDefault="00E356AB" w:rsidP="00AB3E2D">
      <w:pPr>
        <w:widowControl w:val="0"/>
        <w:ind w:firstLine="0"/>
        <w:rPr>
          <w:rFonts w:ascii="PT Astra Serif" w:eastAsia="Calibri" w:hAnsi="PT Astra Serif" w:cs="Times New Roman"/>
          <w:b/>
          <w:sz w:val="16"/>
          <w:szCs w:val="16"/>
        </w:rPr>
      </w:pPr>
    </w:p>
    <w:p w14:paraId="329A936D" w14:textId="4589B59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Политика кадрового обеспечения Ульяновской области направлена на достижение стратегических приоритетов «Сбережение населения </w:t>
      </w:r>
      <w:r w:rsidR="003D41AF">
        <w:rPr>
          <w:rFonts w:ascii="PT Astra Serif" w:eastAsia="Calibri" w:hAnsi="PT Astra Serif" w:cs="Times New Roman"/>
          <w:szCs w:val="28"/>
        </w:rPr>
        <w:br/>
      </w:r>
      <w:r w:rsidRPr="00AB3E2D">
        <w:rPr>
          <w:rFonts w:ascii="PT Astra Serif" w:eastAsia="Calibri" w:hAnsi="PT Astra Serif" w:cs="Times New Roman"/>
          <w:szCs w:val="28"/>
        </w:rPr>
        <w:t>и всестороннее развитие человеческого потенциала» и «Развитие устойчивой и</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высокотехнологичной экономики».</w:t>
      </w:r>
    </w:p>
    <w:p w14:paraId="793E5D0C" w14:textId="77777777" w:rsidR="003D41AF" w:rsidRPr="00AB3E2D" w:rsidRDefault="003D41AF" w:rsidP="003D41AF">
      <w:pPr>
        <w:widowControl w:val="0"/>
        <w:rPr>
          <w:rFonts w:ascii="PT Astra Serif" w:eastAsia="Calibri" w:hAnsi="PT Astra Serif" w:cs="Times New Roman"/>
          <w:szCs w:val="28"/>
        </w:rPr>
      </w:pPr>
      <w:r w:rsidRPr="00AB3E2D">
        <w:rPr>
          <w:rFonts w:ascii="PT Astra Serif" w:eastAsia="Calibri" w:hAnsi="PT Astra Serif" w:cs="Times New Roman"/>
          <w:i/>
          <w:szCs w:val="28"/>
        </w:rPr>
        <w:t>По деятельности гостиниц и предприятий общественного питания</w:t>
      </w:r>
      <w:r w:rsidRPr="00AB3E2D">
        <w:rPr>
          <w:rFonts w:ascii="PT Astra Serif" w:eastAsia="Calibri" w:hAnsi="PT Astra Serif" w:cs="Times New Roman"/>
          <w:szCs w:val="28"/>
        </w:rPr>
        <w:t xml:space="preserve"> кадровая потребность колеблется, но в целом остаётся на уровне около 12</w:t>
      </w:r>
      <w:r>
        <w:rPr>
          <w:rFonts w:ascii="PT Astra Serif" w:eastAsia="Calibri" w:hAnsi="PT Astra Serif" w:cs="Times New Roman"/>
          <w:szCs w:val="28"/>
        </w:rPr>
        <w:t xml:space="preserve"> </w:t>
      </w:r>
      <w:r w:rsidRPr="00AB3E2D">
        <w:rPr>
          <w:rFonts w:ascii="PT Astra Serif" w:eastAsia="Calibri" w:hAnsi="PT Astra Serif" w:cs="Times New Roman"/>
          <w:szCs w:val="28"/>
        </w:rPr>
        <w:t>-</w:t>
      </w:r>
      <w:r>
        <w:rPr>
          <w:rFonts w:ascii="PT Astra Serif" w:eastAsia="Calibri" w:hAnsi="PT Astra Serif" w:cs="Times New Roman"/>
          <w:szCs w:val="28"/>
        </w:rPr>
        <w:t xml:space="preserve"> </w:t>
      </w:r>
      <w:r w:rsidRPr="00AB3E2D">
        <w:rPr>
          <w:rFonts w:ascii="PT Astra Serif" w:eastAsia="Calibri" w:hAnsi="PT Astra Serif" w:cs="Times New Roman"/>
          <w:szCs w:val="28"/>
        </w:rPr>
        <w:t>13 тыс. человек.</w:t>
      </w:r>
      <w:r>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Возможны сезонные или рыночные колебания в потребности сотрудников. В целом, спрос на кадры в этой отрасли стабилен и слегка растет </w:t>
      </w:r>
      <w:r w:rsidRPr="00AB3E2D">
        <w:rPr>
          <w:rFonts w:ascii="PT Astra Serif" w:eastAsia="Calibri" w:hAnsi="PT Astra Serif" w:cs="Times New Roman"/>
          <w:szCs w:val="28"/>
        </w:rPr>
        <w:lastRenderedPageBreak/>
        <w:t>к концу периода.</w:t>
      </w:r>
    </w:p>
    <w:p w14:paraId="4B65D50E" w14:textId="7C744573" w:rsidR="003D41AF" w:rsidRPr="00AB3E2D" w:rsidRDefault="003D41AF" w:rsidP="003D41AF">
      <w:pPr>
        <w:widowControl w:val="0"/>
        <w:rPr>
          <w:rFonts w:ascii="PT Astra Serif" w:eastAsia="Calibri" w:hAnsi="PT Astra Serif" w:cs="Times New Roman"/>
          <w:szCs w:val="28"/>
        </w:rPr>
      </w:pPr>
      <w:r w:rsidRPr="00AB3E2D">
        <w:rPr>
          <w:rFonts w:ascii="PT Astra Serif" w:eastAsia="Calibri" w:hAnsi="PT Astra Serif" w:cs="Times New Roman"/>
          <w:i/>
          <w:szCs w:val="28"/>
        </w:rPr>
        <w:t xml:space="preserve">По деятельности в области культуры, спорта, организации досуга </w:t>
      </w:r>
      <w:r w:rsidRPr="00AB3E2D">
        <w:rPr>
          <w:rFonts w:ascii="PT Astra Serif" w:eastAsia="Calibri" w:hAnsi="PT Astra Serif" w:cs="Times New Roman"/>
          <w:i/>
          <w:szCs w:val="28"/>
        </w:rPr>
        <w:br/>
        <w:t>и развлечений</w:t>
      </w:r>
      <w:r>
        <w:rPr>
          <w:rFonts w:ascii="PT Astra Serif" w:eastAsia="Calibri" w:hAnsi="PT Astra Serif" w:cs="Times New Roman"/>
          <w:i/>
          <w:szCs w:val="28"/>
        </w:rPr>
        <w:t xml:space="preserve"> </w:t>
      </w:r>
      <w:r w:rsidRPr="00AB3E2D">
        <w:rPr>
          <w:rFonts w:ascii="PT Astra Serif" w:eastAsia="Calibri" w:hAnsi="PT Astra Serif" w:cs="Times New Roman"/>
          <w:szCs w:val="28"/>
        </w:rPr>
        <w:t>отмечается медленное, но стабильное снижение кадровой потребности.</w:t>
      </w:r>
      <w:r w:rsidRPr="003D41AF">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Спрос на кадры в этом секторе постепенно сокращается, что может свидетельствовать о технологических изменениях, изменениях </w:t>
      </w:r>
      <w:r>
        <w:rPr>
          <w:rFonts w:ascii="PT Astra Serif" w:eastAsia="Calibri" w:hAnsi="PT Astra Serif" w:cs="Times New Roman"/>
          <w:szCs w:val="28"/>
        </w:rPr>
        <w:br/>
      </w:r>
      <w:r w:rsidRPr="00AB3E2D">
        <w:rPr>
          <w:rFonts w:ascii="PT Astra Serif" w:eastAsia="Calibri" w:hAnsi="PT Astra Serif" w:cs="Times New Roman"/>
          <w:szCs w:val="28"/>
        </w:rPr>
        <w:t>в потребностях общества или оптимизации процессов.</w:t>
      </w:r>
    </w:p>
    <w:p w14:paraId="6F167F82" w14:textId="77777777" w:rsidR="00AB3E2D" w:rsidRPr="008D5740" w:rsidRDefault="00AB3E2D" w:rsidP="00AB3E2D">
      <w:pPr>
        <w:widowControl w:val="0"/>
        <w:rPr>
          <w:rFonts w:ascii="PT Astra Serif" w:eastAsia="Calibri" w:hAnsi="PT Astra Serif" w:cs="Times New Roman"/>
          <w:b/>
          <w:bCs/>
          <w:sz w:val="20"/>
          <w:szCs w:val="20"/>
        </w:rPr>
      </w:pPr>
    </w:p>
    <w:p w14:paraId="4D267FEF" w14:textId="210B69AD" w:rsidR="00AB3E2D" w:rsidRDefault="00AB3E2D" w:rsidP="00AB3E2D">
      <w:pPr>
        <w:widowControl w:val="0"/>
        <w:ind w:firstLine="0"/>
        <w:jc w:val="center"/>
        <w:rPr>
          <w:rFonts w:ascii="PT Astra Serif" w:eastAsia="Calibri" w:hAnsi="PT Astra Serif" w:cs="Times New Roman"/>
          <w:b/>
          <w:bCs/>
          <w:sz w:val="20"/>
          <w:szCs w:val="20"/>
        </w:rPr>
      </w:pPr>
      <w:r w:rsidRPr="00AB3E2D">
        <w:rPr>
          <w:rFonts w:ascii="PT Astra Serif" w:eastAsia="Calibri" w:hAnsi="PT Astra Serif" w:cs="Times New Roman"/>
          <w:b/>
          <w:bCs/>
          <w:sz w:val="20"/>
          <w:szCs w:val="20"/>
        </w:rPr>
        <w:t>Кадровая потребность по виду экономической деятельности в период 2025</w:t>
      </w:r>
      <w:r w:rsidR="003D41AF">
        <w:rPr>
          <w:rFonts w:ascii="PT Astra Serif" w:eastAsia="Calibri" w:hAnsi="PT Astra Serif" w:cs="Times New Roman"/>
          <w:b/>
          <w:bCs/>
          <w:sz w:val="20"/>
          <w:szCs w:val="20"/>
        </w:rPr>
        <w:t xml:space="preserve"> </w:t>
      </w:r>
      <w:r w:rsidRPr="00AB3E2D">
        <w:rPr>
          <w:rFonts w:ascii="PT Astra Serif" w:eastAsia="Calibri" w:hAnsi="PT Astra Serif" w:cs="Times New Roman"/>
          <w:b/>
          <w:bCs/>
          <w:sz w:val="20"/>
          <w:szCs w:val="20"/>
        </w:rPr>
        <w:t>-</w:t>
      </w:r>
      <w:r w:rsidR="003D41AF">
        <w:rPr>
          <w:rFonts w:ascii="PT Astra Serif" w:eastAsia="Calibri" w:hAnsi="PT Astra Serif" w:cs="Times New Roman"/>
          <w:b/>
          <w:bCs/>
          <w:sz w:val="20"/>
          <w:szCs w:val="20"/>
        </w:rPr>
        <w:t xml:space="preserve"> </w:t>
      </w:r>
      <w:r w:rsidRPr="00AB3E2D">
        <w:rPr>
          <w:rFonts w:ascii="PT Astra Serif" w:eastAsia="Calibri" w:hAnsi="PT Astra Serif" w:cs="Times New Roman"/>
          <w:b/>
          <w:bCs/>
          <w:sz w:val="20"/>
          <w:szCs w:val="20"/>
        </w:rPr>
        <w:t>202</w:t>
      </w:r>
      <w:r w:rsidRPr="00AB3E2D">
        <w:rPr>
          <w:rFonts w:ascii="PT Astra Serif" w:eastAsia="Calibri" w:hAnsi="PT Astra Serif" w:cs="Times New Roman"/>
          <w:b/>
          <w:bCs/>
          <w:color w:val="000000"/>
          <w:sz w:val="20"/>
          <w:szCs w:val="20"/>
        </w:rPr>
        <w:t xml:space="preserve">9 </w:t>
      </w:r>
      <w:r w:rsidRPr="00AB3E2D">
        <w:rPr>
          <w:rFonts w:ascii="PT Astra Serif" w:eastAsia="Calibri" w:hAnsi="PT Astra Serif" w:cs="Times New Roman"/>
          <w:b/>
          <w:bCs/>
          <w:sz w:val="20"/>
          <w:szCs w:val="20"/>
        </w:rPr>
        <w:t xml:space="preserve">годов, </w:t>
      </w:r>
      <w:r w:rsidRPr="00AB3E2D">
        <w:rPr>
          <w:rFonts w:ascii="PT Astra Serif" w:eastAsia="Calibri" w:hAnsi="PT Astra Serif" w:cs="Times New Roman"/>
          <w:b/>
          <w:bCs/>
          <w:sz w:val="20"/>
          <w:szCs w:val="20"/>
        </w:rPr>
        <w:br/>
        <w:t>тыс. человек</w:t>
      </w: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02"/>
        <w:gridCol w:w="765"/>
        <w:gridCol w:w="878"/>
        <w:gridCol w:w="869"/>
        <w:gridCol w:w="850"/>
        <w:gridCol w:w="851"/>
        <w:gridCol w:w="9"/>
      </w:tblGrid>
      <w:tr w:rsidR="00AB3E2D" w:rsidRPr="00AB3E2D" w14:paraId="020AC13A" w14:textId="77777777" w:rsidTr="00B80AAC">
        <w:trPr>
          <w:trHeight w:val="70"/>
          <w:tblHeader/>
        </w:trPr>
        <w:tc>
          <w:tcPr>
            <w:tcW w:w="5302" w:type="dxa"/>
            <w:vMerge w:val="restart"/>
            <w:noWrap/>
            <w:vAlign w:val="center"/>
            <w:hideMark/>
          </w:tcPr>
          <w:p w14:paraId="5906C844" w14:textId="77777777"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Вид экономической деятельности</w:t>
            </w:r>
          </w:p>
        </w:tc>
        <w:tc>
          <w:tcPr>
            <w:tcW w:w="4222" w:type="dxa"/>
            <w:gridSpan w:val="6"/>
            <w:vAlign w:val="center"/>
          </w:tcPr>
          <w:p w14:paraId="743DCDBD" w14:textId="77777777"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Общая кадровая потребность*</w:t>
            </w:r>
          </w:p>
        </w:tc>
      </w:tr>
      <w:tr w:rsidR="00AB3E2D" w:rsidRPr="00AB3E2D" w14:paraId="7F220C41" w14:textId="77777777" w:rsidTr="00B80AAC">
        <w:trPr>
          <w:gridAfter w:val="1"/>
          <w:wAfter w:w="9" w:type="dxa"/>
          <w:trHeight w:val="172"/>
          <w:tblHeader/>
        </w:trPr>
        <w:tc>
          <w:tcPr>
            <w:tcW w:w="5302" w:type="dxa"/>
            <w:vMerge/>
            <w:vAlign w:val="center"/>
            <w:hideMark/>
          </w:tcPr>
          <w:p w14:paraId="71A38165" w14:textId="77777777"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p>
        </w:tc>
        <w:tc>
          <w:tcPr>
            <w:tcW w:w="765" w:type="dxa"/>
            <w:noWrap/>
            <w:vAlign w:val="center"/>
            <w:hideMark/>
          </w:tcPr>
          <w:p w14:paraId="28A7E9CB" w14:textId="7A1F8F90"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2025</w:t>
            </w:r>
            <w:r w:rsidR="003476A3">
              <w:rPr>
                <w:rFonts w:ascii="PT Astra Serif" w:eastAsia="Times New Roman" w:hAnsi="PT Astra Serif" w:cs="Times New Roman"/>
                <w:b/>
                <w:color w:val="000000"/>
                <w:sz w:val="20"/>
                <w:szCs w:val="20"/>
                <w:lang w:eastAsia="ru-RU"/>
              </w:rPr>
              <w:t xml:space="preserve"> г.</w:t>
            </w:r>
          </w:p>
        </w:tc>
        <w:tc>
          <w:tcPr>
            <w:tcW w:w="878" w:type="dxa"/>
            <w:noWrap/>
            <w:vAlign w:val="center"/>
            <w:hideMark/>
          </w:tcPr>
          <w:p w14:paraId="4CC0E318" w14:textId="4FFD92F5"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2026</w:t>
            </w:r>
            <w:r w:rsidR="003476A3">
              <w:rPr>
                <w:rFonts w:ascii="PT Astra Serif" w:eastAsia="Times New Roman" w:hAnsi="PT Astra Serif" w:cs="Times New Roman"/>
                <w:b/>
                <w:color w:val="000000"/>
                <w:sz w:val="20"/>
                <w:szCs w:val="20"/>
                <w:lang w:eastAsia="ru-RU"/>
              </w:rPr>
              <w:t xml:space="preserve"> г.</w:t>
            </w:r>
          </w:p>
        </w:tc>
        <w:tc>
          <w:tcPr>
            <w:tcW w:w="869" w:type="dxa"/>
            <w:noWrap/>
            <w:vAlign w:val="center"/>
            <w:hideMark/>
          </w:tcPr>
          <w:p w14:paraId="1ED4DB19" w14:textId="1B18202C"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2027</w:t>
            </w:r>
            <w:r w:rsidR="003476A3">
              <w:rPr>
                <w:rFonts w:ascii="PT Astra Serif" w:eastAsia="Times New Roman" w:hAnsi="PT Astra Serif" w:cs="Times New Roman"/>
                <w:b/>
                <w:color w:val="000000"/>
                <w:sz w:val="20"/>
                <w:szCs w:val="20"/>
                <w:lang w:eastAsia="ru-RU"/>
              </w:rPr>
              <w:t xml:space="preserve"> .</w:t>
            </w:r>
          </w:p>
        </w:tc>
        <w:tc>
          <w:tcPr>
            <w:tcW w:w="850" w:type="dxa"/>
            <w:noWrap/>
            <w:vAlign w:val="center"/>
            <w:hideMark/>
          </w:tcPr>
          <w:p w14:paraId="66E61D94" w14:textId="4A662ECB"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2028</w:t>
            </w:r>
            <w:r w:rsidR="003476A3">
              <w:rPr>
                <w:rFonts w:ascii="PT Astra Serif" w:eastAsia="Times New Roman" w:hAnsi="PT Astra Serif" w:cs="Times New Roman"/>
                <w:b/>
                <w:color w:val="000000"/>
                <w:sz w:val="20"/>
                <w:szCs w:val="20"/>
                <w:lang w:eastAsia="ru-RU"/>
              </w:rPr>
              <w:t xml:space="preserve"> г.</w:t>
            </w:r>
          </w:p>
        </w:tc>
        <w:tc>
          <w:tcPr>
            <w:tcW w:w="851" w:type="dxa"/>
            <w:noWrap/>
            <w:vAlign w:val="center"/>
            <w:hideMark/>
          </w:tcPr>
          <w:p w14:paraId="2509AC41" w14:textId="3CEA3C91" w:rsidR="00AB3E2D" w:rsidRPr="00AB3E2D" w:rsidRDefault="00AB3E2D" w:rsidP="00AB3E2D">
            <w:pPr>
              <w:widowControl w:val="0"/>
              <w:ind w:firstLine="0"/>
              <w:jc w:val="center"/>
              <w:rPr>
                <w:rFonts w:ascii="PT Astra Serif" w:eastAsia="Times New Roman" w:hAnsi="PT Astra Serif" w:cs="Times New Roman"/>
                <w:b/>
                <w:color w:val="000000"/>
                <w:sz w:val="20"/>
                <w:szCs w:val="20"/>
                <w:lang w:eastAsia="ru-RU"/>
              </w:rPr>
            </w:pPr>
            <w:r w:rsidRPr="00AB3E2D">
              <w:rPr>
                <w:rFonts w:ascii="PT Astra Serif" w:eastAsia="Times New Roman" w:hAnsi="PT Astra Serif" w:cs="Times New Roman"/>
                <w:b/>
                <w:color w:val="000000"/>
                <w:sz w:val="20"/>
                <w:szCs w:val="20"/>
                <w:lang w:eastAsia="ru-RU"/>
              </w:rPr>
              <w:t>2029</w:t>
            </w:r>
            <w:r w:rsidR="003476A3">
              <w:rPr>
                <w:rFonts w:ascii="PT Astra Serif" w:eastAsia="Times New Roman" w:hAnsi="PT Astra Serif" w:cs="Times New Roman"/>
                <w:b/>
                <w:color w:val="000000"/>
                <w:sz w:val="20"/>
                <w:szCs w:val="20"/>
                <w:lang w:eastAsia="ru-RU"/>
              </w:rPr>
              <w:t xml:space="preserve"> г.</w:t>
            </w:r>
          </w:p>
        </w:tc>
      </w:tr>
      <w:tr w:rsidR="00AB3E2D" w:rsidRPr="00AB3E2D" w14:paraId="04A83F1F" w14:textId="77777777" w:rsidTr="00B80AAC">
        <w:trPr>
          <w:gridAfter w:val="1"/>
          <w:wAfter w:w="9" w:type="dxa"/>
          <w:trHeight w:val="184"/>
        </w:trPr>
        <w:tc>
          <w:tcPr>
            <w:tcW w:w="5302" w:type="dxa"/>
            <w:vAlign w:val="center"/>
            <w:hideMark/>
          </w:tcPr>
          <w:p w14:paraId="583D273A" w14:textId="77777777" w:rsidR="00AB3E2D" w:rsidRPr="00AB3E2D" w:rsidRDefault="00AB3E2D" w:rsidP="00AB3E2D">
            <w:pPr>
              <w:widowControl w:val="0"/>
              <w:ind w:firstLine="0"/>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Деятельность гостиниц и предприятий общественного питания</w:t>
            </w:r>
          </w:p>
        </w:tc>
        <w:tc>
          <w:tcPr>
            <w:tcW w:w="765" w:type="dxa"/>
            <w:noWrap/>
            <w:vAlign w:val="center"/>
            <w:hideMark/>
          </w:tcPr>
          <w:p w14:paraId="3D16C199"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12,4</w:t>
            </w:r>
          </w:p>
        </w:tc>
        <w:tc>
          <w:tcPr>
            <w:tcW w:w="878" w:type="dxa"/>
            <w:noWrap/>
            <w:vAlign w:val="center"/>
            <w:hideMark/>
          </w:tcPr>
          <w:p w14:paraId="2D0DE925"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13,0</w:t>
            </w:r>
          </w:p>
        </w:tc>
        <w:tc>
          <w:tcPr>
            <w:tcW w:w="869" w:type="dxa"/>
            <w:noWrap/>
            <w:vAlign w:val="center"/>
            <w:hideMark/>
          </w:tcPr>
          <w:p w14:paraId="09B5ECC3"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12,1</w:t>
            </w:r>
          </w:p>
        </w:tc>
        <w:tc>
          <w:tcPr>
            <w:tcW w:w="850" w:type="dxa"/>
            <w:noWrap/>
            <w:vAlign w:val="center"/>
            <w:hideMark/>
          </w:tcPr>
          <w:p w14:paraId="2348B0C9"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13,2</w:t>
            </w:r>
          </w:p>
        </w:tc>
        <w:tc>
          <w:tcPr>
            <w:tcW w:w="851" w:type="dxa"/>
            <w:noWrap/>
            <w:vAlign w:val="center"/>
            <w:hideMark/>
          </w:tcPr>
          <w:p w14:paraId="36B2CE7C"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13,0</w:t>
            </w:r>
          </w:p>
        </w:tc>
      </w:tr>
      <w:tr w:rsidR="00AB3E2D" w:rsidRPr="00AB3E2D" w14:paraId="61CBBDE4" w14:textId="77777777" w:rsidTr="00B80AAC">
        <w:trPr>
          <w:gridAfter w:val="1"/>
          <w:wAfter w:w="9" w:type="dxa"/>
          <w:trHeight w:val="184"/>
        </w:trPr>
        <w:tc>
          <w:tcPr>
            <w:tcW w:w="5302" w:type="dxa"/>
            <w:tcBorders>
              <w:top w:val="single" w:sz="4" w:space="0" w:color="auto"/>
              <w:left w:val="single" w:sz="4" w:space="0" w:color="auto"/>
              <w:bottom w:val="single" w:sz="4" w:space="0" w:color="auto"/>
              <w:right w:val="single" w:sz="4" w:space="0" w:color="auto"/>
            </w:tcBorders>
            <w:vAlign w:val="center"/>
            <w:hideMark/>
          </w:tcPr>
          <w:p w14:paraId="458A3418" w14:textId="77777777" w:rsidR="00AB3E2D" w:rsidRPr="00AB3E2D" w:rsidRDefault="00AB3E2D" w:rsidP="00AB3E2D">
            <w:pPr>
              <w:widowControl w:val="0"/>
              <w:ind w:firstLine="0"/>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Деятельность в области культуры, спорта, организации досуга и развлечений</w:t>
            </w:r>
          </w:p>
        </w:tc>
        <w:tc>
          <w:tcPr>
            <w:tcW w:w="765" w:type="dxa"/>
            <w:tcBorders>
              <w:top w:val="single" w:sz="4" w:space="0" w:color="auto"/>
              <w:left w:val="single" w:sz="4" w:space="0" w:color="auto"/>
              <w:bottom w:val="single" w:sz="4" w:space="0" w:color="auto"/>
              <w:right w:val="single" w:sz="4" w:space="0" w:color="auto"/>
            </w:tcBorders>
            <w:noWrap/>
            <w:vAlign w:val="center"/>
            <w:hideMark/>
          </w:tcPr>
          <w:p w14:paraId="61FD6086"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8,1</w:t>
            </w:r>
          </w:p>
        </w:tc>
        <w:tc>
          <w:tcPr>
            <w:tcW w:w="878" w:type="dxa"/>
            <w:tcBorders>
              <w:top w:val="single" w:sz="4" w:space="0" w:color="auto"/>
              <w:left w:val="single" w:sz="4" w:space="0" w:color="auto"/>
              <w:bottom w:val="single" w:sz="4" w:space="0" w:color="auto"/>
              <w:right w:val="single" w:sz="4" w:space="0" w:color="auto"/>
            </w:tcBorders>
            <w:noWrap/>
            <w:vAlign w:val="center"/>
            <w:hideMark/>
          </w:tcPr>
          <w:p w14:paraId="506CCC6C"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8,0</w:t>
            </w:r>
          </w:p>
        </w:tc>
        <w:tc>
          <w:tcPr>
            <w:tcW w:w="869" w:type="dxa"/>
            <w:tcBorders>
              <w:top w:val="single" w:sz="4" w:space="0" w:color="auto"/>
              <w:left w:val="single" w:sz="4" w:space="0" w:color="auto"/>
              <w:bottom w:val="single" w:sz="4" w:space="0" w:color="auto"/>
              <w:right w:val="single" w:sz="4" w:space="0" w:color="auto"/>
            </w:tcBorders>
            <w:noWrap/>
            <w:vAlign w:val="center"/>
            <w:hideMark/>
          </w:tcPr>
          <w:p w14:paraId="78EB199B"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7,9</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E424F5C"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7,9</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0EB6699" w14:textId="77777777" w:rsidR="00AB3E2D" w:rsidRPr="00AB3E2D" w:rsidRDefault="00AB3E2D" w:rsidP="00AB3E2D">
            <w:pPr>
              <w:widowControl w:val="0"/>
              <w:ind w:firstLine="0"/>
              <w:jc w:val="center"/>
              <w:rPr>
                <w:rFonts w:ascii="PT Astra Serif" w:eastAsia="Times New Roman" w:hAnsi="PT Astra Serif" w:cs="Times New Roman"/>
                <w:color w:val="000000"/>
                <w:sz w:val="20"/>
                <w:szCs w:val="20"/>
                <w:lang w:eastAsia="ru-RU"/>
              </w:rPr>
            </w:pPr>
            <w:r w:rsidRPr="00AB3E2D">
              <w:rPr>
                <w:rFonts w:ascii="PT Astra Serif" w:eastAsia="Times New Roman" w:hAnsi="PT Astra Serif" w:cs="Times New Roman"/>
                <w:color w:val="000000"/>
                <w:sz w:val="20"/>
                <w:szCs w:val="20"/>
                <w:lang w:eastAsia="ru-RU"/>
              </w:rPr>
              <w:t>7,8</w:t>
            </w:r>
          </w:p>
        </w:tc>
      </w:tr>
    </w:tbl>
    <w:p w14:paraId="6040CA84" w14:textId="157B4A08" w:rsidR="00AB3E2D" w:rsidRPr="00AB3E2D" w:rsidRDefault="00AB3E2D" w:rsidP="00AB3E2D">
      <w:pPr>
        <w:widowControl w:val="0"/>
        <w:ind w:firstLine="0"/>
        <w:rPr>
          <w:rFonts w:ascii="PT Astra Serif" w:eastAsia="Calibri" w:hAnsi="PT Astra Serif" w:cs="Times New Roman"/>
          <w:sz w:val="16"/>
          <w:szCs w:val="16"/>
        </w:rPr>
      </w:pPr>
      <w:r w:rsidRPr="00AB3E2D">
        <w:rPr>
          <w:rFonts w:ascii="PT Astra Serif" w:eastAsia="Calibri" w:hAnsi="PT Astra Serif" w:cs="Times New Roman"/>
          <w:sz w:val="16"/>
          <w:szCs w:val="16"/>
        </w:rPr>
        <w:t>* - прогнозное значение показателя.</w:t>
      </w:r>
    </w:p>
    <w:p w14:paraId="30A60478" w14:textId="77777777" w:rsidR="00AB3E2D" w:rsidRPr="008D5740" w:rsidRDefault="00AB3E2D" w:rsidP="00AB3E2D">
      <w:pPr>
        <w:widowControl w:val="0"/>
        <w:rPr>
          <w:rFonts w:ascii="PT Astra Serif" w:eastAsia="Calibri" w:hAnsi="PT Astra Serif" w:cs="Times New Roman"/>
          <w:sz w:val="20"/>
          <w:szCs w:val="20"/>
        </w:rPr>
      </w:pPr>
    </w:p>
    <w:p w14:paraId="45F1667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Сектор гостиниц и общепита сохраняет и даже немного увеличивает потребность в кадрах, что говорит о перспективах роста или восстановления.</w:t>
      </w:r>
    </w:p>
    <w:p w14:paraId="58F5B9E0"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Сектор культуры и досуга показывает небольшое снижение, что требует внимания к возможным причинам - например, модернизации, сокращению расходов или изменению интересов аудитории.</w:t>
      </w:r>
    </w:p>
    <w:p w14:paraId="65E8B8DD" w14:textId="77777777" w:rsidR="00AB3E2D" w:rsidRPr="00AB3E2D" w:rsidRDefault="00AB3E2D" w:rsidP="00AB3E2D">
      <w:pPr>
        <w:widowControl w:val="0"/>
        <w:rPr>
          <w:rFonts w:ascii="PT Astra Serif" w:eastAsia="Calibri" w:hAnsi="PT Astra Serif" w:cs="Times New Roman"/>
          <w:i/>
          <w:szCs w:val="28"/>
        </w:rPr>
      </w:pPr>
    </w:p>
    <w:p w14:paraId="2C08E51B" w14:textId="77777777" w:rsidR="00AB3E2D" w:rsidRPr="00AB3E2D" w:rsidRDefault="00AB3E2D" w:rsidP="00AB3E2D">
      <w:pPr>
        <w:widowControl w:val="0"/>
        <w:ind w:firstLine="0"/>
        <w:jc w:val="center"/>
        <w:rPr>
          <w:rFonts w:ascii="PT Astra Serif" w:eastAsia="Calibri" w:hAnsi="PT Astra Serif" w:cs="Times New Roman"/>
          <w:b/>
          <w:bCs/>
          <w:i/>
          <w:szCs w:val="28"/>
        </w:rPr>
      </w:pPr>
      <w:r w:rsidRPr="00AB3E2D">
        <w:rPr>
          <w:rFonts w:ascii="PT Astra Serif" w:eastAsia="Calibri" w:hAnsi="PT Astra Serif" w:cs="Times New Roman"/>
          <w:b/>
          <w:bCs/>
          <w:i/>
          <w:szCs w:val="28"/>
        </w:rPr>
        <w:t>Мероприятия по кадровому обеспечению отрасли туризма</w:t>
      </w:r>
    </w:p>
    <w:p w14:paraId="6C4A0915" w14:textId="77777777" w:rsidR="00AB3E2D" w:rsidRPr="00AB3E2D" w:rsidRDefault="00AB3E2D" w:rsidP="00AB3E2D">
      <w:pPr>
        <w:widowControl w:val="0"/>
        <w:ind w:firstLine="0"/>
        <w:jc w:val="center"/>
        <w:rPr>
          <w:rFonts w:ascii="PT Astra Serif" w:eastAsia="Calibri" w:hAnsi="PT Astra Serif" w:cs="Times New Roman"/>
          <w:b/>
          <w:bCs/>
          <w:i/>
          <w:szCs w:val="28"/>
        </w:rPr>
      </w:pPr>
      <w:r w:rsidRPr="00AB3E2D">
        <w:rPr>
          <w:rFonts w:ascii="PT Astra Serif" w:eastAsia="Calibri" w:hAnsi="PT Astra Serif" w:cs="Times New Roman"/>
          <w:b/>
          <w:bCs/>
          <w:i/>
          <w:szCs w:val="28"/>
        </w:rPr>
        <w:t>и гостеприимства</w:t>
      </w:r>
    </w:p>
    <w:p w14:paraId="6F4B6762" w14:textId="77777777" w:rsidR="00AB3E2D" w:rsidRPr="00AB3E2D" w:rsidRDefault="00AB3E2D" w:rsidP="00AB3E2D">
      <w:pPr>
        <w:widowControl w:val="0"/>
        <w:rPr>
          <w:rFonts w:ascii="PT Astra Serif" w:eastAsia="Calibri" w:hAnsi="PT Astra Serif" w:cs="Times New Roman"/>
          <w:i/>
          <w:szCs w:val="28"/>
        </w:rPr>
      </w:pPr>
    </w:p>
    <w:p w14:paraId="3ACA0513"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Для устойчивого развития отрасли туризма и гостеприимства предлагаем реализовать комплекс мер, направленных на подготовку </w:t>
      </w:r>
      <w:r w:rsidRPr="00AB3E2D">
        <w:rPr>
          <w:rFonts w:ascii="PT Astra Serif" w:eastAsia="Calibri" w:hAnsi="PT Astra Serif" w:cs="Times New Roman"/>
          <w:szCs w:val="28"/>
        </w:rPr>
        <w:br/>
        <w:t>и развитие высококвалифицированных кадров:</w:t>
      </w:r>
    </w:p>
    <w:p w14:paraId="7331881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организация целевых подготовительных групп совместно с вузами </w:t>
      </w:r>
      <w:r w:rsidRPr="00AB3E2D">
        <w:rPr>
          <w:rFonts w:ascii="PT Astra Serif" w:eastAsia="Calibri" w:hAnsi="PT Astra Serif" w:cs="Times New Roman"/>
          <w:szCs w:val="28"/>
        </w:rPr>
        <w:br/>
        <w:t>и учреждениями среднего профессионального образования региона для подготовки специалистов в сфере туризма и гостеприимства.</w:t>
      </w:r>
    </w:p>
    <w:p w14:paraId="4E3E9A3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разработка и внедрение программ дополнительного профессионального образования и стажировок для выпускников вузов, ориентированных на приобретение практических навыков работы в туристской отрасли.</w:t>
      </w:r>
    </w:p>
    <w:p w14:paraId="52AE40B6" w14:textId="18262254"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сотрудничество с работодателями и бизнес-сообществом региона </w:t>
      </w:r>
      <w:r w:rsidR="003D41AF">
        <w:rPr>
          <w:rFonts w:ascii="PT Astra Serif" w:eastAsia="Calibri" w:hAnsi="PT Astra Serif" w:cs="Times New Roman"/>
          <w:szCs w:val="28"/>
        </w:rPr>
        <w:br/>
      </w:r>
      <w:r w:rsidRPr="00AB3E2D">
        <w:rPr>
          <w:rFonts w:ascii="PT Astra Serif" w:eastAsia="Calibri" w:hAnsi="PT Astra Serif" w:cs="Times New Roman"/>
          <w:szCs w:val="28"/>
        </w:rPr>
        <w:t>с целью организации практикумов, стажировок и конкурсов профессионального мастерства среди студентов и молодых специалистов.</w:t>
      </w:r>
    </w:p>
    <w:p w14:paraId="01F56A13"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формирование реестра кадровых резервов в области туризма </w:t>
      </w:r>
      <w:r w:rsidRPr="00AB3E2D">
        <w:rPr>
          <w:rFonts w:ascii="PT Astra Serif" w:eastAsia="Calibri" w:hAnsi="PT Astra Serif" w:cs="Times New Roman"/>
          <w:szCs w:val="28"/>
        </w:rPr>
        <w:br/>
        <w:t xml:space="preserve">и гостеприимства, включающего выпускников высших учебных заведений </w:t>
      </w:r>
      <w:r w:rsidRPr="00AB3E2D">
        <w:rPr>
          <w:rFonts w:ascii="PT Astra Serif" w:eastAsia="Calibri" w:hAnsi="PT Astra Serif" w:cs="Times New Roman"/>
          <w:szCs w:val="28"/>
        </w:rPr>
        <w:br/>
        <w:t xml:space="preserve">и учреждений среднего профессионального образования, заинтересованных </w:t>
      </w:r>
      <w:r w:rsidRPr="00AB3E2D">
        <w:rPr>
          <w:rFonts w:ascii="PT Astra Serif" w:eastAsia="Calibri" w:hAnsi="PT Astra Serif" w:cs="Times New Roman"/>
          <w:szCs w:val="28"/>
        </w:rPr>
        <w:br/>
        <w:t>в развитии карьеры в регионе.</w:t>
      </w:r>
    </w:p>
    <w:p w14:paraId="3EF31A38" w14:textId="3E8BA69C"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активизация взаимодействия региональных вузов с ведущими компаниями туристического рынка посредством заключения соглашений </w:t>
      </w:r>
      <w:r w:rsidR="003D41AF">
        <w:rPr>
          <w:rFonts w:ascii="PT Astra Serif" w:eastAsia="Calibri" w:hAnsi="PT Astra Serif" w:cs="Times New Roman"/>
          <w:szCs w:val="28"/>
        </w:rPr>
        <w:br/>
      </w:r>
      <w:r w:rsidRPr="00AB3E2D">
        <w:rPr>
          <w:rFonts w:ascii="PT Astra Serif" w:eastAsia="Calibri" w:hAnsi="PT Astra Serif" w:cs="Times New Roman"/>
          <w:szCs w:val="28"/>
        </w:rPr>
        <w:t>о сотрудничестве и создания совместных центров компетенций и передового опыта.</w:t>
      </w:r>
    </w:p>
    <w:p w14:paraId="0F419C7B" w14:textId="77777777" w:rsidR="00AB3E2D" w:rsidRPr="003D41AF" w:rsidRDefault="00AB3E2D" w:rsidP="00AB3E2D">
      <w:pPr>
        <w:widowControl w:val="0"/>
        <w:rPr>
          <w:rFonts w:ascii="PT Astra Serif" w:eastAsia="Calibri" w:hAnsi="PT Astra Serif" w:cs="Times New Roman"/>
          <w:spacing w:val="-20"/>
          <w:szCs w:val="28"/>
        </w:rPr>
      </w:pPr>
      <w:r w:rsidRPr="00AB3E2D">
        <w:rPr>
          <w:rFonts w:ascii="PT Astra Serif" w:eastAsia="Calibri" w:hAnsi="PT Astra Serif" w:cs="Times New Roman"/>
          <w:szCs w:val="28"/>
        </w:rPr>
        <w:t xml:space="preserve">Реализация указанных мероприятий позволит повысить качество подготовки кадров и обеспечить отрасль квалифицированными </w:t>
      </w:r>
      <w:r w:rsidRPr="00AB3E2D">
        <w:rPr>
          <w:rFonts w:ascii="PT Astra Serif" w:eastAsia="Calibri" w:hAnsi="PT Astra Serif" w:cs="Times New Roman"/>
          <w:szCs w:val="28"/>
        </w:rPr>
        <w:lastRenderedPageBreak/>
        <w:t xml:space="preserve">специалистами, что станет основой для развития туристической </w:t>
      </w:r>
      <w:r w:rsidRPr="003D41AF">
        <w:rPr>
          <w:rFonts w:ascii="PT Astra Serif" w:eastAsia="Calibri" w:hAnsi="PT Astra Serif" w:cs="Times New Roman"/>
          <w:spacing w:val="-20"/>
          <w:szCs w:val="28"/>
        </w:rPr>
        <w:t>сферы региона.</w:t>
      </w:r>
    </w:p>
    <w:p w14:paraId="2A416F42" w14:textId="77777777" w:rsidR="00D451A4" w:rsidRDefault="00D451A4" w:rsidP="00AB3E2D">
      <w:pPr>
        <w:widowControl w:val="0"/>
        <w:ind w:firstLine="0"/>
        <w:jc w:val="center"/>
        <w:rPr>
          <w:rFonts w:ascii="PT Astra Serif" w:eastAsia="Calibri" w:hAnsi="PT Astra Serif" w:cs="Times New Roman"/>
          <w:b/>
          <w:szCs w:val="28"/>
        </w:rPr>
      </w:pPr>
    </w:p>
    <w:p w14:paraId="66A743D4" w14:textId="03032224"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Итоги реализации национальных проектов</w:t>
      </w:r>
    </w:p>
    <w:p w14:paraId="2D7EFA46" w14:textId="5539164E" w:rsidR="00AB3E2D" w:rsidRPr="00AB3E2D" w:rsidRDefault="00AB3E2D" w:rsidP="00AB3E2D">
      <w:pPr>
        <w:widowControl w:val="0"/>
        <w:ind w:firstLine="0"/>
        <w:jc w:val="center"/>
        <w:rPr>
          <w:rFonts w:ascii="PT Astra Serif" w:eastAsia="Calibri" w:hAnsi="PT Astra Serif" w:cs="Times New Roman"/>
          <w:b/>
          <w:i/>
          <w:iCs/>
          <w:szCs w:val="28"/>
        </w:rPr>
      </w:pPr>
      <w:r w:rsidRPr="00AB3E2D">
        <w:rPr>
          <w:rFonts w:ascii="PT Astra Serif" w:eastAsia="Calibri" w:hAnsi="PT Astra Serif" w:cs="Times New Roman"/>
          <w:b/>
          <w:i/>
          <w:iCs/>
          <w:szCs w:val="28"/>
        </w:rPr>
        <w:t>Показатели национальных проектов цикла 2025</w:t>
      </w:r>
      <w:r w:rsidR="00010FD7">
        <w:rPr>
          <w:rFonts w:ascii="PT Astra Serif" w:eastAsia="Calibri" w:hAnsi="PT Astra Serif" w:cs="Times New Roman"/>
          <w:b/>
          <w:i/>
          <w:iCs/>
          <w:szCs w:val="28"/>
        </w:rPr>
        <w:t xml:space="preserve"> </w:t>
      </w:r>
      <w:r w:rsidRPr="00AB3E2D">
        <w:rPr>
          <w:rFonts w:ascii="PT Astra Serif" w:eastAsia="Calibri" w:hAnsi="PT Astra Serif" w:cs="Times New Roman"/>
          <w:b/>
          <w:i/>
          <w:iCs/>
          <w:szCs w:val="28"/>
        </w:rPr>
        <w:t>–</w:t>
      </w:r>
      <w:r w:rsidR="00010FD7">
        <w:rPr>
          <w:rFonts w:ascii="PT Astra Serif" w:eastAsia="Calibri" w:hAnsi="PT Astra Serif" w:cs="Times New Roman"/>
          <w:b/>
          <w:i/>
          <w:iCs/>
          <w:szCs w:val="28"/>
        </w:rPr>
        <w:t xml:space="preserve"> </w:t>
      </w:r>
      <w:r w:rsidRPr="00AB3E2D">
        <w:rPr>
          <w:rFonts w:ascii="PT Astra Serif" w:eastAsia="Calibri" w:hAnsi="PT Astra Serif" w:cs="Times New Roman"/>
          <w:b/>
          <w:i/>
          <w:iCs/>
          <w:szCs w:val="28"/>
        </w:rPr>
        <w:t>2030 годов</w:t>
      </w:r>
    </w:p>
    <w:p w14:paraId="7B541E67" w14:textId="77777777" w:rsidR="00AB3E2D" w:rsidRPr="00AB3E2D" w:rsidRDefault="00AB3E2D" w:rsidP="00AB3E2D">
      <w:pPr>
        <w:widowControl w:val="0"/>
        <w:tabs>
          <w:tab w:val="left" w:pos="2856"/>
        </w:tabs>
        <w:contextualSpacing/>
        <w:rPr>
          <w:rFonts w:ascii="PT Astra Serif" w:eastAsia="Calibri" w:hAnsi="PT Astra Serif" w:cs="Times New Roman"/>
          <w:color w:val="000000"/>
          <w:szCs w:val="28"/>
          <w:shd w:val="clear" w:color="auto" w:fill="FFFFFF"/>
        </w:rPr>
      </w:pPr>
    </w:p>
    <w:p w14:paraId="651F407D" w14:textId="77777777" w:rsidR="00AB3E2D" w:rsidRPr="00AB3E2D" w:rsidRDefault="00AB3E2D" w:rsidP="00AB3E2D">
      <w:pPr>
        <w:widowControl w:val="0"/>
        <w:tabs>
          <w:tab w:val="left" w:pos="2856"/>
        </w:tabs>
        <w:contextualSpacing/>
        <w:rPr>
          <w:rFonts w:ascii="PT Astra Serif" w:eastAsia="Calibri" w:hAnsi="PT Astra Serif" w:cs="Times New Roman"/>
          <w:color w:val="000000"/>
          <w:szCs w:val="28"/>
          <w:shd w:val="clear" w:color="auto" w:fill="FFFFFF"/>
        </w:rPr>
      </w:pPr>
      <w:r w:rsidRPr="00AB3E2D">
        <w:rPr>
          <w:rFonts w:ascii="PT Astra Serif" w:eastAsia="Calibri" w:hAnsi="PT Astra Serif" w:cs="Times New Roman"/>
          <w:color w:val="000000"/>
          <w:szCs w:val="28"/>
          <w:shd w:val="clear" w:color="auto" w:fill="FFFFFF"/>
        </w:rPr>
        <w:t xml:space="preserve">Показателем </w:t>
      </w:r>
      <w:r w:rsidRPr="00AB3E2D">
        <w:rPr>
          <w:rFonts w:ascii="PT Astra Serif" w:eastAsia="Calibri" w:hAnsi="PT Astra Serif" w:cs="Times New Roman"/>
          <w:b/>
          <w:szCs w:val="28"/>
        </w:rPr>
        <w:t xml:space="preserve">регионального проекта «Создание номерного фонда, инфраструктуры и новых точек притяжения» (Ульяновская область), входящего в национальный проект «Туризм и гостеприимство» </w:t>
      </w:r>
      <w:r w:rsidRPr="00AB3E2D">
        <w:rPr>
          <w:rFonts w:ascii="PT Astra Serif" w:eastAsia="Calibri" w:hAnsi="PT Astra Serif" w:cs="Times New Roman"/>
          <w:color w:val="000000"/>
          <w:szCs w:val="28"/>
          <w:shd w:val="clear" w:color="auto" w:fill="FFFFFF"/>
        </w:rPr>
        <w:t>является «Количество туристических поездок по территории Российской Федерации». Плановое значение этого показателя для Ульяновской области на 2025 год составляет 0,5 млн штук. По данным официальной государственной статистики, за период с января по декабрь 2025 года данный показатель составляет 0,5166 млн штук.</w:t>
      </w:r>
    </w:p>
    <w:p w14:paraId="7AF9EAFA" w14:textId="77777777" w:rsidR="00AB3E2D" w:rsidRPr="00AB3E2D" w:rsidRDefault="00AB3E2D" w:rsidP="00FD65E0">
      <w:pPr>
        <w:widowControl w:val="0"/>
        <w:tabs>
          <w:tab w:val="left" w:pos="2856"/>
        </w:tabs>
        <w:ind w:firstLine="0"/>
        <w:contextualSpacing/>
        <w:jc w:val="center"/>
        <w:rPr>
          <w:rFonts w:ascii="PT Astra Serif" w:eastAsia="Calibri" w:hAnsi="PT Astra Serif" w:cs="Times New Roman"/>
          <w:color w:val="000000"/>
          <w:szCs w:val="28"/>
          <w:shd w:val="clear" w:color="auto" w:fill="FFFFFF"/>
        </w:rPr>
      </w:pPr>
      <w:r w:rsidRPr="00AB3E2D">
        <w:rPr>
          <w:rFonts w:ascii="PT Astra Serif" w:eastAsia="Calibri" w:hAnsi="PT Astra Serif" w:cs="Times New Roman"/>
          <w:noProof/>
          <w:color w:val="000000"/>
          <w:szCs w:val="28"/>
          <w:shd w:val="clear" w:color="auto" w:fill="FFFFFF"/>
          <w:lang w:eastAsia="ru-RU"/>
        </w:rPr>
        <w:drawing>
          <wp:inline distT="0" distB="0" distL="0" distR="0" wp14:anchorId="386B8A76" wp14:editId="6730DDD5">
            <wp:extent cx="5640732" cy="2099145"/>
            <wp:effectExtent l="0" t="0" r="0" b="0"/>
            <wp:docPr id="6"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20FB78E" w14:textId="77777777" w:rsidR="00BC3433" w:rsidRDefault="00AB3E2D" w:rsidP="00BC3433">
      <w:pPr>
        <w:widowControl w:val="0"/>
        <w:tabs>
          <w:tab w:val="left" w:pos="2856"/>
        </w:tabs>
        <w:contextualSpacing/>
        <w:rPr>
          <w:rFonts w:ascii="PT Astra Serif" w:eastAsia="Calibri" w:hAnsi="PT Astra Serif" w:cs="Times New Roman"/>
          <w:i/>
          <w:color w:val="000000"/>
          <w:sz w:val="24"/>
          <w:szCs w:val="24"/>
          <w:shd w:val="clear" w:color="auto" w:fill="FFFFFF"/>
        </w:rPr>
      </w:pPr>
      <w:r w:rsidRPr="00717250">
        <w:rPr>
          <w:rFonts w:ascii="PT Astra Serif" w:eastAsia="Calibri" w:hAnsi="PT Astra Serif" w:cs="Times New Roman"/>
          <w:b/>
          <w:i/>
          <w:color w:val="000000"/>
          <w:sz w:val="24"/>
          <w:szCs w:val="24"/>
          <w:u w:val="single"/>
          <w:shd w:val="clear" w:color="auto" w:fill="FFFFFF"/>
        </w:rPr>
        <w:t>Справочно:</w:t>
      </w:r>
      <w:r w:rsidRPr="00717250">
        <w:rPr>
          <w:rFonts w:ascii="PT Astra Serif" w:eastAsia="Calibri" w:hAnsi="PT Astra Serif" w:cs="Times New Roman"/>
          <w:i/>
          <w:color w:val="000000"/>
          <w:sz w:val="24"/>
          <w:szCs w:val="24"/>
          <w:shd w:val="clear" w:color="auto" w:fill="FFFFFF"/>
        </w:rPr>
        <w:t xml:space="preserve"> </w:t>
      </w:r>
    </w:p>
    <w:p w14:paraId="2ECBFD44" w14:textId="77777777" w:rsidR="00BC3433" w:rsidRDefault="00BC3433" w:rsidP="00BC3433">
      <w:pPr>
        <w:widowControl w:val="0"/>
        <w:tabs>
          <w:tab w:val="left" w:pos="2856"/>
        </w:tabs>
        <w:contextualSpacing/>
        <w:rPr>
          <w:rFonts w:ascii="PT Astra Serif" w:eastAsia="Calibri" w:hAnsi="PT Astra Serif" w:cs="Times New Roman"/>
          <w:i/>
          <w:color w:val="000000"/>
          <w:sz w:val="24"/>
          <w:szCs w:val="24"/>
          <w:shd w:val="clear" w:color="auto" w:fill="FFFFFF"/>
        </w:rPr>
      </w:pPr>
      <w:r>
        <w:rPr>
          <w:rFonts w:ascii="PT Astra Serif" w:eastAsia="Calibri" w:hAnsi="PT Astra Serif" w:cs="Times New Roman"/>
          <w:i/>
          <w:color w:val="000000"/>
          <w:sz w:val="24"/>
          <w:szCs w:val="24"/>
          <w:shd w:val="clear" w:color="auto" w:fill="FFFFFF"/>
        </w:rPr>
        <w:t>П</w:t>
      </w:r>
      <w:r w:rsidR="00AB3E2D" w:rsidRPr="00717250">
        <w:rPr>
          <w:rFonts w:ascii="PT Astra Serif" w:eastAsia="Calibri" w:hAnsi="PT Astra Serif" w:cs="Times New Roman"/>
          <w:i/>
          <w:color w:val="000000"/>
          <w:sz w:val="24"/>
          <w:szCs w:val="24"/>
          <w:shd w:val="clear" w:color="auto" w:fill="FFFFFF"/>
        </w:rPr>
        <w:t>ри расчёте показателя «Число туристских поездок» в рамках государственной программы «Развитие туризма» в 2024 году применялся показатель «Численность размещенных лиц в коллективных средствах размещения»</w:t>
      </w:r>
      <w:r w:rsidR="00AB3E2D" w:rsidRPr="00717250">
        <w:rPr>
          <w:rFonts w:ascii="PT Astra Serif" w:eastAsia="Calibri" w:hAnsi="PT Astra Serif" w:cs="Times New Roman"/>
          <w:sz w:val="24"/>
          <w:szCs w:val="24"/>
        </w:rPr>
        <w:t xml:space="preserve">. </w:t>
      </w:r>
      <w:r w:rsidR="00AB3E2D" w:rsidRPr="00717250">
        <w:rPr>
          <w:rFonts w:ascii="PT Astra Serif" w:eastAsia="Calibri" w:hAnsi="PT Astra Serif" w:cs="Times New Roman"/>
          <w:i/>
          <w:color w:val="000000"/>
          <w:sz w:val="24"/>
          <w:szCs w:val="24"/>
          <w:shd w:val="clear" w:color="auto" w:fill="FFFFFF"/>
        </w:rPr>
        <w:t>В соответствии со статистическими данными, предоставляемыми Федеральной службой государственной статистики (Росстатом), фактическое значение показателя составило - 0,47млн человек (плановое значение показателя – 0,36 млн человек).</w:t>
      </w:r>
      <w:r>
        <w:rPr>
          <w:rFonts w:ascii="PT Astra Serif" w:eastAsia="Calibri" w:hAnsi="PT Astra Serif" w:cs="Times New Roman"/>
          <w:i/>
          <w:color w:val="000000"/>
          <w:sz w:val="24"/>
          <w:szCs w:val="24"/>
          <w:shd w:val="clear" w:color="auto" w:fill="FFFFFF"/>
        </w:rPr>
        <w:t xml:space="preserve"> </w:t>
      </w:r>
    </w:p>
    <w:p w14:paraId="1CF1306B" w14:textId="35EBB6AE" w:rsidR="00AB3E2D" w:rsidRPr="00717250" w:rsidRDefault="00AB3E2D" w:rsidP="00BC3433">
      <w:pPr>
        <w:widowControl w:val="0"/>
        <w:tabs>
          <w:tab w:val="left" w:pos="2856"/>
        </w:tabs>
        <w:contextualSpacing/>
        <w:rPr>
          <w:rFonts w:ascii="PT Astra Serif" w:eastAsia="Calibri" w:hAnsi="PT Astra Serif" w:cs="Times New Roman"/>
          <w:i/>
          <w:color w:val="000000"/>
          <w:sz w:val="24"/>
          <w:szCs w:val="24"/>
          <w:shd w:val="clear" w:color="auto" w:fill="FFFFFF"/>
        </w:rPr>
      </w:pPr>
      <w:r w:rsidRPr="00717250">
        <w:rPr>
          <w:rFonts w:ascii="PT Astra Serif" w:eastAsia="Calibri" w:hAnsi="PT Astra Serif" w:cs="Times New Roman"/>
          <w:i/>
          <w:color w:val="000000"/>
          <w:sz w:val="24"/>
          <w:szCs w:val="24"/>
          <w:shd w:val="clear" w:color="auto" w:fill="FFFFFF"/>
        </w:rPr>
        <w:t>С 2025 года применяется показатель «Количество туристических поездок по территории Российской Федерации».</w:t>
      </w:r>
    </w:p>
    <w:p w14:paraId="6BDB40A6" w14:textId="77777777" w:rsidR="00AB3E2D" w:rsidRPr="00AB3E2D" w:rsidRDefault="00AB3E2D" w:rsidP="00AB3E2D">
      <w:pPr>
        <w:widowControl w:val="0"/>
        <w:tabs>
          <w:tab w:val="left" w:pos="2856"/>
        </w:tabs>
        <w:contextualSpacing/>
        <w:rPr>
          <w:rFonts w:ascii="PT Astra Serif" w:eastAsia="Calibri" w:hAnsi="PT Astra Serif" w:cs="Times New Roman"/>
          <w:i/>
          <w:color w:val="000000"/>
          <w:szCs w:val="24"/>
          <w:shd w:val="clear" w:color="auto" w:fill="FFFFFF"/>
        </w:rPr>
      </w:pPr>
    </w:p>
    <w:p w14:paraId="554C20F5" w14:textId="0943F7ED"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Показатели национального проекта «Туризм и индустрия гостеприимства»</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регионального проекта «Развитие туристической инфраструктуры (Ульяновская область)»:</w:t>
      </w:r>
    </w:p>
    <w:p w14:paraId="64992C32" w14:textId="072A2E58"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количество общественных инициатив, направленных на развитие туризма в 2022 году -2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xml:space="preserve">. ед., в 2023 году- 0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ед., в 2024 году– 0</w:t>
      </w:r>
      <w:r w:rsidR="00717250">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ед.;</w:t>
      </w:r>
    </w:p>
    <w:p w14:paraId="63416828" w14:textId="0EE1E210"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количество предпринимательских инициатив, направленных на развитие туризма, обеспеченных грантовой поддержкой в 2022 году -6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xml:space="preserve">. ед., в 2023 году- 0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xml:space="preserve">. ед., в 2024 году – 0 </w:t>
      </w:r>
      <w:proofErr w:type="spellStart"/>
      <w:r w:rsidRPr="00AB3E2D">
        <w:rPr>
          <w:rFonts w:ascii="PT Astra Serif" w:eastAsia="Calibri" w:hAnsi="PT Astra Serif" w:cs="Times New Roman"/>
          <w:szCs w:val="28"/>
        </w:rPr>
        <w:t>усл</w:t>
      </w:r>
      <w:proofErr w:type="spellEnd"/>
      <w:r w:rsidRPr="00AB3E2D">
        <w:rPr>
          <w:rFonts w:ascii="PT Astra Serif" w:eastAsia="Calibri" w:hAnsi="PT Astra Serif" w:cs="Times New Roman"/>
          <w:szCs w:val="28"/>
        </w:rPr>
        <w:t>. ед.</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Все заявленные показатели выполнены в срок. Национальный проект «Туризм и индустрия гостеприимства» успешно реализован и в 2024 году завершён.</w:t>
      </w:r>
    </w:p>
    <w:p w14:paraId="5F45B93F" w14:textId="5F473519"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Результатом Регионального проекта «Создание номерного фонда, инфраструктуры и новых точек притяжения» (Ульяновская область)- «Реализованы мероприятия субъектами Российской Федерации в рамках </w:t>
      </w:r>
      <w:r w:rsidRPr="00AB3E2D">
        <w:rPr>
          <w:rFonts w:ascii="PT Astra Serif" w:eastAsia="Calibri" w:hAnsi="PT Astra Serif" w:cs="Times New Roman"/>
          <w:szCs w:val="28"/>
        </w:rPr>
        <w:lastRenderedPageBreak/>
        <w:t xml:space="preserve">предоставления единой субсидии из федерального бюджета бюджетам субъектов Российской Федерации». Плановое значение результата – 1 в 2025 году, перенесён на 01 </w:t>
      </w:r>
      <w:r w:rsidR="00717250">
        <w:rPr>
          <w:rFonts w:ascii="PT Astra Serif" w:eastAsia="Calibri" w:hAnsi="PT Astra Serif" w:cs="Times New Roman"/>
          <w:szCs w:val="28"/>
        </w:rPr>
        <w:t>июля</w:t>
      </w:r>
      <w:r w:rsidRPr="00AB3E2D">
        <w:rPr>
          <w:rFonts w:ascii="PT Astra Serif" w:eastAsia="Calibri" w:hAnsi="PT Astra Serif" w:cs="Times New Roman"/>
          <w:szCs w:val="28"/>
        </w:rPr>
        <w:t xml:space="preserve"> 2026 года. </w:t>
      </w:r>
    </w:p>
    <w:p w14:paraId="1017EE2B" w14:textId="77777777" w:rsidR="00AB3E2D" w:rsidRPr="00AB3E2D" w:rsidRDefault="00AB3E2D" w:rsidP="00AB3E2D">
      <w:pPr>
        <w:widowControl w:val="0"/>
        <w:rPr>
          <w:rFonts w:ascii="PT Astra Serif" w:eastAsia="Calibri" w:hAnsi="PT Astra Serif" w:cs="Times New Roman"/>
          <w:b/>
          <w:szCs w:val="28"/>
        </w:rPr>
      </w:pPr>
    </w:p>
    <w:p w14:paraId="011898C7" w14:textId="77777777"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Итоги 2025 года</w:t>
      </w:r>
    </w:p>
    <w:p w14:paraId="27A9C3C4" w14:textId="77777777" w:rsidR="00AB3E2D" w:rsidRPr="00AB3E2D" w:rsidRDefault="00AB3E2D" w:rsidP="00AB3E2D">
      <w:pPr>
        <w:widowControl w:val="0"/>
        <w:ind w:firstLine="0"/>
        <w:jc w:val="center"/>
        <w:rPr>
          <w:rFonts w:ascii="PT Astra Serif" w:eastAsia="Calibri" w:hAnsi="PT Astra Serif" w:cs="Times New Roman"/>
          <w:b/>
          <w:szCs w:val="28"/>
        </w:rPr>
      </w:pPr>
    </w:p>
    <w:p w14:paraId="36C7F5E5" w14:textId="77777777" w:rsidR="00AB3E2D" w:rsidRPr="00AB3E2D" w:rsidRDefault="00AB3E2D" w:rsidP="00AB3E2D">
      <w:pPr>
        <w:widowControl w:val="0"/>
        <w:rPr>
          <w:rFonts w:ascii="PT Astra Serif" w:eastAsia="Calibri" w:hAnsi="PT Astra Serif" w:cs="Times New Roman"/>
          <w:b/>
          <w:i/>
          <w:iCs/>
          <w:szCs w:val="28"/>
        </w:rPr>
      </w:pPr>
      <w:r w:rsidRPr="00AB3E2D">
        <w:rPr>
          <w:rFonts w:ascii="PT Astra Serif" w:eastAsia="Calibri" w:hAnsi="PT Astra Serif" w:cs="Times New Roman"/>
          <w:b/>
          <w:i/>
          <w:iCs/>
          <w:szCs w:val="28"/>
        </w:rPr>
        <w:t>Задачи, поставленные в 2025 году и основания для поставки:</w:t>
      </w:r>
    </w:p>
    <w:p w14:paraId="3031204E" w14:textId="77777777" w:rsidR="00AB3E2D" w:rsidRPr="00AB3E2D" w:rsidRDefault="00AB3E2D" w:rsidP="00AB3E2D">
      <w:pPr>
        <w:widowControl w:val="0"/>
        <w:contextualSpacing/>
        <w:rPr>
          <w:rFonts w:ascii="PT Astra Serif" w:eastAsia="Calibri" w:hAnsi="PT Astra Serif" w:cs="Calibri"/>
          <w:b/>
          <w:szCs w:val="28"/>
        </w:rPr>
      </w:pPr>
      <w:r w:rsidRPr="00AB3E2D">
        <w:rPr>
          <w:rFonts w:ascii="PT Astra Serif" w:eastAsia="Calibri" w:hAnsi="PT Astra Serif" w:cs="Calibri"/>
          <w:szCs w:val="28"/>
        </w:rPr>
        <w:t>Указ Президента РФ от 07.05.2024 № 309 «О национальных целях развития Российской Федерации на период до 2030 года и на перспективу до 2036 года»;</w:t>
      </w:r>
    </w:p>
    <w:p w14:paraId="67B124DA" w14:textId="265DC290" w:rsidR="00AB3E2D" w:rsidRPr="00AB3E2D" w:rsidRDefault="00AB3E2D" w:rsidP="00AB3E2D">
      <w:pPr>
        <w:widowControl w:val="0"/>
        <w:contextualSpacing/>
        <w:rPr>
          <w:rFonts w:ascii="PT Astra Serif" w:eastAsia="Calibri" w:hAnsi="PT Astra Serif" w:cs="Calibri"/>
          <w:b/>
          <w:szCs w:val="28"/>
        </w:rPr>
      </w:pPr>
      <w:r w:rsidRPr="00AB3E2D">
        <w:rPr>
          <w:rFonts w:ascii="PT Astra Serif" w:eastAsia="Calibri" w:hAnsi="PT Astra Serif" w:cs="Calibri"/>
          <w:szCs w:val="28"/>
        </w:rPr>
        <w:t>Перечень поручений Президента РФ в рамках реализации Программы развития автомобильного туризма на период до 2035 года.</w:t>
      </w:r>
    </w:p>
    <w:p w14:paraId="3A82F81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 рамках исполнения Указа Президента РФ от 07.05.2024 № 309</w:t>
      </w:r>
      <w:r w:rsidRPr="00AB3E2D">
        <w:rPr>
          <w:rFonts w:ascii="PT Astra Serif" w:eastAsia="Calibri" w:hAnsi="PT Astra Serif" w:cs="Times New Roman"/>
          <w:szCs w:val="28"/>
        </w:rPr>
        <w:br/>
        <w:t xml:space="preserve">«О национальных целях развития Российской Федерации на период до 2030 года и на перспективу до 2036 года» на территории Ульяновской области реализуется региональный проект «Создание номерного фонда, инфраструктуры и новых точек притяжения», входящий в национальный проект «Туризм и гостеприимство». </w:t>
      </w:r>
    </w:p>
    <w:p w14:paraId="4D741D3D"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Задачи проекта:</w:t>
      </w:r>
    </w:p>
    <w:p w14:paraId="7A927E4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увеличение туристических поездок в Ульяновскую область;</w:t>
      </w:r>
    </w:p>
    <w:p w14:paraId="61046BA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развитие туристической отрасли в Ульяновской области, в том числе создание и модернизация туристской инфраструктуры.</w:t>
      </w:r>
    </w:p>
    <w:p w14:paraId="01A390B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повышение доступности туристских услуг.</w:t>
      </w:r>
    </w:p>
    <w:p w14:paraId="7AF346D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Для решения задач проведены конкурсные </w:t>
      </w:r>
      <w:proofErr w:type="spellStart"/>
      <w:r w:rsidRPr="00AB3E2D">
        <w:rPr>
          <w:rFonts w:ascii="PT Astra Serif" w:eastAsia="Calibri" w:hAnsi="PT Astra Serif" w:cs="Times New Roman"/>
          <w:szCs w:val="28"/>
        </w:rPr>
        <w:t>отборына</w:t>
      </w:r>
      <w:proofErr w:type="spellEnd"/>
      <w:r w:rsidRPr="00AB3E2D">
        <w:rPr>
          <w:rFonts w:ascii="PT Astra Serif" w:eastAsia="Calibri" w:hAnsi="PT Astra Serif" w:cs="Times New Roman"/>
          <w:szCs w:val="28"/>
        </w:rPr>
        <w:t xml:space="preserve"> предоставление государственной поддержки в виде предоставления субсидий:</w:t>
      </w:r>
    </w:p>
    <w:p w14:paraId="61F0C2AD" w14:textId="74BA95D6"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szCs w:val="28"/>
        </w:rPr>
        <w:t>на продвижение событийных мероприятий, направленных на развитие туризма в Ульяновской области. Поддержано 35 мероприятий, общий объём выделенных денежных средств составил 41,9</w:t>
      </w:r>
      <w:r w:rsidR="00BC3433">
        <w:rPr>
          <w:rFonts w:ascii="PT Astra Serif" w:eastAsia="Calibri" w:hAnsi="PT Astra Serif" w:cs="Calibri"/>
          <w:szCs w:val="28"/>
        </w:rPr>
        <w:t xml:space="preserve"> млн </w:t>
      </w:r>
      <w:r w:rsidRPr="00AB3E2D">
        <w:rPr>
          <w:rFonts w:ascii="PT Astra Serif" w:eastAsia="Calibri" w:hAnsi="PT Astra Serif" w:cs="Calibri"/>
          <w:szCs w:val="28"/>
        </w:rPr>
        <w:t>рублей</w:t>
      </w:r>
      <w:r w:rsidR="00BC3433">
        <w:rPr>
          <w:rFonts w:ascii="PT Astra Serif" w:eastAsia="Calibri" w:hAnsi="PT Astra Serif" w:cs="Calibri"/>
          <w:szCs w:val="28"/>
        </w:rPr>
        <w:t>,</w:t>
      </w:r>
      <w:r w:rsidRPr="00AB3E2D">
        <w:rPr>
          <w:rFonts w:ascii="PT Astra Serif" w:eastAsia="Calibri" w:hAnsi="PT Astra Serif" w:cs="Calibri"/>
          <w:szCs w:val="28"/>
        </w:rPr>
        <w:t xml:space="preserve"> объём частных инвестиций – 17 млн рублей. Мероприятия посетили более 550 000 </w:t>
      </w:r>
      <w:proofErr w:type="spellStart"/>
      <w:r w:rsidRPr="00AB3E2D">
        <w:rPr>
          <w:rFonts w:ascii="PT Astra Serif" w:eastAsia="Calibri" w:hAnsi="PT Astra Serif" w:cs="Calibri"/>
          <w:szCs w:val="28"/>
        </w:rPr>
        <w:t>ульяновцев</w:t>
      </w:r>
      <w:proofErr w:type="spellEnd"/>
      <w:r w:rsidRPr="00AB3E2D">
        <w:rPr>
          <w:rFonts w:ascii="PT Astra Serif" w:eastAsia="Calibri" w:hAnsi="PT Astra Serif" w:cs="Calibri"/>
          <w:szCs w:val="28"/>
        </w:rPr>
        <w:t xml:space="preserve"> и гостей региона.</w:t>
      </w:r>
    </w:p>
    <w:p w14:paraId="6C694AE0" w14:textId="51E4A12B"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color w:val="000000"/>
          <w:szCs w:val="28"/>
        </w:rPr>
        <w:t xml:space="preserve">на </w:t>
      </w:r>
      <w:r w:rsidRPr="00AB3E2D">
        <w:rPr>
          <w:rFonts w:ascii="PT Astra Serif" w:eastAsia="Calibri" w:hAnsi="PT Astra Serif" w:cs="Times New Roman"/>
          <w:szCs w:val="28"/>
        </w:rPr>
        <w:t xml:space="preserve">поддержку общественных инициатив, проектов юридических лиц </w:t>
      </w:r>
      <w:r w:rsidR="00BC3433">
        <w:rPr>
          <w:rFonts w:ascii="PT Astra Serif" w:eastAsia="Calibri" w:hAnsi="PT Astra Serif" w:cs="Times New Roman"/>
          <w:szCs w:val="28"/>
        </w:rPr>
        <w:br/>
      </w:r>
      <w:r w:rsidRPr="00AB3E2D">
        <w:rPr>
          <w:rFonts w:ascii="PT Astra Serif" w:eastAsia="Calibri" w:hAnsi="PT Astra Serif" w:cs="Times New Roman"/>
          <w:szCs w:val="28"/>
        </w:rPr>
        <w:t xml:space="preserve">и индивидуальных предпринимателей, направленных на развитие туристической инфраструктуры (ТИЦ). </w:t>
      </w:r>
      <w:r w:rsidRPr="00AB3E2D">
        <w:rPr>
          <w:rFonts w:ascii="PT Astra Serif" w:eastAsia="Calibri" w:hAnsi="PT Astra Serif" w:cs="Calibri"/>
          <w:szCs w:val="28"/>
        </w:rPr>
        <w:t>Поддержано 2 инвестиционных проекта, общий объём выделенных денежных средств составил 31,9</w:t>
      </w:r>
      <w:r w:rsidR="00B80AAC">
        <w:rPr>
          <w:rFonts w:ascii="PT Astra Serif" w:eastAsia="Calibri" w:hAnsi="PT Astra Serif" w:cs="Calibri"/>
          <w:szCs w:val="28"/>
        </w:rPr>
        <w:t xml:space="preserve"> </w:t>
      </w:r>
      <w:r w:rsidRPr="00AB3E2D">
        <w:rPr>
          <w:rFonts w:ascii="PT Astra Serif" w:eastAsia="Calibri" w:hAnsi="PT Astra Serif" w:cs="Calibri"/>
          <w:szCs w:val="28"/>
        </w:rPr>
        <w:t>млн рублей, объём частных инвестиций – 3,5 млн рублей.</w:t>
      </w:r>
    </w:p>
    <w:p w14:paraId="1E6A6006" w14:textId="0274A3B9" w:rsidR="00AB3E2D" w:rsidRPr="00AB3E2D" w:rsidRDefault="00AB3E2D" w:rsidP="00AB3E2D">
      <w:pPr>
        <w:widowControl w:val="0"/>
        <w:contextualSpacing/>
        <w:rPr>
          <w:rFonts w:ascii="PT Astra Serif" w:eastAsia="Calibri" w:hAnsi="PT Astra Serif" w:cs="Calibri"/>
          <w:szCs w:val="28"/>
        </w:rPr>
      </w:pPr>
      <w:r w:rsidRPr="00AB3E2D">
        <w:rPr>
          <w:rFonts w:ascii="PT Astra Serif" w:eastAsia="Calibri" w:hAnsi="PT Astra Serif" w:cs="Calibri"/>
          <w:color w:val="000000"/>
          <w:szCs w:val="28"/>
        </w:rPr>
        <w:t xml:space="preserve">на </w:t>
      </w:r>
      <w:r w:rsidRPr="00AB3E2D">
        <w:rPr>
          <w:rFonts w:ascii="PT Astra Serif" w:eastAsia="Calibri" w:hAnsi="PT Astra Serif" w:cs="Times New Roman"/>
          <w:szCs w:val="28"/>
        </w:rPr>
        <w:t>реализацию инвестиционных проектов по созданию модульных некапитальных средств размещения в 2025</w:t>
      </w:r>
      <w:r w:rsidR="00BC3433">
        <w:rPr>
          <w:rFonts w:ascii="PT Astra Serif" w:eastAsia="Calibri" w:hAnsi="PT Astra Serif" w:cs="Times New Roman"/>
          <w:szCs w:val="28"/>
        </w:rPr>
        <w:t xml:space="preserve"> </w:t>
      </w:r>
      <w:r w:rsidRPr="00AB3E2D">
        <w:rPr>
          <w:rFonts w:ascii="PT Astra Serif" w:eastAsia="Calibri" w:hAnsi="PT Astra Serif" w:cs="Times New Roman"/>
          <w:szCs w:val="28"/>
        </w:rPr>
        <w:t>-</w:t>
      </w:r>
      <w:r w:rsidR="00BC3433">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2027 годах. </w:t>
      </w:r>
      <w:r w:rsidRPr="00AB3E2D">
        <w:rPr>
          <w:rFonts w:ascii="PT Astra Serif" w:eastAsia="Calibri" w:hAnsi="PT Astra Serif" w:cs="Calibri"/>
          <w:szCs w:val="28"/>
        </w:rPr>
        <w:t>Поддержано 3 инвестиционных проекта в 2025</w:t>
      </w:r>
      <w:r w:rsidR="00BC3433">
        <w:rPr>
          <w:rFonts w:ascii="PT Astra Serif" w:eastAsia="Calibri" w:hAnsi="PT Astra Serif" w:cs="Calibri"/>
          <w:szCs w:val="28"/>
        </w:rPr>
        <w:t xml:space="preserve"> </w:t>
      </w:r>
      <w:r w:rsidRPr="00AB3E2D">
        <w:rPr>
          <w:rFonts w:ascii="PT Astra Serif" w:eastAsia="Calibri" w:hAnsi="PT Astra Serif" w:cs="Calibri"/>
          <w:szCs w:val="28"/>
        </w:rPr>
        <w:t>-</w:t>
      </w:r>
      <w:r w:rsidR="00BC3433">
        <w:rPr>
          <w:rFonts w:ascii="PT Astra Serif" w:eastAsia="Calibri" w:hAnsi="PT Astra Serif" w:cs="Calibri"/>
          <w:szCs w:val="28"/>
        </w:rPr>
        <w:t xml:space="preserve"> </w:t>
      </w:r>
      <w:r w:rsidRPr="00AB3E2D">
        <w:rPr>
          <w:rFonts w:ascii="PT Astra Serif" w:eastAsia="Calibri" w:hAnsi="PT Astra Serif" w:cs="Calibri"/>
          <w:szCs w:val="28"/>
        </w:rPr>
        <w:t>2027 годах, общий объём выделенных денежных средств составил 122,0 млн рублей, объём частных инвестиций – 198</w:t>
      </w:r>
      <w:r w:rsidR="00B80AAC">
        <w:rPr>
          <w:rFonts w:ascii="PT Astra Serif" w:eastAsia="Calibri" w:hAnsi="PT Astra Serif" w:cs="Calibri"/>
          <w:szCs w:val="28"/>
        </w:rPr>
        <w:t xml:space="preserve"> </w:t>
      </w:r>
      <w:r w:rsidRPr="00AB3E2D">
        <w:rPr>
          <w:rFonts w:ascii="PT Astra Serif" w:eastAsia="Calibri" w:hAnsi="PT Astra Serif" w:cs="Calibri"/>
          <w:szCs w:val="28"/>
        </w:rPr>
        <w:t>млн рублей.</w:t>
      </w:r>
      <w:r w:rsidR="00B80AAC">
        <w:rPr>
          <w:rFonts w:ascii="PT Astra Serif" w:eastAsia="Calibri" w:hAnsi="PT Astra Serif" w:cs="Calibri"/>
          <w:szCs w:val="28"/>
        </w:rPr>
        <w:t xml:space="preserve"> </w:t>
      </w:r>
      <w:r w:rsidRPr="00AB3E2D">
        <w:rPr>
          <w:rFonts w:ascii="PT Astra Serif" w:eastAsia="Calibri" w:hAnsi="PT Astra Serif" w:cs="Calibri"/>
          <w:szCs w:val="28"/>
        </w:rPr>
        <w:t>В 2025 году одобрен 1 инвестиционный проект объём выделенных денежных средств составил 16,7</w:t>
      </w:r>
      <w:r w:rsidR="00B80AAC">
        <w:rPr>
          <w:rFonts w:ascii="PT Astra Serif" w:eastAsia="Calibri" w:hAnsi="PT Astra Serif" w:cs="Calibri"/>
          <w:szCs w:val="28"/>
        </w:rPr>
        <w:t xml:space="preserve"> </w:t>
      </w:r>
      <w:r w:rsidRPr="00AB3E2D">
        <w:rPr>
          <w:rFonts w:ascii="PT Astra Serif" w:eastAsia="Calibri" w:hAnsi="PT Astra Serif" w:cs="Calibri"/>
          <w:szCs w:val="28"/>
        </w:rPr>
        <w:t>млн рублей,</w:t>
      </w:r>
      <w:r w:rsidR="00B80AAC">
        <w:rPr>
          <w:rFonts w:ascii="PT Astra Serif" w:eastAsia="Calibri" w:hAnsi="PT Astra Serif" w:cs="Calibri"/>
          <w:szCs w:val="28"/>
        </w:rPr>
        <w:t xml:space="preserve"> </w:t>
      </w:r>
      <w:r w:rsidRPr="00AB3E2D">
        <w:rPr>
          <w:rFonts w:ascii="PT Astra Serif" w:eastAsia="Calibri" w:hAnsi="PT Astra Serif" w:cs="Calibri"/>
          <w:szCs w:val="28"/>
        </w:rPr>
        <w:t>объём частных инвестиций – 18,6 млн руб.</w:t>
      </w:r>
    </w:p>
    <w:p w14:paraId="71F28857" w14:textId="5722C8D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Во исполнение перечня поручений Президента РФ</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в рамках реализации Программы развития автомобильного туризма на период до 2035 года</w:t>
      </w:r>
      <w:r w:rsidRPr="00AB3E2D">
        <w:rPr>
          <w:rFonts w:ascii="PT Astra Serif" w:eastAsia="Calibri" w:hAnsi="PT Astra Serif" w:cs="Times New Roman"/>
          <w:b/>
          <w:szCs w:val="28"/>
        </w:rPr>
        <w:t>,</w:t>
      </w:r>
      <w:r w:rsidR="00B80AAC">
        <w:rPr>
          <w:rFonts w:ascii="PT Astra Serif" w:eastAsia="Calibri" w:hAnsi="PT Astra Serif" w:cs="Times New Roman"/>
          <w:b/>
          <w:szCs w:val="28"/>
        </w:rPr>
        <w:t xml:space="preserve"> </w:t>
      </w:r>
      <w:r w:rsidRPr="00AB3E2D">
        <w:rPr>
          <w:rFonts w:ascii="PT Astra Serif" w:eastAsia="Calibri" w:hAnsi="PT Astra Serif" w:cs="Times New Roman"/>
          <w:szCs w:val="28"/>
        </w:rPr>
        <w:t xml:space="preserve">в 2025 году на территории региона действует 5 </w:t>
      </w:r>
      <w:proofErr w:type="spellStart"/>
      <w:r w:rsidRPr="00AB3E2D">
        <w:rPr>
          <w:rFonts w:ascii="PT Astra Serif" w:eastAsia="Calibri" w:hAnsi="PT Astra Serif" w:cs="Times New Roman"/>
          <w:szCs w:val="28"/>
        </w:rPr>
        <w:t>автомаршрутов</w:t>
      </w:r>
      <w:proofErr w:type="spellEnd"/>
      <w:r w:rsidRPr="00AB3E2D">
        <w:rPr>
          <w:rFonts w:ascii="PT Astra Serif" w:eastAsia="Calibri" w:hAnsi="PT Astra Serif" w:cs="Times New Roman"/>
          <w:szCs w:val="28"/>
        </w:rPr>
        <w:t>:</w:t>
      </w:r>
    </w:p>
    <w:p w14:paraId="00655A5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lastRenderedPageBreak/>
        <w:t xml:space="preserve">«Берег историй», проходящий через Чердаклинский, Старомайнский районы и город Димитровград; </w:t>
      </w:r>
    </w:p>
    <w:p w14:paraId="4B482C80"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«Горы и степи», посвящённый национальному парку «</w:t>
      </w:r>
      <w:proofErr w:type="spellStart"/>
      <w:r w:rsidRPr="00AB3E2D">
        <w:rPr>
          <w:rFonts w:ascii="PT Astra Serif" w:eastAsia="Calibri" w:hAnsi="PT Astra Serif" w:cs="Times New Roman"/>
          <w:szCs w:val="28"/>
        </w:rPr>
        <w:t>Сенгилеевские</w:t>
      </w:r>
      <w:proofErr w:type="spellEnd"/>
      <w:r w:rsidRPr="00AB3E2D">
        <w:rPr>
          <w:rFonts w:ascii="PT Astra Serif" w:eastAsia="Calibri" w:hAnsi="PT Astra Serif" w:cs="Times New Roman"/>
          <w:szCs w:val="28"/>
        </w:rPr>
        <w:t xml:space="preserve"> горы»; </w:t>
      </w:r>
    </w:p>
    <w:p w14:paraId="2AE0035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«Долина Волжского моря», включающий в себя экскурсии по </w:t>
      </w:r>
      <w:proofErr w:type="spellStart"/>
      <w:r w:rsidRPr="00AB3E2D">
        <w:rPr>
          <w:rFonts w:ascii="PT Astra Serif" w:eastAsia="Calibri" w:hAnsi="PT Astra Serif" w:cs="Times New Roman"/>
          <w:szCs w:val="28"/>
        </w:rPr>
        <w:t>геопарку</w:t>
      </w:r>
      <w:proofErr w:type="spellEnd"/>
      <w:r w:rsidRPr="00AB3E2D">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Ундория</w:t>
      </w:r>
      <w:proofErr w:type="spellEnd"/>
      <w:r w:rsidRPr="00AB3E2D">
        <w:rPr>
          <w:rFonts w:ascii="PT Astra Serif" w:eastAsia="Calibri" w:hAnsi="PT Astra Serif" w:cs="Times New Roman"/>
          <w:szCs w:val="28"/>
        </w:rPr>
        <w:t>» Ульяновского района;</w:t>
      </w:r>
    </w:p>
    <w:p w14:paraId="6EEDFF5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«Живописный край» – проект, посвящённый художнику А.А. </w:t>
      </w:r>
      <w:proofErr w:type="spellStart"/>
      <w:r w:rsidRPr="00AB3E2D">
        <w:rPr>
          <w:rFonts w:ascii="PT Astra Serif" w:eastAsia="Calibri" w:hAnsi="PT Astra Serif" w:cs="Times New Roman"/>
          <w:szCs w:val="28"/>
        </w:rPr>
        <w:t>Пластову</w:t>
      </w:r>
      <w:proofErr w:type="spellEnd"/>
      <w:r w:rsidRPr="00AB3E2D">
        <w:rPr>
          <w:rFonts w:ascii="PT Astra Serif" w:eastAsia="Calibri" w:hAnsi="PT Astra Serif" w:cs="Times New Roman"/>
          <w:szCs w:val="28"/>
        </w:rPr>
        <w:t xml:space="preserve"> и предлагающий посетить Карсунский и Сурский районы);</w:t>
      </w:r>
    </w:p>
    <w:p w14:paraId="3B69B6C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«Отдыхай телом и душой в Ульяновске» - двухдневный маршрут от Ульяновска до Старой Майны.</w:t>
      </w:r>
    </w:p>
    <w:p w14:paraId="6195A1AB" w14:textId="28DF71BB"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Два </w:t>
      </w:r>
      <w:proofErr w:type="spellStart"/>
      <w:r w:rsidRPr="00AB3E2D">
        <w:rPr>
          <w:rFonts w:ascii="PT Astra Serif" w:eastAsia="Calibri" w:hAnsi="PT Astra Serif" w:cs="Times New Roman"/>
          <w:szCs w:val="28"/>
        </w:rPr>
        <w:t>автомаршрута</w:t>
      </w:r>
      <w:proofErr w:type="spellEnd"/>
      <w:r w:rsidR="00BC3433">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вошли в каталог </w:t>
      </w:r>
      <w:proofErr w:type="spellStart"/>
      <w:r w:rsidRPr="00AB3E2D">
        <w:rPr>
          <w:rFonts w:ascii="PT Astra Serif" w:eastAsia="Calibri" w:hAnsi="PT Astra Serif" w:cs="Times New Roman"/>
          <w:szCs w:val="28"/>
        </w:rPr>
        <w:t>автомаршрутов</w:t>
      </w:r>
      <w:proofErr w:type="spellEnd"/>
      <w:r w:rsidRPr="00AB3E2D">
        <w:rPr>
          <w:rFonts w:ascii="PT Astra Serif" w:eastAsia="Calibri" w:hAnsi="PT Astra Serif" w:cs="Times New Roman"/>
          <w:szCs w:val="28"/>
        </w:rPr>
        <w:t xml:space="preserve"> России — удобное путеводное издание для всех, кто любит путешествовать по стране на автомобиле, разработанное Министерством экономического развития Российской Федерации совместно с Центром стратегических разработок </w:t>
      </w:r>
      <w:r w:rsidRPr="00AB3E2D">
        <w:rPr>
          <w:rFonts w:ascii="PT Astra Serif" w:eastAsia="Calibri" w:hAnsi="PT Astra Serif" w:cs="Times New Roman"/>
          <w:szCs w:val="28"/>
        </w:rPr>
        <w:br/>
        <w:t xml:space="preserve">в рамках реализации национального проекта «Туризм и гостеприимство». </w:t>
      </w:r>
      <w:r w:rsidRPr="00AB3E2D">
        <w:rPr>
          <w:rFonts w:ascii="PT Astra Serif" w:eastAsia="Calibri" w:hAnsi="PT Astra Serif" w:cs="Times New Roman"/>
          <w:szCs w:val="28"/>
        </w:rPr>
        <w:br/>
        <w:t>В каталоге представлены маршруты Ульяновской области («Горы и степи», «Отдыхай телом и душой в Ульяновске»), позволяющие открыть живописные берега Волги, исторические усадьбы, музеи и современные арт-пространства.</w:t>
      </w:r>
    </w:p>
    <w:p w14:paraId="446811D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Большая системная работа проводится по </w:t>
      </w:r>
      <w:r w:rsidRPr="00BC3433">
        <w:rPr>
          <w:rFonts w:ascii="PT Astra Serif" w:eastAsia="Calibri" w:hAnsi="PT Astra Serif" w:cs="Times New Roman"/>
          <w:b/>
          <w:szCs w:val="28"/>
        </w:rPr>
        <w:t>продвижению Ульяновской области</w:t>
      </w:r>
      <w:r w:rsidRPr="00AB3E2D">
        <w:rPr>
          <w:rFonts w:ascii="PT Astra Serif" w:eastAsia="Calibri" w:hAnsi="PT Astra Serif" w:cs="Times New Roman"/>
          <w:szCs w:val="28"/>
        </w:rPr>
        <w:t>. Так, в 2025 туристический потенциал Ульяновской области был представлен на Международных туристических выставках «</w:t>
      </w:r>
      <w:r w:rsidRPr="00AB3E2D">
        <w:rPr>
          <w:rFonts w:ascii="PT Astra Serif" w:eastAsia="Calibri" w:hAnsi="PT Astra Serif" w:cs="Times New Roman"/>
          <w:szCs w:val="28"/>
          <w:lang w:val="en-US"/>
        </w:rPr>
        <w:t>MITT</w:t>
      </w:r>
      <w:r w:rsidRPr="00AB3E2D">
        <w:rPr>
          <w:rFonts w:ascii="PT Astra Serif" w:eastAsia="Calibri" w:hAnsi="PT Astra Serif" w:cs="Times New Roman"/>
          <w:szCs w:val="28"/>
        </w:rPr>
        <w:t>», «Путешествуй!» в городе Москве.</w:t>
      </w:r>
    </w:p>
    <w:p w14:paraId="6781FE9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В 2025 году для продвижения туристической привлекательности региона проведены рекламно-информационные туры, в том числе пресс-туры с </w:t>
      </w:r>
      <w:proofErr w:type="spellStart"/>
      <w:r w:rsidRPr="00AB3E2D">
        <w:rPr>
          <w:rFonts w:ascii="PT Astra Serif" w:eastAsia="Calibri" w:hAnsi="PT Astra Serif" w:cs="Times New Roman"/>
          <w:szCs w:val="28"/>
        </w:rPr>
        <w:t>блогерами</w:t>
      </w:r>
      <w:proofErr w:type="spellEnd"/>
      <w:r w:rsidRPr="00AB3E2D">
        <w:rPr>
          <w:rFonts w:ascii="PT Astra Serif" w:eastAsia="Calibri" w:hAnsi="PT Astra Serif" w:cs="Times New Roman"/>
          <w:szCs w:val="28"/>
        </w:rPr>
        <w:t xml:space="preserve"> для проекта </w:t>
      </w:r>
      <w:proofErr w:type="spellStart"/>
      <w:r w:rsidRPr="00AB3E2D">
        <w:rPr>
          <w:rFonts w:ascii="PT Astra Serif" w:eastAsia="Calibri" w:hAnsi="PT Astra Serif" w:cs="Times New Roman"/>
          <w:szCs w:val="28"/>
        </w:rPr>
        <w:t>Медиаразведка.Туту</w:t>
      </w:r>
      <w:proofErr w:type="spellEnd"/>
      <w:r w:rsidRPr="00AB3E2D">
        <w:rPr>
          <w:rFonts w:ascii="PT Astra Serif" w:eastAsia="Calibri" w:hAnsi="PT Astra Serif" w:cs="Times New Roman"/>
          <w:szCs w:val="28"/>
        </w:rPr>
        <w:t xml:space="preserve"> с привлечением федеральной прессы, </w:t>
      </w:r>
      <w:proofErr w:type="spellStart"/>
      <w:r w:rsidRPr="00AB3E2D">
        <w:rPr>
          <w:rFonts w:ascii="PT Astra Serif" w:eastAsia="Calibri" w:hAnsi="PT Astra Serif" w:cs="Times New Roman"/>
          <w:szCs w:val="28"/>
        </w:rPr>
        <w:t>тревел-блогеров</w:t>
      </w:r>
      <w:proofErr w:type="spellEnd"/>
      <w:r w:rsidRPr="00AB3E2D">
        <w:rPr>
          <w:rFonts w:ascii="PT Astra Serif" w:eastAsia="Calibri" w:hAnsi="PT Astra Serif" w:cs="Times New Roman"/>
          <w:szCs w:val="28"/>
        </w:rPr>
        <w:t xml:space="preserve">, главных редакторов бортовых журналов (Аэрофлот, Россия, РЖД, </w:t>
      </w:r>
      <w:proofErr w:type="spellStart"/>
      <w:r w:rsidRPr="00AB3E2D">
        <w:rPr>
          <w:rFonts w:ascii="PT Astra Serif" w:eastAsia="Calibri" w:hAnsi="PT Astra Serif" w:cs="Times New Roman"/>
          <w:szCs w:val="28"/>
        </w:rPr>
        <w:t>Нордвингс</w:t>
      </w:r>
      <w:proofErr w:type="spellEnd"/>
      <w:r w:rsidRPr="00AB3E2D">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Редвингс</w:t>
      </w:r>
      <w:proofErr w:type="spellEnd"/>
      <w:r w:rsidRPr="00AB3E2D">
        <w:rPr>
          <w:rFonts w:ascii="PT Astra Serif" w:eastAsia="Calibri" w:hAnsi="PT Astra Serif" w:cs="Times New Roman"/>
          <w:szCs w:val="28"/>
        </w:rPr>
        <w:t xml:space="preserve">), пресс-тур для туроператоров соседних регионов, организованный ведущим туроператором Ульяновской области автономной некоммерческой организации социальных, образовательных </w:t>
      </w:r>
      <w:r w:rsidRPr="00AB3E2D">
        <w:rPr>
          <w:rFonts w:ascii="PT Astra Serif" w:eastAsia="Calibri" w:hAnsi="PT Astra Serif" w:cs="Times New Roman"/>
          <w:szCs w:val="28"/>
        </w:rPr>
        <w:br/>
        <w:t>и экскурсионных проектов «</w:t>
      </w:r>
      <w:proofErr w:type="spellStart"/>
      <w:r w:rsidRPr="00AB3E2D">
        <w:rPr>
          <w:rFonts w:ascii="PT Astra Serif" w:eastAsia="Calibri" w:hAnsi="PT Astra Serif" w:cs="Times New Roman"/>
          <w:szCs w:val="28"/>
        </w:rPr>
        <w:t>СимбирСити</w:t>
      </w:r>
      <w:proofErr w:type="spellEnd"/>
      <w:r w:rsidRPr="00AB3E2D">
        <w:rPr>
          <w:rFonts w:ascii="PT Astra Serif" w:eastAsia="Calibri" w:hAnsi="PT Astra Serif" w:cs="Times New Roman"/>
          <w:szCs w:val="28"/>
        </w:rPr>
        <w:t>».</w:t>
      </w:r>
    </w:p>
    <w:p w14:paraId="011190C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Проведены съёмки с изготовлением фильмов, видеороликов </w:t>
      </w:r>
      <w:r w:rsidRPr="00AB3E2D">
        <w:rPr>
          <w:rFonts w:ascii="PT Astra Serif" w:eastAsia="Calibri" w:hAnsi="PT Astra Serif" w:cs="Times New Roman"/>
          <w:szCs w:val="28"/>
        </w:rPr>
        <w:br/>
        <w:t xml:space="preserve">и телепрограмм о туристских возможностях Ульяновской области </w:t>
      </w:r>
      <w:r w:rsidRPr="00AB3E2D">
        <w:rPr>
          <w:rFonts w:ascii="PT Astra Serif" w:eastAsia="Calibri" w:hAnsi="PT Astra Serif" w:cs="Times New Roman"/>
          <w:szCs w:val="28"/>
        </w:rPr>
        <w:br/>
        <w:t>с федеральными телеканалами (передача «Неизвестные маршруты России» - телеканал Культура, передача «Поедем, поедим!» - телеканал НТВ, «Один день в городе» - телеканал «Моя Планета»).</w:t>
      </w:r>
    </w:p>
    <w:p w14:paraId="02DFED02" w14:textId="37E0D609" w:rsidR="00AB3E2D" w:rsidRPr="00BC3433" w:rsidRDefault="00AB3E2D" w:rsidP="00AB3E2D">
      <w:pPr>
        <w:widowControl w:val="0"/>
        <w:rPr>
          <w:rFonts w:ascii="PT Astra Serif" w:eastAsia="Calibri" w:hAnsi="PT Astra Serif" w:cs="Times New Roman"/>
          <w:b/>
          <w:i/>
          <w:iCs/>
          <w:spacing w:val="-20"/>
          <w:szCs w:val="28"/>
        </w:rPr>
      </w:pPr>
      <w:r w:rsidRPr="00AB3E2D">
        <w:rPr>
          <w:rFonts w:ascii="PT Astra Serif" w:eastAsia="Calibri" w:hAnsi="PT Astra Serif" w:cs="Times New Roman"/>
          <w:b/>
          <w:i/>
          <w:iCs/>
          <w:szCs w:val="28"/>
        </w:rPr>
        <w:t xml:space="preserve">Достигнутые результаты в рамках решения задач и их оценка </w:t>
      </w:r>
      <w:r w:rsidR="00B80AAC">
        <w:rPr>
          <w:rFonts w:ascii="PT Astra Serif" w:eastAsia="Calibri" w:hAnsi="PT Astra Serif" w:cs="Times New Roman"/>
          <w:b/>
          <w:i/>
          <w:iCs/>
          <w:szCs w:val="28"/>
        </w:rPr>
        <w:br/>
      </w:r>
      <w:r w:rsidRPr="00AB3E2D">
        <w:rPr>
          <w:rFonts w:ascii="PT Astra Serif" w:eastAsia="Calibri" w:hAnsi="PT Astra Serif" w:cs="Times New Roman"/>
          <w:b/>
          <w:i/>
          <w:iCs/>
          <w:szCs w:val="28"/>
        </w:rPr>
        <w:t>в сравнении с плановыми показателями, а также значения 2021</w:t>
      </w:r>
      <w:r w:rsidR="00BC3433">
        <w:rPr>
          <w:rFonts w:ascii="PT Astra Serif" w:eastAsia="Calibri" w:hAnsi="PT Astra Serif" w:cs="Times New Roman"/>
          <w:b/>
          <w:i/>
          <w:iCs/>
          <w:szCs w:val="28"/>
        </w:rPr>
        <w:t xml:space="preserve"> </w:t>
      </w:r>
      <w:r w:rsidRPr="00FA1F86">
        <w:rPr>
          <w:rFonts w:ascii="PT Astra Serif" w:eastAsia="Calibri" w:hAnsi="PT Astra Serif" w:cs="Times New Roman"/>
          <w:b/>
          <w:i/>
          <w:iCs/>
          <w:szCs w:val="28"/>
        </w:rPr>
        <w:t>-</w:t>
      </w:r>
      <w:r w:rsidR="00BC3433" w:rsidRPr="00FA1F86">
        <w:rPr>
          <w:rFonts w:ascii="PT Astra Serif" w:eastAsia="Calibri" w:hAnsi="PT Astra Serif" w:cs="Times New Roman"/>
          <w:b/>
          <w:i/>
          <w:iCs/>
          <w:szCs w:val="28"/>
        </w:rPr>
        <w:t xml:space="preserve"> </w:t>
      </w:r>
      <w:r w:rsidRPr="00FA1F86">
        <w:rPr>
          <w:rFonts w:ascii="PT Astra Serif" w:eastAsia="Calibri" w:hAnsi="PT Astra Serif" w:cs="Times New Roman"/>
          <w:b/>
          <w:i/>
          <w:iCs/>
          <w:szCs w:val="28"/>
        </w:rPr>
        <w:t>2024</w:t>
      </w:r>
      <w:r w:rsidRPr="00BC3433">
        <w:rPr>
          <w:rFonts w:ascii="PT Astra Serif" w:eastAsia="Calibri" w:hAnsi="PT Astra Serif" w:cs="Times New Roman"/>
          <w:b/>
          <w:i/>
          <w:iCs/>
          <w:spacing w:val="-20"/>
          <w:szCs w:val="28"/>
        </w:rPr>
        <w:t xml:space="preserve"> годов.</w:t>
      </w:r>
    </w:p>
    <w:p w14:paraId="63941DA9" w14:textId="77777777" w:rsidR="00AB3E2D" w:rsidRPr="00AB3E2D" w:rsidRDefault="00AB3E2D" w:rsidP="00AB3E2D">
      <w:pPr>
        <w:widowControl w:val="0"/>
        <w:tabs>
          <w:tab w:val="left" w:pos="2856"/>
        </w:tabs>
        <w:contextualSpacing/>
        <w:rPr>
          <w:rFonts w:ascii="PT Astra Serif" w:eastAsia="Calibri" w:hAnsi="PT Astra Serif" w:cs="Times New Roman"/>
          <w:color w:val="000000"/>
          <w:szCs w:val="28"/>
          <w:shd w:val="clear" w:color="auto" w:fill="FFFFFF"/>
        </w:rPr>
      </w:pPr>
      <w:r w:rsidRPr="00AB3E2D">
        <w:rPr>
          <w:rFonts w:ascii="PT Astra Serif" w:eastAsia="Calibri" w:hAnsi="PT Astra Serif" w:cs="Times New Roman"/>
          <w:color w:val="000000"/>
          <w:szCs w:val="28"/>
          <w:shd w:val="clear" w:color="auto" w:fill="FFFFFF"/>
        </w:rPr>
        <w:t xml:space="preserve">Показателем </w:t>
      </w:r>
      <w:r w:rsidRPr="00AB3E2D">
        <w:rPr>
          <w:rFonts w:ascii="PT Astra Serif" w:eastAsia="Calibri" w:hAnsi="PT Astra Serif" w:cs="Times New Roman"/>
          <w:b/>
          <w:szCs w:val="28"/>
        </w:rPr>
        <w:t xml:space="preserve">регионального проекта «Создание номерного фонда, инфраструктуры и новых точек притяжения» (Ульяновская область), входящего в национальный проект «Туризм и гостеприимство» </w:t>
      </w:r>
      <w:r w:rsidRPr="00AB3E2D">
        <w:rPr>
          <w:rFonts w:ascii="PT Astra Serif" w:eastAsia="Calibri" w:hAnsi="PT Astra Serif" w:cs="Times New Roman"/>
          <w:szCs w:val="28"/>
        </w:rPr>
        <w:t xml:space="preserve">(далее – Региональный проект) </w:t>
      </w:r>
      <w:r w:rsidRPr="00AB3E2D">
        <w:rPr>
          <w:rFonts w:ascii="PT Astra Serif" w:eastAsia="Calibri" w:hAnsi="PT Astra Serif" w:cs="Times New Roman"/>
          <w:color w:val="000000"/>
          <w:szCs w:val="28"/>
          <w:shd w:val="clear" w:color="auto" w:fill="FFFFFF"/>
        </w:rPr>
        <w:t xml:space="preserve">является «Количество туристических поездок по территории Российской Федерации». Плановое значение этого показателя для Ульяновской области на 2025 год составляет 0,5 млн. штук. По данным официальной государственной статистики, за период с января по декабрь 2025 года данный показатель составляет 0,5166 млн. штук (плановое значение – 0,5 </w:t>
      </w:r>
      <w:r w:rsidRPr="00AB3E2D">
        <w:rPr>
          <w:rFonts w:ascii="PT Astra Serif" w:eastAsia="Calibri" w:hAnsi="PT Astra Serif" w:cs="Times New Roman"/>
          <w:color w:val="000000"/>
          <w:szCs w:val="28"/>
          <w:shd w:val="clear" w:color="auto" w:fill="FFFFFF"/>
        </w:rPr>
        <w:lastRenderedPageBreak/>
        <w:t>за аналогичный период). Показатель достигнут.</w:t>
      </w:r>
    </w:p>
    <w:p w14:paraId="4442B9DF"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b/>
          <w:szCs w:val="28"/>
        </w:rPr>
        <w:t xml:space="preserve">Результат Регионального проекта - «Реализованы мероприятия субъектами Российской Федерации в рамках предоставления единой субсидии из федерального бюджета бюджетам субъектов Российской Федерации» (далее - результат) перенесен. </w:t>
      </w:r>
      <w:r w:rsidRPr="00AB3E2D">
        <w:rPr>
          <w:rFonts w:ascii="PT Astra Serif" w:eastAsia="Calibri" w:hAnsi="PT Astra Serif" w:cs="Times New Roman"/>
          <w:szCs w:val="28"/>
        </w:rPr>
        <w:t>Плановое значение в 2025 году составляет – 0 ед.</w:t>
      </w:r>
    </w:p>
    <w:p w14:paraId="4EE16E29" w14:textId="504F417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Согласно дополнительному соглашению к Соглашению о реализации регионального проекта «Создание номерного фонда, инфраструктуры </w:t>
      </w:r>
      <w:r w:rsidRPr="00AB3E2D">
        <w:rPr>
          <w:rFonts w:ascii="PT Astra Serif" w:eastAsia="Calibri" w:hAnsi="PT Astra Serif" w:cs="Times New Roman"/>
          <w:szCs w:val="28"/>
        </w:rPr>
        <w:br/>
        <w:t>и новых точек притяжения (Ульяновская область)» на территории Ульяновской области от 19.12.2025 года № 139-2024-П10063-1/3 по результату плановое значение 2025 года -1 ед. перенесено на 01.0</w:t>
      </w:r>
      <w:r w:rsidR="00717250">
        <w:rPr>
          <w:rFonts w:ascii="PT Astra Serif" w:eastAsia="Calibri" w:hAnsi="PT Astra Serif" w:cs="Times New Roman"/>
          <w:szCs w:val="28"/>
        </w:rPr>
        <w:t>7</w:t>
      </w:r>
      <w:r w:rsidRPr="00AB3E2D">
        <w:rPr>
          <w:rFonts w:ascii="PT Astra Serif" w:eastAsia="Calibri" w:hAnsi="PT Astra Serif" w:cs="Times New Roman"/>
          <w:szCs w:val="28"/>
        </w:rPr>
        <w:t>.2026.</w:t>
      </w:r>
    </w:p>
    <w:p w14:paraId="3490A418" w14:textId="37B16CC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color w:val="000000"/>
          <w:szCs w:val="28"/>
        </w:rPr>
        <w:t xml:space="preserve">В 2025 году </w:t>
      </w:r>
      <w:r w:rsidRPr="00AB3E2D">
        <w:rPr>
          <w:rFonts w:ascii="PT Astra Serif" w:eastAsia="Calibri" w:hAnsi="PT Astra Serif" w:cs="Times New Roman"/>
          <w:szCs w:val="28"/>
        </w:rPr>
        <w:t xml:space="preserve">оказана государственная поддержка в размере – </w:t>
      </w:r>
      <w:r w:rsidRPr="00AB3E2D">
        <w:rPr>
          <w:rFonts w:ascii="PT Astra Serif" w:eastAsia="Calibri" w:hAnsi="PT Astra Serif" w:cs="Times New Roman"/>
          <w:szCs w:val="28"/>
        </w:rPr>
        <w:br/>
        <w:t xml:space="preserve">90,6 млн рублей (из них: 87,8 млн руб. средства федерального бюджета, 2,8 млн руб. средства регионального бюджета). Из них </w:t>
      </w:r>
      <w:r w:rsidRPr="00AB3E2D">
        <w:rPr>
          <w:rFonts w:ascii="PT Astra Serif" w:eastAsia="Calibri" w:hAnsi="PT Astra Serif" w:cs="Times New Roman"/>
          <w:b/>
          <w:szCs w:val="28"/>
        </w:rPr>
        <w:t>в рамках единой субсидии</w:t>
      </w:r>
      <w:r w:rsidRPr="00AB3E2D">
        <w:rPr>
          <w:rFonts w:ascii="PT Astra Serif" w:eastAsia="Calibri" w:hAnsi="PT Astra Serif" w:cs="Times New Roman"/>
          <w:szCs w:val="28"/>
        </w:rPr>
        <w:t xml:space="preserve"> 73,9 млн руб</w:t>
      </w:r>
      <w:r w:rsidR="00B80AAC">
        <w:rPr>
          <w:rFonts w:ascii="PT Astra Serif" w:eastAsia="Calibri" w:hAnsi="PT Astra Serif" w:cs="Times New Roman"/>
          <w:szCs w:val="28"/>
        </w:rPr>
        <w:t>лей</w:t>
      </w:r>
      <w:r w:rsidRPr="00AB3E2D">
        <w:rPr>
          <w:rFonts w:ascii="PT Astra Serif" w:eastAsia="Calibri" w:hAnsi="PT Astra Serif" w:cs="Times New Roman"/>
          <w:szCs w:val="28"/>
        </w:rPr>
        <w:t xml:space="preserve"> (71,6 млн рублей средства федерального бюджета, 2,3</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p>
    <w:p w14:paraId="2BF40D3A" w14:textId="77777777" w:rsidR="00AB3E2D" w:rsidRPr="00010FD7" w:rsidRDefault="00AB3E2D" w:rsidP="00AB3E2D">
      <w:pPr>
        <w:widowControl w:val="0"/>
        <w:rPr>
          <w:rFonts w:ascii="PT Astra Serif" w:eastAsia="Calibri" w:hAnsi="PT Astra Serif" w:cs="Times New Roman"/>
          <w:b/>
          <w:szCs w:val="28"/>
          <w:u w:val="single"/>
        </w:rPr>
      </w:pPr>
      <w:r w:rsidRPr="00010FD7">
        <w:rPr>
          <w:rFonts w:ascii="PT Astra Serif" w:eastAsia="Calibri" w:hAnsi="PT Astra Serif" w:cs="Times New Roman"/>
          <w:b/>
          <w:szCs w:val="28"/>
          <w:u w:val="single"/>
        </w:rPr>
        <w:t xml:space="preserve">Распределение единой субсидии: </w:t>
      </w:r>
    </w:p>
    <w:p w14:paraId="4CAC421C" w14:textId="1CB92A93" w:rsidR="00AB3E2D" w:rsidRPr="00010FD7" w:rsidRDefault="00AB3E2D" w:rsidP="00AB3E2D">
      <w:pPr>
        <w:widowControl w:val="0"/>
        <w:rPr>
          <w:rFonts w:ascii="PT Astra Serif" w:eastAsia="Calibri" w:hAnsi="PT Astra Serif" w:cs="Times New Roman"/>
          <w:i/>
          <w:szCs w:val="28"/>
        </w:rPr>
      </w:pPr>
      <w:r w:rsidRPr="00010FD7">
        <w:rPr>
          <w:rFonts w:ascii="PT Astra Serif" w:eastAsia="Calibri" w:hAnsi="PT Astra Serif" w:cs="Times New Roman"/>
          <w:b/>
          <w:i/>
          <w:szCs w:val="28"/>
        </w:rPr>
        <w:t>на поддержку и продвижение событийных мероприятий</w:t>
      </w:r>
      <w:r w:rsidR="00010FD7">
        <w:rPr>
          <w:rFonts w:ascii="PT Astra Serif" w:eastAsia="Calibri" w:hAnsi="PT Astra Serif" w:cs="Times New Roman"/>
          <w:i/>
          <w:szCs w:val="28"/>
        </w:rPr>
        <w:t>:</w:t>
      </w:r>
    </w:p>
    <w:p w14:paraId="0771166D" w14:textId="138AF9EE"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Объём денежных средств на предоставление государственной поддержки на финансовые обеспечения части затрат, связанных </w:t>
      </w:r>
      <w:r w:rsidRPr="00AB3E2D">
        <w:rPr>
          <w:rFonts w:ascii="PT Astra Serif" w:eastAsia="Calibri" w:hAnsi="PT Astra Serif" w:cs="Times New Roman"/>
          <w:szCs w:val="28"/>
        </w:rPr>
        <w:br/>
        <w:t>с поддержкой и продвижением событийных мероприятий, направленных на развитие туризма в Ульяновской области</w:t>
      </w:r>
      <w:r w:rsidR="00FA1F86">
        <w:rPr>
          <w:rFonts w:ascii="PT Astra Serif" w:eastAsia="Calibri" w:hAnsi="PT Astra Serif" w:cs="Times New Roman"/>
          <w:szCs w:val="28"/>
        </w:rPr>
        <w:t>,</w:t>
      </w:r>
      <w:r w:rsidRPr="00AB3E2D">
        <w:rPr>
          <w:rFonts w:ascii="PT Astra Serif" w:eastAsia="Calibri" w:hAnsi="PT Astra Serif" w:cs="Times New Roman"/>
          <w:szCs w:val="28"/>
        </w:rPr>
        <w:t xml:space="preserve"> составляет 41,9 млн рублей, (40,7 </w:t>
      </w:r>
      <w:r w:rsidRPr="00AB3E2D">
        <w:rPr>
          <w:rFonts w:ascii="PT Astra Serif" w:eastAsia="Calibri" w:cs="Times New Roman"/>
          <w:szCs w:val="28"/>
        </w:rPr>
        <w:t>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федерального бюджета, 1,2 </w:t>
      </w:r>
      <w:r w:rsidRPr="00AB3E2D">
        <w:rPr>
          <w:rFonts w:ascii="PT Astra Serif" w:eastAsia="Calibri" w:cs="Times New Roman"/>
          <w:szCs w:val="28"/>
        </w:rPr>
        <w:t> </w:t>
      </w:r>
      <w:r w:rsidRPr="00AB3E2D">
        <w:rPr>
          <w:rFonts w:ascii="PT Astra Serif" w:eastAsia="Calibri" w:hAnsi="PT Astra Serif" w:cs="Times New Roman"/>
          <w:szCs w:val="28"/>
        </w:rPr>
        <w:t>млн</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регионального бюджета). Поддержано 35 инвестиционных проекта. </w:t>
      </w:r>
    </w:p>
    <w:p w14:paraId="1875F671"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Calibri" w:hAnsi="PT Astra Serif" w:cs="Times New Roman"/>
          <w:color w:val="000000"/>
          <w:szCs w:val="28"/>
        </w:rPr>
        <w:t>1. Межрегиональный фестиваль славянской культуры «Дикий пион».</w:t>
      </w:r>
    </w:p>
    <w:p w14:paraId="007C124A" w14:textId="78021F3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color w:val="000000"/>
          <w:szCs w:val="28"/>
        </w:rPr>
        <w:t xml:space="preserve">2. </w:t>
      </w:r>
      <w:r w:rsidRPr="00AB3E2D">
        <w:rPr>
          <w:rFonts w:ascii="PT Astra Serif" w:eastAsia="Calibri" w:hAnsi="PT Astra Serif" w:cs="Times New Roman"/>
          <w:szCs w:val="28"/>
        </w:rPr>
        <w:t>UFW в Димитровграде STREET FASHION SHOW МОДА УЛИЦ (неделя моды в</w:t>
      </w:r>
      <w:r w:rsidR="00FA1F86">
        <w:rPr>
          <w:rFonts w:ascii="PT Astra Serif" w:eastAsia="Calibri" w:hAnsi="PT Astra Serif" w:cs="Times New Roman"/>
          <w:szCs w:val="28"/>
        </w:rPr>
        <w:t xml:space="preserve"> городе</w:t>
      </w:r>
      <w:r w:rsidRPr="00AB3E2D">
        <w:rPr>
          <w:rFonts w:ascii="PT Astra Serif" w:eastAsia="Calibri" w:hAnsi="PT Astra Serif" w:cs="Times New Roman"/>
          <w:szCs w:val="28"/>
        </w:rPr>
        <w:t xml:space="preserve"> Димитровграде).</w:t>
      </w:r>
    </w:p>
    <w:p w14:paraId="32D64E1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3. 12 сезон недели моды в Ульяновске.</w:t>
      </w:r>
    </w:p>
    <w:p w14:paraId="627DA9F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4. Международная олимпиада по ментальной арифметике «Кубок Волги 2025».</w:t>
      </w:r>
    </w:p>
    <w:p w14:paraId="09EE01C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5. Патриотический фестиваль «Голоса Победы».</w:t>
      </w:r>
    </w:p>
    <w:p w14:paraId="0AC7AC8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6. </w:t>
      </w:r>
      <w:proofErr w:type="spellStart"/>
      <w:r w:rsidRPr="00AB3E2D">
        <w:rPr>
          <w:rFonts w:ascii="PT Astra Serif" w:eastAsia="Calibri" w:hAnsi="PT Astra Serif" w:cs="Times New Roman"/>
          <w:szCs w:val="28"/>
        </w:rPr>
        <w:t>Эндуро</w:t>
      </w:r>
      <w:proofErr w:type="spellEnd"/>
      <w:r w:rsidRPr="00AB3E2D">
        <w:rPr>
          <w:rFonts w:ascii="PT Astra Serif" w:eastAsia="Calibri" w:hAnsi="PT Astra Serif" w:cs="Times New Roman"/>
          <w:szCs w:val="28"/>
        </w:rPr>
        <w:t>-фестиваль «Ветер победы».</w:t>
      </w:r>
    </w:p>
    <w:p w14:paraId="293374F7"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7. THE MOST 2025. 1 этап Кубка Ульяновской области по HARD ENDURO.</w:t>
      </w:r>
    </w:p>
    <w:p w14:paraId="361AF61B"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8. Семейный фестиваль «Объединяя поколения».</w:t>
      </w:r>
    </w:p>
    <w:p w14:paraId="4360437F"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9. Семейный фестиваль «Иван купала».</w:t>
      </w:r>
    </w:p>
    <w:p w14:paraId="5F0A493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10. Гастрономический фестиваль «</w:t>
      </w:r>
      <w:proofErr w:type="spellStart"/>
      <w:r w:rsidRPr="00AB3E2D">
        <w:rPr>
          <w:rFonts w:ascii="PT Astra Serif" w:eastAsia="Calibri" w:hAnsi="PT Astra Serif" w:cs="Times New Roman"/>
          <w:szCs w:val="28"/>
        </w:rPr>
        <w:t>Гастролес</w:t>
      </w:r>
      <w:proofErr w:type="spellEnd"/>
      <w:r w:rsidRPr="00AB3E2D">
        <w:rPr>
          <w:rFonts w:ascii="PT Astra Serif" w:eastAsia="Calibri" w:hAnsi="PT Astra Serif" w:cs="Times New Roman"/>
          <w:szCs w:val="28"/>
        </w:rPr>
        <w:t>».</w:t>
      </w:r>
    </w:p>
    <w:p w14:paraId="28A8646E"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Calibri" w:hAnsi="PT Astra Serif" w:cs="Times New Roman"/>
          <w:szCs w:val="28"/>
        </w:rPr>
        <w:t xml:space="preserve">11. </w:t>
      </w:r>
      <w:r w:rsidRPr="00AB3E2D">
        <w:rPr>
          <w:rFonts w:ascii="PT Astra Serif" w:eastAsia="Calibri" w:hAnsi="PT Astra Serif" w:cs="Times New Roman"/>
          <w:color w:val="000000"/>
          <w:szCs w:val="28"/>
        </w:rPr>
        <w:t>Комплекс мероприятий ко Дню Молодежи 2025.</w:t>
      </w:r>
    </w:p>
    <w:p w14:paraId="5F219D6F"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color w:val="000000"/>
          <w:szCs w:val="28"/>
        </w:rPr>
        <w:t>12.</w:t>
      </w:r>
      <w:r w:rsidRPr="00AB3E2D">
        <w:rPr>
          <w:rFonts w:ascii="PT Astra Serif" w:eastAsia="Calibri" w:hAnsi="PT Astra Serif" w:cs="Times New Roman"/>
          <w:szCs w:val="28"/>
        </w:rPr>
        <w:t xml:space="preserve"> Фестиваль культуры, моды и искусства «Арт-Волга».</w:t>
      </w:r>
    </w:p>
    <w:p w14:paraId="27A1A47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13. Исторический фестиваль Великий Волжский путь.</w:t>
      </w:r>
    </w:p>
    <w:p w14:paraId="7F2FF7DE"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Calibri" w:hAnsi="PT Astra Serif" w:cs="Times New Roman"/>
          <w:szCs w:val="28"/>
        </w:rPr>
        <w:t xml:space="preserve">14. </w:t>
      </w:r>
      <w:r w:rsidRPr="00AB3E2D">
        <w:rPr>
          <w:rFonts w:ascii="PT Astra Serif" w:eastAsia="Calibri" w:hAnsi="PT Astra Serif" w:cs="Times New Roman"/>
          <w:color w:val="000000"/>
          <w:szCs w:val="28"/>
        </w:rPr>
        <w:t>Фестиваль здоровья «В ПОТОКЕ ЖИЗНИ».</w:t>
      </w:r>
    </w:p>
    <w:p w14:paraId="6E450325"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color w:val="000000"/>
          <w:szCs w:val="28"/>
        </w:rPr>
        <w:t xml:space="preserve">15. </w:t>
      </w:r>
      <w:r w:rsidRPr="00AB3E2D">
        <w:rPr>
          <w:rFonts w:ascii="PT Astra Serif" w:eastAsia="Calibri" w:hAnsi="PT Astra Serif" w:cs="Times New Roman"/>
          <w:szCs w:val="28"/>
        </w:rPr>
        <w:t>Фестиваль молодёжных субкультур «ПУЛЬС».</w:t>
      </w:r>
    </w:p>
    <w:p w14:paraId="68969A40"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Calibri" w:hAnsi="PT Astra Serif" w:cs="Times New Roman"/>
          <w:szCs w:val="28"/>
        </w:rPr>
        <w:t xml:space="preserve">16. </w:t>
      </w:r>
      <w:r w:rsidRPr="00AB3E2D">
        <w:rPr>
          <w:rFonts w:ascii="PT Astra Serif" w:eastAsia="Calibri" w:hAnsi="PT Astra Serif" w:cs="Times New Roman"/>
          <w:color w:val="000000"/>
          <w:szCs w:val="28"/>
        </w:rPr>
        <w:t>Фестиваль «Бульвар».</w:t>
      </w:r>
    </w:p>
    <w:p w14:paraId="74A8742B" w14:textId="2982FC4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color w:val="000000"/>
          <w:szCs w:val="28"/>
        </w:rPr>
        <w:t xml:space="preserve">17. </w:t>
      </w:r>
      <w:r w:rsidRPr="00AB3E2D">
        <w:rPr>
          <w:rFonts w:ascii="PT Astra Serif" w:eastAsia="Calibri" w:hAnsi="PT Astra Serif" w:cs="Times New Roman"/>
          <w:szCs w:val="28"/>
        </w:rPr>
        <w:t>Проведение фестиваля спорта «</w:t>
      </w:r>
      <w:proofErr w:type="spellStart"/>
      <w:r w:rsidRPr="00AB3E2D">
        <w:rPr>
          <w:rFonts w:ascii="PT Astra Serif" w:eastAsia="Calibri" w:hAnsi="PT Astra Serif" w:cs="Times New Roman"/>
          <w:szCs w:val="28"/>
        </w:rPr>
        <w:t>Юловский</w:t>
      </w:r>
      <w:proofErr w:type="spellEnd"/>
      <w:r w:rsidR="00FA1F86">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акватлон</w:t>
      </w:r>
      <w:proofErr w:type="spellEnd"/>
      <w:r w:rsidRPr="00AB3E2D">
        <w:rPr>
          <w:rFonts w:ascii="PT Astra Serif" w:eastAsia="Calibri" w:hAnsi="PT Astra Serif" w:cs="Times New Roman"/>
          <w:szCs w:val="28"/>
        </w:rPr>
        <w:t xml:space="preserve"> 2025».</w:t>
      </w:r>
    </w:p>
    <w:p w14:paraId="7D7D9D8A" w14:textId="7788CC2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18. Межрегиональный фестиваль </w:t>
      </w:r>
      <w:r w:rsidRPr="00AB3E2D">
        <w:rPr>
          <w:rFonts w:ascii="PT Astra Serif" w:eastAsia="Calibri" w:hAnsi="PT Astra Serif" w:cs="Times New Roman"/>
          <w:szCs w:val="28"/>
          <w:lang w:val="en-US"/>
        </w:rPr>
        <w:t>IT</w:t>
      </w:r>
      <w:r w:rsidRPr="00AB3E2D">
        <w:rPr>
          <w:rFonts w:ascii="PT Astra Serif" w:eastAsia="Calibri" w:hAnsi="PT Astra Serif" w:cs="Times New Roman"/>
          <w:szCs w:val="28"/>
        </w:rPr>
        <w:t>-специалистов «</w:t>
      </w:r>
      <w:r w:rsidRPr="00AB3E2D">
        <w:rPr>
          <w:rFonts w:ascii="PT Astra Serif" w:eastAsia="Calibri" w:hAnsi="PT Astra Serif" w:cs="Times New Roman"/>
          <w:szCs w:val="28"/>
          <w:lang w:val="en-US"/>
        </w:rPr>
        <w:t>V</w:t>
      </w:r>
      <w:r w:rsidR="00717250">
        <w:rPr>
          <w:rFonts w:ascii="PT Astra Serif" w:eastAsia="Calibri" w:hAnsi="PT Astra Serif" w:cs="Times New Roman"/>
          <w:szCs w:val="28"/>
        </w:rPr>
        <w:t xml:space="preserve"> </w:t>
      </w:r>
      <w:proofErr w:type="spellStart"/>
      <w:r w:rsidRPr="00AB3E2D">
        <w:rPr>
          <w:rFonts w:ascii="PT Astra Serif" w:eastAsia="Calibri" w:hAnsi="PT Astra Serif" w:cs="Times New Roman"/>
          <w:szCs w:val="28"/>
        </w:rPr>
        <w:t>Антиконференция</w:t>
      </w:r>
      <w:proofErr w:type="spellEnd"/>
      <w:r w:rsidR="00717250">
        <w:rPr>
          <w:rFonts w:ascii="PT Astra Serif" w:eastAsia="Calibri" w:hAnsi="PT Astra Serif" w:cs="Times New Roman"/>
          <w:szCs w:val="28"/>
        </w:rPr>
        <w:t xml:space="preserve"> </w:t>
      </w:r>
      <w:r w:rsidRPr="00AB3E2D">
        <w:rPr>
          <w:rFonts w:ascii="PT Astra Serif" w:eastAsia="Calibri" w:hAnsi="PT Astra Serif" w:cs="Times New Roman"/>
          <w:szCs w:val="28"/>
          <w:lang w:val="en-US"/>
        </w:rPr>
        <w:lastRenderedPageBreak/>
        <w:t>Summer</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lang w:val="en-US"/>
        </w:rPr>
        <w:t>Merge</w:t>
      </w:r>
      <w:r w:rsidR="00FA1F86">
        <w:rPr>
          <w:rFonts w:ascii="PT Astra Serif" w:eastAsia="Calibri" w:hAnsi="PT Astra Serif" w:cs="Times New Roman"/>
          <w:szCs w:val="28"/>
        </w:rPr>
        <w:t>»</w:t>
      </w:r>
      <w:r w:rsidRPr="00AB3E2D">
        <w:rPr>
          <w:rFonts w:ascii="PT Astra Serif" w:eastAsia="Calibri" w:hAnsi="PT Astra Serif" w:cs="Times New Roman"/>
          <w:szCs w:val="28"/>
        </w:rPr>
        <w:t xml:space="preserve"> в Русском береге.</w:t>
      </w:r>
    </w:p>
    <w:p w14:paraId="5711A427"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19. Фестиваль современного искусства и зодчества «ОКНА».</w:t>
      </w:r>
    </w:p>
    <w:p w14:paraId="5AD3511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20. Открытый городской фестиваль «Высший пилотаж-2025.</w:t>
      </w:r>
    </w:p>
    <w:p w14:paraId="77DAF941"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Calibri" w:hAnsi="PT Astra Serif" w:cs="Times New Roman"/>
          <w:szCs w:val="28"/>
        </w:rPr>
        <w:t xml:space="preserve">21. </w:t>
      </w:r>
      <w:r w:rsidRPr="00AB3E2D">
        <w:rPr>
          <w:rFonts w:ascii="PT Astra Serif" w:eastAsia="Times New Roman" w:hAnsi="PT Astra Serif" w:cs="Times New Roman"/>
          <w:szCs w:val="28"/>
          <w:shd w:val="clear" w:color="auto" w:fill="FFFFFF"/>
        </w:rPr>
        <w:t>Фестиваль технических видов спорта «Слободская Балка 2025.</w:t>
      </w:r>
    </w:p>
    <w:p w14:paraId="26993644" w14:textId="77777777" w:rsidR="00AB3E2D" w:rsidRPr="00AB3E2D" w:rsidRDefault="00AB3E2D" w:rsidP="00AB3E2D">
      <w:pPr>
        <w:widowControl w:val="0"/>
        <w:rPr>
          <w:rFonts w:ascii="PT Astra Serif" w:eastAsia="Times New Roman" w:hAnsi="PT Astra Serif" w:cs="Calibri"/>
          <w:szCs w:val="28"/>
        </w:rPr>
      </w:pPr>
      <w:r w:rsidRPr="00AB3E2D">
        <w:rPr>
          <w:rFonts w:ascii="PT Astra Serif" w:eastAsia="Calibri" w:hAnsi="PT Astra Serif" w:cs="Times New Roman"/>
          <w:color w:val="000000"/>
          <w:szCs w:val="28"/>
        </w:rPr>
        <w:t xml:space="preserve">22. </w:t>
      </w:r>
      <w:r w:rsidRPr="00AB3E2D">
        <w:rPr>
          <w:rFonts w:ascii="PT Astra Serif" w:eastAsia="Times New Roman" w:hAnsi="PT Astra Serif" w:cs="Calibri"/>
          <w:szCs w:val="28"/>
        </w:rPr>
        <w:t>Ишеевка: 400 лет единства и многообразия.</w:t>
      </w:r>
    </w:p>
    <w:p w14:paraId="5EC387B9" w14:textId="77777777" w:rsidR="00AB3E2D" w:rsidRPr="00AB3E2D" w:rsidRDefault="00AB3E2D" w:rsidP="00AB3E2D">
      <w:pPr>
        <w:widowControl w:val="0"/>
        <w:rPr>
          <w:rFonts w:ascii="PT Astra Serif" w:eastAsia="Times New Roman" w:hAnsi="PT Astra Serif" w:cs="Calibri"/>
          <w:szCs w:val="28"/>
        </w:rPr>
      </w:pPr>
      <w:r w:rsidRPr="00AB3E2D">
        <w:rPr>
          <w:rFonts w:ascii="PT Astra Serif" w:eastAsia="Times New Roman" w:hAnsi="PT Astra Serif" w:cs="Calibri"/>
          <w:szCs w:val="28"/>
        </w:rPr>
        <w:t>23. Этап Чемпионата России по ралли-рейдам - Баха Холмы России.</w:t>
      </w:r>
    </w:p>
    <w:p w14:paraId="0E3AA6D1" w14:textId="77777777" w:rsidR="00AB3E2D" w:rsidRPr="00AB3E2D" w:rsidRDefault="00AB3E2D" w:rsidP="00AB3E2D">
      <w:pPr>
        <w:widowControl w:val="0"/>
        <w:rPr>
          <w:rFonts w:ascii="PT Astra Serif" w:eastAsia="Times New Roman" w:hAnsi="PT Astra Serif" w:cs="Times New Roman"/>
          <w:szCs w:val="28"/>
          <w:shd w:val="clear" w:color="auto" w:fill="FFFFFF"/>
        </w:rPr>
      </w:pPr>
      <w:r w:rsidRPr="00AB3E2D">
        <w:rPr>
          <w:rFonts w:ascii="PT Astra Serif" w:eastAsia="Times New Roman" w:hAnsi="PT Astra Serif" w:cs="Calibri"/>
          <w:szCs w:val="28"/>
        </w:rPr>
        <w:t>24. Международная ассамблея художников «</w:t>
      </w:r>
      <w:proofErr w:type="spellStart"/>
      <w:r w:rsidRPr="00AB3E2D">
        <w:rPr>
          <w:rFonts w:ascii="PT Astra Serif" w:eastAsia="Times New Roman" w:hAnsi="PT Astra Serif" w:cs="Calibri"/>
          <w:szCs w:val="28"/>
        </w:rPr>
        <w:t>Пластовская</w:t>
      </w:r>
      <w:proofErr w:type="spellEnd"/>
      <w:r w:rsidRPr="00AB3E2D">
        <w:rPr>
          <w:rFonts w:ascii="PT Astra Serif" w:eastAsia="Times New Roman" w:hAnsi="PT Astra Serif" w:cs="Calibri"/>
          <w:szCs w:val="28"/>
        </w:rPr>
        <w:t xml:space="preserve"> осень</w:t>
      </w:r>
      <w:r w:rsidRPr="00AB3E2D">
        <w:rPr>
          <w:rFonts w:ascii="PT Astra Serif" w:eastAsia="Times New Roman" w:hAnsi="PT Astra Serif" w:cs="Times New Roman"/>
          <w:szCs w:val="28"/>
          <w:shd w:val="clear" w:color="auto" w:fill="FFFFFF"/>
        </w:rPr>
        <w:t>».</w:t>
      </w:r>
    </w:p>
    <w:p w14:paraId="7B1E54E6" w14:textId="77777777" w:rsidR="00AB3E2D" w:rsidRPr="00AB3E2D" w:rsidRDefault="00AB3E2D" w:rsidP="00AB3E2D">
      <w:pPr>
        <w:widowControl w:val="0"/>
        <w:rPr>
          <w:rFonts w:ascii="PT Astra Serif" w:eastAsia="Times New Roman" w:hAnsi="PT Astra Serif" w:cs="Times New Roman"/>
          <w:szCs w:val="28"/>
          <w:shd w:val="clear" w:color="auto" w:fill="FFFFFF"/>
        </w:rPr>
      </w:pPr>
      <w:r w:rsidRPr="00AB3E2D">
        <w:rPr>
          <w:rFonts w:ascii="PT Astra Serif" w:eastAsia="Times New Roman" w:hAnsi="PT Astra Serif" w:cs="Times New Roman"/>
          <w:szCs w:val="28"/>
          <w:shd w:val="clear" w:color="auto" w:fill="FFFFFF"/>
        </w:rPr>
        <w:t xml:space="preserve">25. </w:t>
      </w:r>
      <w:r w:rsidRPr="00AB3E2D">
        <w:rPr>
          <w:rFonts w:ascii="PT Astra Serif" w:eastAsia="Calibri" w:hAnsi="PT Astra Serif" w:cs="Times New Roman"/>
          <w:szCs w:val="28"/>
        </w:rPr>
        <w:t xml:space="preserve">Программа развития общественного пространства на ул. Федерации как туристического центра города </w:t>
      </w:r>
      <w:r w:rsidRPr="00AB3E2D">
        <w:rPr>
          <w:rFonts w:ascii="PT Astra Serif" w:eastAsia="Times New Roman" w:hAnsi="PT Astra Serif" w:cs="Calibri"/>
          <w:szCs w:val="28"/>
        </w:rPr>
        <w:t>«Лето на Федерации</w:t>
      </w:r>
      <w:r w:rsidRPr="00AB3E2D">
        <w:rPr>
          <w:rFonts w:ascii="PT Astra Serif" w:eastAsia="Times New Roman" w:hAnsi="PT Astra Serif" w:cs="Times New Roman"/>
          <w:szCs w:val="28"/>
          <w:shd w:val="clear" w:color="auto" w:fill="FFFFFF"/>
        </w:rPr>
        <w:t>».</w:t>
      </w:r>
    </w:p>
    <w:p w14:paraId="55ABE581" w14:textId="4E1316FC" w:rsidR="00AB3E2D" w:rsidRPr="00AB3E2D" w:rsidRDefault="00AB3E2D" w:rsidP="00AB3E2D">
      <w:pPr>
        <w:widowControl w:val="0"/>
        <w:rPr>
          <w:rFonts w:ascii="PT Astra Serif" w:eastAsia="Times New Roman" w:hAnsi="PT Astra Serif" w:cs="Times New Roman"/>
          <w:szCs w:val="28"/>
        </w:rPr>
      </w:pPr>
      <w:r w:rsidRPr="00AB3E2D">
        <w:rPr>
          <w:rFonts w:ascii="PT Astra Serif" w:eastAsia="Times New Roman" w:hAnsi="PT Astra Serif" w:cs="Times New Roman"/>
          <w:szCs w:val="28"/>
          <w:shd w:val="clear" w:color="auto" w:fill="FFFFFF"/>
        </w:rPr>
        <w:t xml:space="preserve">26. </w:t>
      </w:r>
      <w:r w:rsidRPr="00AB3E2D">
        <w:rPr>
          <w:rFonts w:ascii="PT Astra Serif" w:eastAsia="Times New Roman" w:hAnsi="PT Astra Serif" w:cs="Calibri"/>
          <w:szCs w:val="28"/>
        </w:rPr>
        <w:t xml:space="preserve">Международный </w:t>
      </w:r>
      <w:r w:rsidRPr="00AB3E2D">
        <w:rPr>
          <w:rFonts w:ascii="PT Astra Serif" w:eastAsia="Times New Roman" w:hAnsi="PT Astra Serif" w:cs="PT Astra Serif"/>
          <w:szCs w:val="28"/>
        </w:rPr>
        <w:t>фестиваль</w:t>
      </w:r>
      <w:r w:rsidRPr="00AB3E2D">
        <w:rPr>
          <w:rFonts w:ascii="PT Astra Serif" w:eastAsia="Times New Roman" w:hAnsi="PT Astra Serif" w:cs="Calibri"/>
          <w:szCs w:val="28"/>
        </w:rPr>
        <w:t>-</w:t>
      </w:r>
      <w:r w:rsidRPr="00AB3E2D">
        <w:rPr>
          <w:rFonts w:ascii="PT Astra Serif" w:eastAsia="Times New Roman" w:hAnsi="PT Astra Serif" w:cs="PT Astra Serif"/>
          <w:szCs w:val="28"/>
        </w:rPr>
        <w:t>форум искусств «Аркадия</w:t>
      </w:r>
      <w:r w:rsidRPr="00AB3E2D">
        <w:rPr>
          <w:rFonts w:ascii="PT Astra Serif" w:eastAsia="Times New Roman" w:hAnsi="PT Astra Serif" w:cs="Calibri"/>
          <w:szCs w:val="28"/>
        </w:rPr>
        <w:t xml:space="preserve">. </w:t>
      </w:r>
      <w:r w:rsidRPr="00AB3E2D">
        <w:rPr>
          <w:rFonts w:ascii="PT Astra Serif" w:eastAsia="Times New Roman" w:hAnsi="PT Astra Serif" w:cs="PT Astra Serif"/>
          <w:szCs w:val="28"/>
        </w:rPr>
        <w:t>Музе</w:t>
      </w:r>
      <w:r w:rsidRPr="00AB3E2D">
        <w:rPr>
          <w:rFonts w:ascii="PT Astra Serif" w:eastAsia="Times New Roman" w:hAnsi="PT Astra Serif" w:cs="Times New Roman"/>
          <w:szCs w:val="28"/>
        </w:rPr>
        <w:t>й</w:t>
      </w:r>
      <w:r w:rsidR="00FA1F86">
        <w:rPr>
          <w:rFonts w:ascii="PT Astra Serif" w:eastAsia="Times New Roman" w:hAnsi="PT Astra Serif" w:cs="Times New Roman"/>
          <w:szCs w:val="28"/>
        </w:rPr>
        <w:t>»</w:t>
      </w:r>
      <w:r w:rsidRPr="00AB3E2D">
        <w:rPr>
          <w:rFonts w:ascii="PT Astra Serif" w:eastAsia="Times New Roman" w:hAnsi="PT Astra Serif" w:cs="Times New Roman"/>
          <w:szCs w:val="28"/>
        </w:rPr>
        <w:t>.</w:t>
      </w:r>
    </w:p>
    <w:p w14:paraId="3E9059B5" w14:textId="36D32CC1" w:rsidR="00AB3E2D" w:rsidRPr="00AB3E2D" w:rsidRDefault="00AB3E2D" w:rsidP="00AB3E2D">
      <w:pPr>
        <w:widowControl w:val="0"/>
        <w:rPr>
          <w:rFonts w:ascii="PT Astra Serif" w:eastAsia="Times New Roman" w:hAnsi="PT Astra Serif" w:cs="Calibri"/>
          <w:szCs w:val="28"/>
        </w:rPr>
      </w:pPr>
      <w:r w:rsidRPr="00AB3E2D">
        <w:rPr>
          <w:rFonts w:ascii="PT Astra Serif" w:eastAsia="Times New Roman" w:hAnsi="PT Astra Serif" w:cs="Times New Roman"/>
          <w:szCs w:val="28"/>
        </w:rPr>
        <w:t xml:space="preserve">27. </w:t>
      </w:r>
      <w:r w:rsidRPr="00AB3E2D">
        <w:rPr>
          <w:rFonts w:ascii="PT Astra Serif" w:eastAsia="Times New Roman" w:hAnsi="PT Astra Serif" w:cs="Calibri"/>
          <w:szCs w:val="28"/>
        </w:rPr>
        <w:t>Фестиваль «Волга-Экстрим</w:t>
      </w:r>
      <w:r w:rsidR="00FA1F86">
        <w:rPr>
          <w:rFonts w:ascii="PT Astra Serif" w:eastAsia="Times New Roman" w:hAnsi="PT Astra Serif" w:cs="Calibri"/>
          <w:szCs w:val="28"/>
        </w:rPr>
        <w:t>»</w:t>
      </w:r>
      <w:r w:rsidRPr="00AB3E2D">
        <w:rPr>
          <w:rFonts w:ascii="PT Astra Serif" w:eastAsia="Times New Roman" w:hAnsi="PT Astra Serif" w:cs="Calibri"/>
          <w:szCs w:val="28"/>
        </w:rPr>
        <w:t>.</w:t>
      </w:r>
    </w:p>
    <w:p w14:paraId="42CE5869" w14:textId="77777777" w:rsidR="00AB3E2D" w:rsidRPr="00AB3E2D" w:rsidRDefault="00AB3E2D" w:rsidP="00AB3E2D">
      <w:pPr>
        <w:widowControl w:val="0"/>
        <w:rPr>
          <w:rFonts w:ascii="PT Astra Serif" w:eastAsia="Times New Roman" w:hAnsi="PT Astra Serif" w:cs="Times New Roman"/>
          <w:szCs w:val="28"/>
          <w:shd w:val="clear" w:color="auto" w:fill="FFFFFF"/>
        </w:rPr>
      </w:pPr>
      <w:r w:rsidRPr="00AB3E2D">
        <w:rPr>
          <w:rFonts w:ascii="PT Astra Serif" w:eastAsia="Times New Roman" w:hAnsi="PT Astra Serif" w:cs="Calibri"/>
          <w:szCs w:val="28"/>
        </w:rPr>
        <w:t xml:space="preserve">28. </w:t>
      </w:r>
      <w:r w:rsidRPr="00AB3E2D">
        <w:rPr>
          <w:rFonts w:ascii="PT Astra Serif" w:eastAsia="Calibri" w:hAnsi="PT Astra Serif" w:cs="Times New Roman"/>
          <w:szCs w:val="28"/>
        </w:rPr>
        <w:t xml:space="preserve">Фестиваль «Праздник в усадьбе Ивашевых. </w:t>
      </w:r>
      <w:r w:rsidRPr="00AB3E2D">
        <w:rPr>
          <w:rFonts w:ascii="PT Astra Serif" w:eastAsia="Times New Roman" w:hAnsi="PT Astra Serif" w:cs="Calibri"/>
          <w:szCs w:val="28"/>
        </w:rPr>
        <w:t>Дворянское собрание</w:t>
      </w:r>
      <w:r w:rsidRPr="00AB3E2D">
        <w:rPr>
          <w:rFonts w:ascii="PT Astra Serif" w:eastAsia="Times New Roman" w:hAnsi="PT Astra Serif" w:cs="Times New Roman"/>
          <w:szCs w:val="28"/>
          <w:shd w:val="clear" w:color="auto" w:fill="FFFFFF"/>
        </w:rPr>
        <w:t>».</w:t>
      </w:r>
    </w:p>
    <w:p w14:paraId="01227DF4" w14:textId="77777777" w:rsidR="00AB3E2D" w:rsidRPr="00AB3E2D" w:rsidRDefault="00AB3E2D" w:rsidP="00AB3E2D">
      <w:pPr>
        <w:widowControl w:val="0"/>
        <w:rPr>
          <w:rFonts w:ascii="PT Astra Serif" w:eastAsia="Times New Roman" w:hAnsi="PT Astra Serif" w:cs="Calibri"/>
          <w:szCs w:val="28"/>
        </w:rPr>
      </w:pPr>
      <w:r w:rsidRPr="00AB3E2D">
        <w:rPr>
          <w:rFonts w:ascii="PT Astra Serif" w:eastAsia="Times New Roman" w:hAnsi="PT Astra Serif" w:cs="Times New Roman"/>
          <w:szCs w:val="28"/>
          <w:shd w:val="clear" w:color="auto" w:fill="FFFFFF"/>
        </w:rPr>
        <w:t xml:space="preserve">29. </w:t>
      </w:r>
      <w:r w:rsidRPr="00AB3E2D">
        <w:rPr>
          <w:rFonts w:ascii="PT Astra Serif" w:eastAsia="Times New Roman" w:hAnsi="PT Astra Serif" w:cs="Calibri"/>
          <w:szCs w:val="28"/>
        </w:rPr>
        <w:t>Аксаковская осень 2025.</w:t>
      </w:r>
    </w:p>
    <w:p w14:paraId="2346A9E6" w14:textId="6823D0C5" w:rsidR="00AB3E2D" w:rsidRPr="00AB3E2D" w:rsidRDefault="00AB3E2D" w:rsidP="00AB3E2D">
      <w:pPr>
        <w:widowControl w:val="0"/>
        <w:rPr>
          <w:rFonts w:ascii="PT Astra Serif" w:eastAsia="Times New Roman" w:hAnsi="PT Astra Serif" w:cs="Times New Roman"/>
          <w:szCs w:val="28"/>
          <w:shd w:val="clear" w:color="auto" w:fill="FFFFFF"/>
        </w:rPr>
      </w:pPr>
      <w:r w:rsidRPr="00AB3E2D">
        <w:rPr>
          <w:rFonts w:ascii="PT Astra Serif" w:eastAsia="Times New Roman" w:hAnsi="PT Astra Serif" w:cs="Calibri"/>
          <w:szCs w:val="28"/>
        </w:rPr>
        <w:t>30. Серия мероприятий по развитию территории улицы Федерации</w:t>
      </w:r>
      <w:r w:rsidR="00FA1F86">
        <w:rPr>
          <w:rFonts w:ascii="PT Astra Serif" w:eastAsia="Times New Roman" w:hAnsi="PT Astra Serif" w:cs="Calibri"/>
          <w:szCs w:val="28"/>
        </w:rPr>
        <w:t xml:space="preserve"> </w:t>
      </w:r>
      <w:r w:rsidRPr="00AB3E2D">
        <w:rPr>
          <w:rFonts w:ascii="PT Astra Serif" w:eastAsia="Times New Roman" w:hAnsi="PT Astra Serif" w:cs="Calibri"/>
          <w:szCs w:val="28"/>
        </w:rPr>
        <w:t>как туристического центра «Джаз на Федерации</w:t>
      </w:r>
      <w:r w:rsidRPr="00AB3E2D">
        <w:rPr>
          <w:rFonts w:ascii="PT Astra Serif" w:eastAsia="Times New Roman" w:hAnsi="PT Astra Serif" w:cs="Times New Roman"/>
          <w:szCs w:val="28"/>
          <w:shd w:val="clear" w:color="auto" w:fill="FFFFFF"/>
        </w:rPr>
        <w:t>».</w:t>
      </w:r>
    </w:p>
    <w:p w14:paraId="68F08F21"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Times New Roman" w:hAnsi="PT Astra Serif" w:cs="Times New Roman"/>
          <w:szCs w:val="28"/>
          <w:shd w:val="clear" w:color="auto" w:fill="FFFFFF"/>
        </w:rPr>
        <w:t xml:space="preserve">31. </w:t>
      </w:r>
      <w:r w:rsidRPr="00AB3E2D">
        <w:rPr>
          <w:rFonts w:ascii="PT Astra Serif" w:eastAsia="Calibri" w:hAnsi="PT Astra Serif" w:cs="Times New Roman"/>
          <w:szCs w:val="28"/>
        </w:rPr>
        <w:t>Фестиваль, посвященный Дню Воздушного Флота России.</w:t>
      </w:r>
    </w:p>
    <w:p w14:paraId="6FAFE1A1" w14:textId="77777777" w:rsidR="00AB3E2D" w:rsidRPr="00AB3E2D" w:rsidRDefault="00AB3E2D" w:rsidP="00AB3E2D">
      <w:pPr>
        <w:widowControl w:val="0"/>
        <w:rPr>
          <w:rFonts w:ascii="PT Astra Serif" w:eastAsia="Times New Roman" w:hAnsi="PT Astra Serif" w:cs="Calibri"/>
          <w:szCs w:val="28"/>
        </w:rPr>
      </w:pPr>
      <w:r w:rsidRPr="00AB3E2D">
        <w:rPr>
          <w:rFonts w:ascii="PT Astra Serif" w:eastAsia="Calibri" w:hAnsi="PT Astra Serif" w:cs="Times New Roman"/>
          <w:szCs w:val="28"/>
        </w:rPr>
        <w:t xml:space="preserve">32. </w:t>
      </w:r>
      <w:r w:rsidRPr="00AB3E2D">
        <w:rPr>
          <w:rFonts w:ascii="PT Astra Serif" w:eastAsia="Times New Roman" w:hAnsi="PT Astra Serif" w:cs="Calibri"/>
          <w:szCs w:val="28"/>
        </w:rPr>
        <w:t>От поля до стола: Гастрономическое путешествие по Ульяновской области.</w:t>
      </w:r>
    </w:p>
    <w:p w14:paraId="496FD094" w14:textId="5F0EF371" w:rsidR="00AB3E2D" w:rsidRPr="00AB3E2D" w:rsidRDefault="00AB3E2D" w:rsidP="00AB3E2D">
      <w:pPr>
        <w:widowControl w:val="0"/>
        <w:rPr>
          <w:rFonts w:ascii="PT Astra Serif" w:eastAsia="Times New Roman" w:hAnsi="PT Astra Serif" w:cs="Calibri"/>
          <w:szCs w:val="28"/>
        </w:rPr>
      </w:pPr>
      <w:r w:rsidRPr="00AB3E2D">
        <w:rPr>
          <w:rFonts w:ascii="PT Astra Serif" w:eastAsia="Times New Roman" w:hAnsi="PT Astra Serif" w:cs="Calibri"/>
          <w:szCs w:val="28"/>
        </w:rPr>
        <w:t xml:space="preserve">33. III Международный форум инноваторов, изобретателей </w:t>
      </w:r>
      <w:r w:rsidRPr="00AB3E2D">
        <w:rPr>
          <w:rFonts w:ascii="PT Astra Serif" w:eastAsia="Times New Roman" w:hAnsi="PT Astra Serif" w:cs="Calibri"/>
          <w:szCs w:val="28"/>
        </w:rPr>
        <w:br/>
        <w:t>и технологических предпринимателей «Создавая будущее</w:t>
      </w:r>
      <w:r w:rsidR="00FA1F86">
        <w:rPr>
          <w:rFonts w:ascii="PT Astra Serif" w:eastAsia="Times New Roman" w:hAnsi="PT Astra Serif" w:cs="Calibri"/>
          <w:szCs w:val="28"/>
        </w:rPr>
        <w:t>»</w:t>
      </w:r>
      <w:r w:rsidRPr="00AB3E2D">
        <w:rPr>
          <w:rFonts w:ascii="PT Astra Serif" w:eastAsia="Times New Roman" w:hAnsi="PT Astra Serif" w:cs="Calibri"/>
          <w:szCs w:val="28"/>
        </w:rPr>
        <w:t>.</w:t>
      </w:r>
    </w:p>
    <w:p w14:paraId="61A1979A" w14:textId="77777777" w:rsidR="00AB3E2D" w:rsidRPr="00AB3E2D" w:rsidRDefault="00AB3E2D" w:rsidP="00AB3E2D">
      <w:pPr>
        <w:widowControl w:val="0"/>
        <w:rPr>
          <w:rFonts w:ascii="PT Astra Serif" w:eastAsia="Times New Roman" w:hAnsi="PT Astra Serif" w:cs="Calibri"/>
          <w:szCs w:val="28"/>
        </w:rPr>
      </w:pPr>
      <w:r w:rsidRPr="00AB3E2D">
        <w:rPr>
          <w:rFonts w:ascii="PT Astra Serif" w:eastAsia="Times New Roman" w:hAnsi="PT Astra Serif" w:cs="Calibri"/>
          <w:szCs w:val="28"/>
        </w:rPr>
        <w:t>34. Ульяновск с любовью: интерактивные встречи туристов.</w:t>
      </w:r>
    </w:p>
    <w:p w14:paraId="0F41E6FC" w14:textId="77777777" w:rsidR="00AB3E2D" w:rsidRPr="00AB3E2D" w:rsidRDefault="00AB3E2D" w:rsidP="00AB3E2D">
      <w:pPr>
        <w:widowControl w:val="0"/>
        <w:rPr>
          <w:rFonts w:ascii="PT Astra Serif" w:eastAsia="Calibri" w:hAnsi="PT Astra Serif" w:cs="Times New Roman"/>
          <w:color w:val="000000"/>
          <w:szCs w:val="28"/>
        </w:rPr>
      </w:pPr>
      <w:r w:rsidRPr="00AB3E2D">
        <w:rPr>
          <w:rFonts w:ascii="PT Astra Serif" w:eastAsia="Times New Roman" w:hAnsi="PT Astra Serif" w:cs="Calibri"/>
          <w:szCs w:val="28"/>
        </w:rPr>
        <w:t xml:space="preserve">35. </w:t>
      </w:r>
      <w:r w:rsidRPr="00AB3E2D">
        <w:rPr>
          <w:rFonts w:ascii="PT Astra Serif" w:eastAsia="Times New Roman" w:hAnsi="PT Astra Serif" w:cs="Times New Roman"/>
          <w:szCs w:val="28"/>
          <w:shd w:val="clear" w:color="auto" w:fill="FFFFFF"/>
        </w:rPr>
        <w:t>13 сезон недели моды в Ульяновске.</w:t>
      </w:r>
    </w:p>
    <w:p w14:paraId="6E47049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Мероприятия посетили более 550 000 </w:t>
      </w:r>
      <w:proofErr w:type="spellStart"/>
      <w:r w:rsidRPr="00AB3E2D">
        <w:rPr>
          <w:rFonts w:ascii="PT Astra Serif" w:eastAsia="Calibri" w:hAnsi="PT Astra Serif" w:cs="Times New Roman"/>
          <w:szCs w:val="28"/>
        </w:rPr>
        <w:t>ульяновцев</w:t>
      </w:r>
      <w:proofErr w:type="spellEnd"/>
      <w:r w:rsidRPr="00AB3E2D">
        <w:rPr>
          <w:rFonts w:ascii="PT Astra Serif" w:eastAsia="Calibri" w:hAnsi="PT Astra Serif" w:cs="Times New Roman"/>
          <w:szCs w:val="28"/>
        </w:rPr>
        <w:t xml:space="preserve"> и гостей региона.</w:t>
      </w:r>
    </w:p>
    <w:p w14:paraId="76A1F284" w14:textId="77777777" w:rsidR="00010FD7" w:rsidRDefault="00AB3E2D" w:rsidP="00AB3E2D">
      <w:pPr>
        <w:widowControl w:val="0"/>
        <w:rPr>
          <w:rFonts w:ascii="PT Astra Serif" w:eastAsia="Calibri" w:hAnsi="PT Astra Serif" w:cs="Times New Roman"/>
          <w:b/>
          <w:i/>
          <w:szCs w:val="28"/>
        </w:rPr>
      </w:pPr>
      <w:r w:rsidRPr="00010FD7">
        <w:rPr>
          <w:rFonts w:ascii="PT Astra Serif" w:eastAsia="Calibri" w:hAnsi="PT Astra Serif" w:cs="Times New Roman"/>
          <w:b/>
          <w:i/>
          <w:color w:val="000000"/>
          <w:szCs w:val="28"/>
        </w:rPr>
        <w:t xml:space="preserve">на </w:t>
      </w:r>
      <w:r w:rsidRPr="00010FD7">
        <w:rPr>
          <w:rFonts w:ascii="PT Astra Serif" w:eastAsia="Calibri" w:hAnsi="PT Astra Serif" w:cs="Times New Roman"/>
          <w:b/>
          <w:i/>
          <w:szCs w:val="28"/>
        </w:rPr>
        <w:t>поддержку общественных инициатив, проектов юридических лиц и индивидуальных предпринимателей, направленных на развитие туристической инфраструктуры (ТИЦ)</w:t>
      </w:r>
      <w:r w:rsidR="00010FD7">
        <w:rPr>
          <w:rFonts w:ascii="PT Astra Serif" w:eastAsia="Calibri" w:hAnsi="PT Astra Serif" w:cs="Times New Roman"/>
          <w:b/>
          <w:i/>
          <w:szCs w:val="28"/>
        </w:rPr>
        <w:t>:</w:t>
      </w:r>
    </w:p>
    <w:p w14:paraId="358749A1" w14:textId="6553B14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Поддержано 2 инвестиционных проекта, общий объём денежных </w:t>
      </w:r>
      <w:proofErr w:type="spellStart"/>
      <w:r w:rsidRPr="00AB3E2D">
        <w:rPr>
          <w:rFonts w:ascii="PT Astra Serif" w:eastAsia="Calibri" w:hAnsi="PT Astra Serif" w:cs="Times New Roman"/>
          <w:szCs w:val="28"/>
        </w:rPr>
        <w:t>средствна</w:t>
      </w:r>
      <w:proofErr w:type="spellEnd"/>
      <w:r w:rsidRPr="00AB3E2D">
        <w:rPr>
          <w:rFonts w:ascii="PT Astra Serif" w:eastAsia="Calibri" w:hAnsi="PT Astra Serif" w:cs="Times New Roman"/>
          <w:szCs w:val="28"/>
        </w:rPr>
        <w:t xml:space="preserve"> поддержку общественных инициатив, проектов юридических лиц </w:t>
      </w:r>
      <w:r w:rsidR="00717250">
        <w:rPr>
          <w:rFonts w:ascii="PT Astra Serif" w:eastAsia="Calibri" w:hAnsi="PT Astra Serif" w:cs="Times New Roman"/>
          <w:szCs w:val="28"/>
        </w:rPr>
        <w:br/>
      </w:r>
      <w:r w:rsidRPr="00AB3E2D">
        <w:rPr>
          <w:rFonts w:ascii="PT Astra Serif" w:eastAsia="Calibri" w:hAnsi="PT Astra Serif" w:cs="Times New Roman"/>
          <w:szCs w:val="28"/>
        </w:rPr>
        <w:t>и индивидуальных предпринимателей, направленных на развитие ТИЦ</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31,92 млн рублей (30,96</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млн</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рублей сред</w:t>
      </w:r>
      <w:r w:rsidR="00B80AAC">
        <w:rPr>
          <w:rFonts w:ascii="PT Astra Serif" w:eastAsia="Calibri" w:hAnsi="PT Astra Serif" w:cs="Times New Roman"/>
          <w:szCs w:val="28"/>
        </w:rPr>
        <w:t xml:space="preserve">ства федерального бюджета, 0,96 </w:t>
      </w:r>
      <w:r w:rsidRPr="00AB3E2D">
        <w:rPr>
          <w:rFonts w:ascii="PT Astra Serif" w:eastAsia="Calibri" w:hAnsi="PT Astra Serif" w:cs="Times New Roman"/>
          <w:szCs w:val="28"/>
        </w:rPr>
        <w:t>млн рублей</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p>
    <w:p w14:paraId="2220713E" w14:textId="065B4400"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1. Индивидуальному предпринимателю </w:t>
      </w:r>
      <w:proofErr w:type="spellStart"/>
      <w:r w:rsidRPr="00AB3E2D">
        <w:rPr>
          <w:rFonts w:ascii="PT Astra Serif" w:eastAsia="Calibri" w:hAnsi="PT Astra Serif" w:cs="Times New Roman"/>
          <w:szCs w:val="28"/>
        </w:rPr>
        <w:t>Коптеловой</w:t>
      </w:r>
      <w:proofErr w:type="spellEnd"/>
      <w:r w:rsidRPr="00AB3E2D">
        <w:rPr>
          <w:rFonts w:ascii="PT Astra Serif" w:eastAsia="Calibri" w:hAnsi="PT Astra Serif" w:cs="Times New Roman"/>
          <w:szCs w:val="28"/>
        </w:rPr>
        <w:t xml:space="preserve"> Е.В. на реализацию проекта «Ульяновск – Включайся» ТИЦ «Семейный Гид Ульяновска» в центре города» в размере 18,8 млн рублей (18,2 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федерального бюджета, 0,6 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p>
    <w:p w14:paraId="51A52380" w14:textId="231774A8"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2. О</w:t>
      </w:r>
      <w:r w:rsidR="00FA1F86">
        <w:rPr>
          <w:rFonts w:ascii="PT Astra Serif" w:eastAsia="Calibri" w:hAnsi="PT Astra Serif" w:cs="Times New Roman"/>
          <w:szCs w:val="28"/>
        </w:rPr>
        <w:t xml:space="preserve">ОО </w:t>
      </w:r>
      <w:r w:rsidRPr="00AB3E2D">
        <w:rPr>
          <w:rFonts w:ascii="PT Astra Serif" w:eastAsia="Calibri" w:hAnsi="PT Astra Serif" w:cs="Times New Roman"/>
          <w:szCs w:val="28"/>
        </w:rPr>
        <w:t>«</w:t>
      </w:r>
      <w:proofErr w:type="spellStart"/>
      <w:r w:rsidRPr="00AB3E2D">
        <w:rPr>
          <w:rFonts w:ascii="PT Astra Serif" w:eastAsia="Calibri" w:hAnsi="PT Astra Serif" w:cs="Times New Roman"/>
          <w:szCs w:val="28"/>
        </w:rPr>
        <w:t>Аквалэнд</w:t>
      </w:r>
      <w:proofErr w:type="spellEnd"/>
      <w:r w:rsidRPr="00AB3E2D">
        <w:rPr>
          <w:rFonts w:ascii="PT Astra Serif" w:eastAsia="Calibri" w:hAnsi="PT Astra Serif" w:cs="Times New Roman"/>
          <w:szCs w:val="28"/>
        </w:rPr>
        <w:t>» на реализацию проекта «Улётный ТИЦ» в размере 13,02 млн рублей (12,7 млн рублей средства федерального бюджета, 0,</w:t>
      </w:r>
      <w:r w:rsidR="00010FD7" w:rsidRPr="00AB3E2D">
        <w:rPr>
          <w:rFonts w:ascii="PT Astra Serif" w:eastAsia="Calibri" w:hAnsi="PT Astra Serif" w:cs="Times New Roman"/>
          <w:szCs w:val="28"/>
        </w:rPr>
        <w:t>32</w:t>
      </w:r>
      <w:r w:rsidR="00010FD7">
        <w:rPr>
          <w:rFonts w:ascii="PT Astra Serif" w:eastAsia="Calibri" w:hAnsi="PT Astra Serif" w:cs="Times New Roman"/>
          <w:szCs w:val="28"/>
        </w:rPr>
        <w:t xml:space="preserve"> </w:t>
      </w:r>
      <w:r w:rsidR="00010FD7" w:rsidRPr="00AB3E2D">
        <w:rPr>
          <w:rFonts w:ascii="PT Astra Serif" w:eastAsia="Calibri" w:cs="Times New Roman"/>
          <w:szCs w:val="28"/>
        </w:rPr>
        <w:t>млн</w:t>
      </w:r>
      <w:r w:rsidR="00010FD7">
        <w:rPr>
          <w:rFonts w:ascii="PT Astra Serif" w:eastAsia="Calibri" w:hAnsi="PT Astra Serif" w:cs="Times New Roman"/>
          <w:szCs w:val="28"/>
        </w:rPr>
        <w:t xml:space="preserve"> </w:t>
      </w:r>
      <w:r w:rsidRPr="00AB3E2D">
        <w:rPr>
          <w:rFonts w:ascii="PT Astra Serif" w:eastAsia="Calibri" w:hAnsi="PT Astra Serif" w:cs="Times New Roman"/>
          <w:szCs w:val="28"/>
        </w:rPr>
        <w:t>рублей</w:t>
      </w:r>
      <w:r w:rsidR="00010FD7">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регионального бюджета). </w:t>
      </w:r>
    </w:p>
    <w:p w14:paraId="474FC66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Исполнение результата создание ТИЦ перенесено согласно дополнительному соглашению от 19.12.2025 № 139-2024-П10063-1/3на </w:t>
      </w:r>
      <w:r w:rsidRPr="00AB3E2D">
        <w:rPr>
          <w:rFonts w:ascii="PT Astra Serif" w:eastAsia="Calibri" w:hAnsi="PT Astra Serif" w:cs="Times New Roman"/>
          <w:szCs w:val="28"/>
        </w:rPr>
        <w:br/>
        <w:t>01 апреля 2026 года.</w:t>
      </w:r>
    </w:p>
    <w:p w14:paraId="5A7A721F" w14:textId="44C53254"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szCs w:val="28"/>
        </w:rPr>
        <w:t>Для достижения результата</w:t>
      </w:r>
      <w:r w:rsidR="00717250">
        <w:rPr>
          <w:rFonts w:ascii="PT Astra Serif" w:eastAsia="Calibri" w:hAnsi="PT Astra Serif" w:cs="Times New Roman"/>
          <w:szCs w:val="28"/>
        </w:rPr>
        <w:t xml:space="preserve"> </w:t>
      </w:r>
      <w:r w:rsidRPr="00AB3E2D">
        <w:rPr>
          <w:rFonts w:ascii="PT Astra Serif" w:eastAsia="Calibri" w:hAnsi="PT Astra Serif" w:cs="Times New Roman"/>
          <w:b/>
          <w:szCs w:val="28"/>
        </w:rPr>
        <w:t xml:space="preserve">«Введены в эксплуатацию номера </w:t>
      </w:r>
      <w:r w:rsidRPr="00AB3E2D">
        <w:rPr>
          <w:rFonts w:ascii="PT Astra Serif" w:eastAsia="Calibri" w:hAnsi="PT Astra Serif" w:cs="Times New Roman"/>
          <w:b/>
          <w:szCs w:val="28"/>
        </w:rPr>
        <w:br/>
        <w:t>в модульных некапитальных средствах размещения»</w:t>
      </w:r>
      <w:r w:rsidRPr="00AB3E2D">
        <w:rPr>
          <w:rFonts w:ascii="PT Astra Serif" w:eastAsia="Calibri" w:hAnsi="PT Astra Serif" w:cs="Times New Roman"/>
          <w:szCs w:val="28"/>
        </w:rPr>
        <w:t xml:space="preserve"> в рамках реализации регионального проекта с 28 декабря 2024 года по 25 апреля 2025 года Министерством экономического развития Российской Федерации </w:t>
      </w:r>
      <w:r w:rsidRPr="00AB3E2D">
        <w:rPr>
          <w:rFonts w:ascii="PT Astra Serif" w:eastAsia="Calibri" w:hAnsi="PT Astra Serif" w:cs="Times New Roman"/>
          <w:szCs w:val="28"/>
        </w:rPr>
        <w:br/>
      </w:r>
      <w:r w:rsidRPr="00AB3E2D">
        <w:rPr>
          <w:rFonts w:ascii="PT Astra Serif" w:eastAsia="Calibri" w:hAnsi="PT Astra Serif" w:cs="Times New Roman"/>
          <w:szCs w:val="28"/>
        </w:rPr>
        <w:lastRenderedPageBreak/>
        <w:t>в рамках национального проекта «Туризм и гостеприимство» проведён конкурсный отбор субъектов Российской Федерации, на территории которых предполагается реализация инвестиционных проектов по созданию модульных некапитальных средств размещения в 2025 - 2027 годах.</w:t>
      </w:r>
    </w:p>
    <w:p w14:paraId="2678E4E8" w14:textId="65D511B0"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От Ульяновской области поддержано 3 инвестиционных проекта (выписка из Приложения № 6 Протокола заседания комиссии по вопросам предоставления и распределения в 2025-2027 годах субсидий из федерального бюджета бюджетам субъектов Российской Федерации на государственную поддержку инвестиционных проектов по созданию модульных некапитальных средств размещения от 9 июня 2025 года № 39-ВД):</w:t>
      </w:r>
    </w:p>
    <w:p w14:paraId="06F2635D" w14:textId="44913F46"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1. Инвестиционный проект по созданию новых модульных некапитальных круглогодичных средств размещения на территории </w:t>
      </w:r>
      <w:r w:rsidRPr="00AB3E2D">
        <w:rPr>
          <w:rFonts w:ascii="PT Astra Serif" w:eastAsia="Calibri" w:hAnsi="PT Astra Serif" w:cs="Times New Roman"/>
          <w:szCs w:val="28"/>
        </w:rPr>
        <w:br/>
        <w:t>и Загородного клуба «Малинки» в 2025-2027 годах (Старомайнский район). Общий объём денежных средств в 2025 году -16,7 млн рублей, (16,2 млн рублей сре</w:t>
      </w:r>
      <w:r w:rsidR="00010FD7">
        <w:rPr>
          <w:rFonts w:ascii="PT Astra Serif" w:eastAsia="Calibri" w:hAnsi="PT Astra Serif" w:cs="Times New Roman"/>
          <w:szCs w:val="28"/>
        </w:rPr>
        <w:t xml:space="preserve">дства федерального бюджета, 0,5 млн </w:t>
      </w:r>
      <w:r w:rsidRPr="00AB3E2D">
        <w:rPr>
          <w:rFonts w:ascii="PT Astra Serif" w:eastAsia="Calibri" w:hAnsi="PT Astra Serif" w:cs="Times New Roman"/>
          <w:szCs w:val="28"/>
        </w:rPr>
        <w:t>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w:t>
      </w:r>
      <w:r w:rsidR="00717250">
        <w:rPr>
          <w:rFonts w:ascii="PT Astra Serif" w:eastAsia="Calibri" w:hAnsi="PT Astra Serif" w:cs="Times New Roman"/>
          <w:szCs w:val="28"/>
        </w:rPr>
        <w:t xml:space="preserve"> </w:t>
      </w:r>
      <w:r w:rsidRPr="00AB3E2D">
        <w:rPr>
          <w:rFonts w:ascii="PT Astra Serif" w:eastAsia="Calibri" w:hAnsi="PT Astra Serif" w:cs="Times New Roman"/>
          <w:szCs w:val="28"/>
        </w:rPr>
        <w:t>Общий объём денежных средств в 2026 году -55,7 млн рублей (54,</w:t>
      </w:r>
      <w:proofErr w:type="gramStart"/>
      <w:r w:rsidRPr="00AB3E2D">
        <w:rPr>
          <w:rFonts w:ascii="PT Astra Serif" w:eastAsia="Calibri" w:hAnsi="PT Astra Serif" w:cs="Times New Roman"/>
          <w:szCs w:val="28"/>
        </w:rPr>
        <w:t xml:space="preserve">0 </w:t>
      </w:r>
      <w:r w:rsidRPr="00AB3E2D">
        <w:rPr>
          <w:rFonts w:ascii="PT Astra Serif" w:eastAsia="Calibri" w:cs="Times New Roman"/>
          <w:szCs w:val="28"/>
        </w:rPr>
        <w:t> </w:t>
      </w:r>
      <w:r w:rsidRPr="00AB3E2D">
        <w:rPr>
          <w:rFonts w:ascii="PT Astra Serif" w:eastAsia="Calibri" w:hAnsi="PT Astra Serif" w:cs="Times New Roman"/>
          <w:szCs w:val="28"/>
        </w:rPr>
        <w:t>млн</w:t>
      </w:r>
      <w:proofErr w:type="gramEnd"/>
      <w:r w:rsidRPr="00AB3E2D">
        <w:rPr>
          <w:rFonts w:ascii="PT Astra Serif" w:eastAsia="Calibri" w:hAnsi="PT Astra Serif" w:cs="Times New Roman"/>
          <w:szCs w:val="28"/>
        </w:rPr>
        <w:t xml:space="preserve">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w:t>
      </w:r>
      <w:r w:rsidR="00010FD7">
        <w:rPr>
          <w:rFonts w:ascii="PT Astra Serif" w:eastAsia="Calibri" w:hAnsi="PT Astra Serif" w:cs="Times New Roman"/>
          <w:szCs w:val="28"/>
        </w:rPr>
        <w:t xml:space="preserve">дства федерального бюджета, 1,7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 количество номеров – 52 номера в 2026 году.</w:t>
      </w:r>
    </w:p>
    <w:p w14:paraId="1BDA9A6A" w14:textId="7D82112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2. Строительство туристической базы отдыха «Урень» (Чердаклинский район). Общий объём денежных средств в 2027 году –37 млн рублей, (35,</w:t>
      </w:r>
      <w:proofErr w:type="gramStart"/>
      <w:r w:rsidRPr="00AB3E2D">
        <w:rPr>
          <w:rFonts w:ascii="PT Astra Serif" w:eastAsia="Calibri" w:hAnsi="PT Astra Serif" w:cs="Times New Roman"/>
          <w:szCs w:val="28"/>
        </w:rPr>
        <w:t xml:space="preserve">9 </w:t>
      </w:r>
      <w:r w:rsidRPr="00AB3E2D">
        <w:rPr>
          <w:rFonts w:ascii="PT Astra Serif" w:eastAsia="Calibri" w:cs="Times New Roman"/>
          <w:szCs w:val="28"/>
        </w:rPr>
        <w:t> </w:t>
      </w:r>
      <w:r w:rsidRPr="00AB3E2D">
        <w:rPr>
          <w:rFonts w:ascii="PT Astra Serif" w:eastAsia="Calibri" w:hAnsi="PT Astra Serif" w:cs="Times New Roman"/>
          <w:szCs w:val="28"/>
        </w:rPr>
        <w:t>млн</w:t>
      </w:r>
      <w:proofErr w:type="gramEnd"/>
      <w:r w:rsidRPr="00AB3E2D">
        <w:rPr>
          <w:rFonts w:ascii="PT Astra Serif" w:eastAsia="Calibri" w:hAnsi="PT Astra Serif" w:cs="Times New Roman"/>
          <w:szCs w:val="28"/>
        </w:rPr>
        <w:t xml:space="preserve">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федерального бюджета, 1,1 </w:t>
      </w:r>
      <w:r w:rsidRPr="00AB3E2D">
        <w:rPr>
          <w:rFonts w:ascii="PT Astra Serif" w:eastAsia="Calibri" w:cs="Times New Roman"/>
          <w:szCs w:val="28"/>
        </w:rPr>
        <w:t>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 количество номеров – 32.</w:t>
      </w:r>
    </w:p>
    <w:p w14:paraId="2C628DC1" w14:textId="34684D4D"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3. Проект по созданию модульных некапитальных средств размещения рядом с Ульяновским речным портом «Гостиничный комплекс «</w:t>
      </w:r>
      <w:proofErr w:type="spellStart"/>
      <w:r w:rsidRPr="00AB3E2D">
        <w:rPr>
          <w:rFonts w:ascii="PT Astra Serif" w:eastAsia="Calibri" w:hAnsi="PT Astra Serif" w:cs="Times New Roman"/>
          <w:szCs w:val="28"/>
        </w:rPr>
        <w:t>Завидово</w:t>
      </w:r>
      <w:proofErr w:type="spellEnd"/>
      <w:r w:rsidRPr="00AB3E2D">
        <w:rPr>
          <w:rFonts w:ascii="PT Astra Serif" w:eastAsia="Calibri" w:hAnsi="PT Astra Serif" w:cs="Times New Roman"/>
          <w:szCs w:val="28"/>
        </w:rPr>
        <w:t>»: отдых и туризм на Волге» (г.</w:t>
      </w:r>
      <w:r w:rsidR="00FA1F86">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Ульяновск). Общий объём денежных средств </w:t>
      </w:r>
      <w:r w:rsidRPr="00AB3E2D">
        <w:rPr>
          <w:rFonts w:ascii="PT Astra Serif" w:eastAsia="Calibri" w:hAnsi="PT Astra Serif" w:cs="Times New Roman"/>
          <w:szCs w:val="28"/>
        </w:rPr>
        <w:br/>
        <w:t>в 2027 году – 12,6 млн</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рублей, (12,2 </w:t>
      </w:r>
      <w:r w:rsidRPr="00AB3E2D">
        <w:rPr>
          <w:rFonts w:ascii="PT Astra Serif" w:eastAsia="Calibri" w:cs="Times New Roman"/>
          <w:szCs w:val="28"/>
        </w:rPr>
        <w:t>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средства федерального бюджета, 0,4 </w:t>
      </w:r>
      <w:r w:rsidRPr="00AB3E2D">
        <w:rPr>
          <w:rFonts w:ascii="PT Astra Serif" w:eastAsia="Calibri" w:cs="Times New Roman"/>
          <w:szCs w:val="28"/>
        </w:rPr>
        <w:t> </w:t>
      </w:r>
      <w:r w:rsidRPr="00AB3E2D">
        <w:rPr>
          <w:rFonts w:ascii="PT Astra Serif" w:eastAsia="Calibri" w:hAnsi="PT Astra Serif" w:cs="Times New Roman"/>
          <w:szCs w:val="28"/>
        </w:rPr>
        <w:t>млн рублей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средства регионального бюджета), количество номеров – 15.</w:t>
      </w:r>
    </w:p>
    <w:p w14:paraId="79C83750"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b/>
          <w:szCs w:val="28"/>
        </w:rPr>
        <w:t xml:space="preserve">Результат Регионального проекта - «Введены в эксплуатацию номера в модульных некапитальных средствах размещения» перенесен. </w:t>
      </w:r>
    </w:p>
    <w:p w14:paraId="10FEE323" w14:textId="2FE14C96"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szCs w:val="28"/>
        </w:rPr>
        <w:t xml:space="preserve">Согласно дополнительному соглашению к Соглашению о реализации регионального проекта «Создание номерного фонда, инфраструктуры </w:t>
      </w:r>
      <w:r w:rsidRPr="00AB3E2D">
        <w:rPr>
          <w:rFonts w:ascii="PT Astra Serif" w:eastAsia="Calibri" w:hAnsi="PT Astra Serif" w:cs="Times New Roman"/>
          <w:szCs w:val="28"/>
        </w:rPr>
        <w:br/>
        <w:t xml:space="preserve">и новых точек притяжения (Ульяновская область)» на территории Ульяновской области от 07.08.2025 года № 139-2024-П10063-1/1 </w:t>
      </w:r>
      <w:r w:rsidRPr="00AB3E2D">
        <w:rPr>
          <w:rFonts w:ascii="PT Astra Serif" w:eastAsia="Calibri" w:hAnsi="PT Astra Serif" w:cs="Times New Roman"/>
          <w:b/>
          <w:szCs w:val="28"/>
        </w:rPr>
        <w:t xml:space="preserve">по результату «Введены в эксплуатацию номера в модульных некапитальных средствах размещения» </w:t>
      </w:r>
      <w:r w:rsidRPr="00AB3E2D">
        <w:rPr>
          <w:rFonts w:ascii="PT Astra Serif" w:eastAsia="Calibri" w:hAnsi="PT Astra Serif" w:cs="Times New Roman"/>
          <w:szCs w:val="28"/>
        </w:rPr>
        <w:t>по</w:t>
      </w:r>
      <w:r w:rsidR="00990883">
        <w:rPr>
          <w:rFonts w:ascii="PT Astra Serif" w:eastAsia="Calibri" w:hAnsi="PT Astra Serif" w:cs="Times New Roman"/>
          <w:szCs w:val="28"/>
        </w:rPr>
        <w:t xml:space="preserve"> </w:t>
      </w:r>
      <w:r w:rsidRPr="00AB3E2D">
        <w:rPr>
          <w:rFonts w:ascii="PT Astra Serif" w:eastAsia="Calibri" w:hAnsi="PT Astra Serif" w:cs="Times New Roman"/>
          <w:szCs w:val="28"/>
        </w:rPr>
        <w:t>инвестиционному проекту по созданию новых модульных некапитальных круглогодичных средств размещения на территории и Загородного клуба «Малинки» в 2025</w:t>
      </w:r>
      <w:r w:rsidR="00990883">
        <w:rPr>
          <w:rFonts w:ascii="PT Astra Serif" w:eastAsia="Calibri" w:hAnsi="PT Astra Serif" w:cs="Times New Roman"/>
          <w:szCs w:val="28"/>
        </w:rPr>
        <w:t xml:space="preserve"> </w:t>
      </w:r>
      <w:r w:rsidRPr="00AB3E2D">
        <w:rPr>
          <w:rFonts w:ascii="PT Astra Serif" w:eastAsia="Calibri" w:hAnsi="PT Astra Serif" w:cs="Times New Roman"/>
          <w:szCs w:val="28"/>
        </w:rPr>
        <w:t>-</w:t>
      </w:r>
      <w:r w:rsidR="00990883">
        <w:rPr>
          <w:rFonts w:ascii="PT Astra Serif" w:eastAsia="Calibri" w:hAnsi="PT Astra Serif" w:cs="Times New Roman"/>
          <w:szCs w:val="28"/>
        </w:rPr>
        <w:t xml:space="preserve"> </w:t>
      </w:r>
      <w:r w:rsidRPr="00AB3E2D">
        <w:rPr>
          <w:rFonts w:ascii="PT Astra Serif" w:eastAsia="Calibri" w:hAnsi="PT Astra Serif" w:cs="Times New Roman"/>
          <w:szCs w:val="28"/>
        </w:rPr>
        <w:t>2027 годах перенесен</w:t>
      </w:r>
      <w:r w:rsidR="00990883">
        <w:rPr>
          <w:rFonts w:ascii="PT Astra Serif" w:eastAsia="Calibri" w:hAnsi="PT Astra Serif" w:cs="Times New Roman"/>
          <w:szCs w:val="28"/>
        </w:rPr>
        <w:t xml:space="preserve"> </w:t>
      </w:r>
      <w:r w:rsidRPr="00AB3E2D">
        <w:rPr>
          <w:rFonts w:ascii="PT Astra Serif" w:eastAsia="Calibri" w:hAnsi="PT Astra Serif" w:cs="Times New Roman"/>
          <w:b/>
          <w:szCs w:val="28"/>
        </w:rPr>
        <w:t xml:space="preserve">срок достижения планового значения 2025 года </w:t>
      </w:r>
      <w:r w:rsidRPr="00AB3E2D">
        <w:rPr>
          <w:rFonts w:ascii="PT Astra Serif" w:eastAsia="Calibri" w:hAnsi="PT Astra Serif" w:cs="Times New Roman"/>
          <w:b/>
          <w:szCs w:val="28"/>
        </w:rPr>
        <w:br/>
        <w:t>в количестве 12 ед. – на 1 июля 2026 года, срок достижения планового значения 2026 года в количестве 40 ед. - на 31 декабря 2026 года.</w:t>
      </w:r>
    </w:p>
    <w:p w14:paraId="007DE8F9" w14:textId="217081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В рамках национального проекта «Туризм и индустрия гостеприимства» на территории Ульяновской области в 2024 году была </w:t>
      </w:r>
      <w:r w:rsidRPr="00AB3E2D">
        <w:rPr>
          <w:rFonts w:ascii="PT Astra Serif" w:eastAsia="Calibri" w:hAnsi="PT Astra Serif" w:cs="Times New Roman"/>
          <w:szCs w:val="28"/>
          <w:u w:val="single"/>
        </w:rPr>
        <w:t>оказана государственная поддержка на создание модульных некапитальных средств размещения,</w:t>
      </w:r>
      <w:r w:rsidRPr="00AB3E2D">
        <w:rPr>
          <w:rFonts w:ascii="PT Astra Serif" w:eastAsia="Calibri" w:hAnsi="PT Astra Serif" w:cs="Times New Roman"/>
          <w:szCs w:val="28"/>
        </w:rPr>
        <w:t xml:space="preserve"> </w:t>
      </w:r>
      <w:r w:rsidRPr="00AB3E2D">
        <w:rPr>
          <w:rFonts w:ascii="PT Astra Serif" w:eastAsia="Calibri" w:hAnsi="PT Astra Serif" w:cs="Times New Roman"/>
          <w:szCs w:val="28"/>
        </w:rPr>
        <w:lastRenderedPageBreak/>
        <w:t>направленных на развитие туризма в Ульяновской области</w:t>
      </w:r>
      <w:r w:rsidR="00FA1F86">
        <w:rPr>
          <w:rFonts w:ascii="PT Astra Serif" w:eastAsia="Calibri" w:hAnsi="PT Astra Serif" w:cs="Times New Roman"/>
          <w:szCs w:val="28"/>
        </w:rPr>
        <w:t>,</w:t>
      </w:r>
      <w:r w:rsidRPr="00AB3E2D">
        <w:rPr>
          <w:rFonts w:ascii="PT Astra Serif" w:eastAsia="Calibri" w:hAnsi="PT Astra Serif" w:cs="Times New Roman"/>
          <w:szCs w:val="28"/>
        </w:rPr>
        <w:t xml:space="preserve"> на сумму 28,9 млн руб. заключены соглашения между Правительством Ульяновской области </w:t>
      </w:r>
      <w:r w:rsidR="00B80AAC">
        <w:rPr>
          <w:rFonts w:ascii="PT Astra Serif" w:eastAsia="Calibri" w:hAnsi="PT Astra Serif" w:cs="Times New Roman"/>
          <w:szCs w:val="28"/>
        </w:rPr>
        <w:br/>
      </w:r>
      <w:r w:rsidRPr="00AB3E2D">
        <w:rPr>
          <w:rFonts w:ascii="PT Astra Serif" w:eastAsia="Calibri" w:hAnsi="PT Astra Serif" w:cs="Times New Roman"/>
          <w:szCs w:val="28"/>
        </w:rPr>
        <w:t xml:space="preserve">и получателями Субсидии (парк-отель «АКСАУР» (ИП </w:t>
      </w:r>
      <w:proofErr w:type="spellStart"/>
      <w:r w:rsidRPr="00AB3E2D">
        <w:rPr>
          <w:rFonts w:ascii="PT Astra Serif" w:eastAsia="Calibri" w:hAnsi="PT Astra Serif" w:cs="Times New Roman"/>
          <w:szCs w:val="28"/>
        </w:rPr>
        <w:t>Укурнова</w:t>
      </w:r>
      <w:proofErr w:type="spellEnd"/>
      <w:r w:rsidRPr="00AB3E2D">
        <w:rPr>
          <w:rFonts w:ascii="PT Astra Serif" w:eastAsia="Calibri" w:hAnsi="PT Astra Serif" w:cs="Times New Roman"/>
          <w:szCs w:val="28"/>
        </w:rPr>
        <w:t xml:space="preserve"> Н.О.), модульная гостиница с </w:t>
      </w:r>
      <w:proofErr w:type="spellStart"/>
      <w:r w:rsidRPr="00AB3E2D">
        <w:rPr>
          <w:rFonts w:ascii="PT Astra Serif" w:eastAsia="Calibri" w:hAnsi="PT Astra Serif" w:cs="Times New Roman"/>
          <w:szCs w:val="28"/>
        </w:rPr>
        <w:t>автокемпингом</w:t>
      </w:r>
      <w:proofErr w:type="spellEnd"/>
      <w:r w:rsidRPr="00AB3E2D">
        <w:rPr>
          <w:rFonts w:ascii="PT Astra Serif" w:eastAsia="Calibri" w:hAnsi="PT Astra Serif" w:cs="Times New Roman"/>
          <w:szCs w:val="28"/>
        </w:rPr>
        <w:t xml:space="preserve"> «Караван» (ООО «Панда»), создание </w:t>
      </w:r>
      <w:proofErr w:type="spellStart"/>
      <w:r w:rsidRPr="00AB3E2D">
        <w:rPr>
          <w:rFonts w:ascii="PT Astra Serif" w:eastAsia="Calibri" w:hAnsi="PT Astra Serif" w:cs="Times New Roman"/>
          <w:szCs w:val="28"/>
        </w:rPr>
        <w:t>круглодичных</w:t>
      </w:r>
      <w:proofErr w:type="spellEnd"/>
      <w:r w:rsidRPr="00AB3E2D">
        <w:rPr>
          <w:rFonts w:ascii="PT Astra Serif" w:eastAsia="Calibri" w:hAnsi="PT Astra Serif" w:cs="Times New Roman"/>
          <w:szCs w:val="28"/>
        </w:rPr>
        <w:t xml:space="preserve"> модульных некапитальных средств размещения на объекте туристско-рекреационного назначения в кемпинге «Чайка (АО</w:t>
      </w:r>
      <w:r w:rsidR="00FA1F86">
        <w:rPr>
          <w:rFonts w:ascii="PT Astra Serif" w:eastAsia="Calibri" w:hAnsi="PT Astra Serif" w:cs="Times New Roman"/>
          <w:szCs w:val="28"/>
        </w:rPr>
        <w:t xml:space="preserve"> </w:t>
      </w:r>
      <w:r w:rsidRPr="00AB3E2D">
        <w:rPr>
          <w:rFonts w:ascii="PT Astra Serif" w:eastAsia="Calibri" w:hAnsi="PT Astra Serif" w:cs="Times New Roman"/>
          <w:szCs w:val="28"/>
        </w:rPr>
        <w:t>«</w:t>
      </w:r>
      <w:proofErr w:type="spellStart"/>
      <w:r w:rsidRPr="00AB3E2D">
        <w:rPr>
          <w:rFonts w:ascii="PT Astra Serif" w:eastAsia="Calibri" w:hAnsi="PT Astra Serif" w:cs="Times New Roman"/>
          <w:szCs w:val="28"/>
        </w:rPr>
        <w:t>Ульяновсккурорт</w:t>
      </w:r>
      <w:proofErr w:type="spellEnd"/>
      <w:r w:rsidRPr="00AB3E2D">
        <w:rPr>
          <w:rFonts w:ascii="PT Astra Serif" w:eastAsia="Calibri" w:hAnsi="PT Astra Serif" w:cs="Times New Roman"/>
          <w:szCs w:val="28"/>
        </w:rPr>
        <w:t xml:space="preserve">»), эко-проект «Тихая гавань» (ИП </w:t>
      </w:r>
      <w:proofErr w:type="spellStart"/>
      <w:r w:rsidRPr="00AB3E2D">
        <w:rPr>
          <w:rFonts w:ascii="PT Astra Serif" w:eastAsia="Calibri" w:hAnsi="PT Astra Serif" w:cs="Times New Roman"/>
          <w:szCs w:val="28"/>
        </w:rPr>
        <w:t>Тахаутдинов</w:t>
      </w:r>
      <w:proofErr w:type="spellEnd"/>
      <w:r w:rsidRPr="00AB3E2D">
        <w:rPr>
          <w:rFonts w:ascii="PT Astra Serif" w:eastAsia="Calibri" w:hAnsi="PT Astra Serif" w:cs="Times New Roman"/>
          <w:szCs w:val="28"/>
        </w:rPr>
        <w:t xml:space="preserve"> Р.Н.), проект «Русский берег» (ООО «Русский берег»).</w:t>
      </w:r>
    </w:p>
    <w:p w14:paraId="56FF6C5C" w14:textId="3EA71B89"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ИП </w:t>
      </w:r>
      <w:proofErr w:type="spellStart"/>
      <w:r w:rsidRPr="00AB3E2D">
        <w:rPr>
          <w:rFonts w:ascii="PT Astra Serif" w:eastAsia="Calibri" w:hAnsi="PT Astra Serif" w:cs="Times New Roman"/>
          <w:szCs w:val="28"/>
        </w:rPr>
        <w:t>Тахаутдинов</w:t>
      </w:r>
      <w:proofErr w:type="spellEnd"/>
      <w:r w:rsidRPr="00AB3E2D">
        <w:rPr>
          <w:rFonts w:ascii="PT Astra Serif" w:eastAsia="Calibri" w:hAnsi="PT Astra Serif" w:cs="Times New Roman"/>
          <w:szCs w:val="28"/>
        </w:rPr>
        <w:t xml:space="preserve"> Р.Н. вернул денежные средства в областной бюджет Ульяновской области в полном объёме (12 </w:t>
      </w:r>
      <w:r w:rsidRPr="00AB3E2D">
        <w:rPr>
          <w:rFonts w:ascii="PT Astra Serif" w:eastAsia="Calibri" w:cs="Times New Roman"/>
          <w:szCs w:val="28"/>
        </w:rPr>
        <w:t> </w:t>
      </w:r>
      <w:r w:rsidRPr="00AB3E2D">
        <w:rPr>
          <w:rFonts w:ascii="PT Astra Serif" w:eastAsia="Calibri" w:hAnsi="PT Astra Serif" w:cs="Times New Roman"/>
          <w:szCs w:val="28"/>
        </w:rPr>
        <w:t xml:space="preserve">млн. рублей) в связи </w:t>
      </w:r>
      <w:r w:rsidRPr="00AB3E2D">
        <w:rPr>
          <w:rFonts w:ascii="PT Astra Serif" w:eastAsia="Calibri" w:hAnsi="PT Astra Serif" w:cs="Times New Roman"/>
          <w:szCs w:val="28"/>
        </w:rPr>
        <w:br/>
        <w:t xml:space="preserve">с невозможностью реализовать инвестиционный проект «Тихая гавань» на территории муниципального образования «город Ульяновск» </w:t>
      </w:r>
      <w:r w:rsidR="00FA1F86">
        <w:rPr>
          <w:rFonts w:ascii="PT Astra Serif" w:eastAsia="Calibri" w:hAnsi="PT Astra Serif" w:cs="Times New Roman"/>
          <w:szCs w:val="28"/>
        </w:rPr>
        <w:br/>
      </w:r>
      <w:r w:rsidRPr="00AB3E2D">
        <w:rPr>
          <w:rFonts w:ascii="PT Astra Serif" w:eastAsia="Calibri" w:hAnsi="PT Astra Serif" w:cs="Times New Roman"/>
          <w:szCs w:val="28"/>
        </w:rPr>
        <w:t>в Железнодорожном районе.</w:t>
      </w:r>
      <w:r w:rsidR="00FA1F86">
        <w:rPr>
          <w:rFonts w:ascii="PT Astra Serif" w:eastAsia="Calibri" w:hAnsi="PT Astra Serif" w:cs="Times New Roman"/>
          <w:szCs w:val="28"/>
        </w:rPr>
        <w:t xml:space="preserve"> </w:t>
      </w:r>
      <w:r w:rsidRPr="00AB3E2D">
        <w:rPr>
          <w:rFonts w:ascii="PT Astra Serif" w:eastAsia="Calibri" w:hAnsi="PT Astra Serif" w:cs="Times New Roman"/>
          <w:szCs w:val="28"/>
        </w:rPr>
        <w:t xml:space="preserve">В связи с чем, были заключены дополнительные соглашения между Министерством строительства и жилищно-коммунального хозяйства Российской Федерации и Правительством Ульяновской области </w:t>
      </w:r>
      <w:r w:rsidR="00FA1F86">
        <w:rPr>
          <w:rFonts w:ascii="PT Astra Serif" w:eastAsia="Calibri" w:hAnsi="PT Astra Serif" w:cs="Times New Roman"/>
          <w:szCs w:val="28"/>
        </w:rPr>
        <w:br/>
      </w:r>
      <w:r w:rsidRPr="00AB3E2D">
        <w:rPr>
          <w:rFonts w:ascii="PT Astra Serif" w:eastAsia="Calibri" w:hAnsi="PT Astra Serif" w:cs="Times New Roman"/>
          <w:szCs w:val="28"/>
        </w:rPr>
        <w:t>с целью внесения изменений в соглашение № 069-2022-J10012-6 на изменение количества вводимых номерных фондов в 2024 году (вместо 94 номеров установлено 84 номера).</w:t>
      </w:r>
    </w:p>
    <w:p w14:paraId="1FECEB40" w14:textId="77777777" w:rsidR="00AB3E2D" w:rsidRPr="00AB3E2D" w:rsidRDefault="00AB3E2D" w:rsidP="00AB3E2D">
      <w:pPr>
        <w:widowControl w:val="0"/>
        <w:rPr>
          <w:rFonts w:ascii="PT Astra Serif" w:eastAsia="Calibri" w:hAnsi="PT Astra Serif" w:cs="Times New Roman"/>
          <w:b/>
          <w:szCs w:val="28"/>
        </w:rPr>
      </w:pPr>
      <w:r w:rsidRPr="00AB3E2D">
        <w:rPr>
          <w:rFonts w:ascii="PT Astra Serif" w:eastAsia="Calibri" w:hAnsi="PT Astra Serif" w:cs="Times New Roman"/>
          <w:b/>
          <w:szCs w:val="28"/>
        </w:rPr>
        <w:t xml:space="preserve">Результатом предоставления субсидии является количество номеров введённых в эксплуатацию модульных некапитальных средствах размещения. В 2024 году введено в эксплуатацию 84 номера. Заявленный показатель достигнут в срок, в полном объёме. Кассовое исполнение - 100%. </w:t>
      </w:r>
    </w:p>
    <w:p w14:paraId="5F09CA51" w14:textId="77777777" w:rsidR="00AB3E2D" w:rsidRPr="00AB3E2D" w:rsidRDefault="00AB3E2D" w:rsidP="00AB3E2D">
      <w:pPr>
        <w:widowControl w:val="0"/>
        <w:rPr>
          <w:rFonts w:ascii="PT Astra Serif" w:eastAsia="Calibri" w:hAnsi="PT Astra Serif" w:cs="Times New Roman"/>
          <w:szCs w:val="28"/>
          <w:u w:val="single"/>
        </w:rPr>
      </w:pPr>
      <w:r w:rsidRPr="00AB3E2D">
        <w:rPr>
          <w:rFonts w:ascii="PT Astra Serif" w:eastAsia="Calibri" w:hAnsi="PT Astra Serif" w:cs="Times New Roman"/>
          <w:szCs w:val="28"/>
          <w:u w:val="single"/>
        </w:rPr>
        <w:t>Было поддержано 25 событийных мероприятия.</w:t>
      </w:r>
    </w:p>
    <w:p w14:paraId="15A37DFD" w14:textId="382FF42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Общий объем денежных средств на предоставление государственной поддержки на продвижение событийных мероприятий, направленных на развитие туризма в Ульяновской области, составляет 49 млн рублей. Соответствующие соглашения с </w:t>
      </w:r>
      <w:proofErr w:type="spellStart"/>
      <w:r w:rsidRPr="00AB3E2D">
        <w:rPr>
          <w:rFonts w:ascii="PT Astra Serif" w:eastAsia="Calibri" w:hAnsi="PT Astra Serif" w:cs="Times New Roman"/>
          <w:szCs w:val="28"/>
        </w:rPr>
        <w:t>грантополучателями</w:t>
      </w:r>
      <w:proofErr w:type="spellEnd"/>
      <w:r w:rsidRPr="00AB3E2D">
        <w:rPr>
          <w:rFonts w:ascii="PT Astra Serif" w:eastAsia="Calibri" w:hAnsi="PT Astra Serif" w:cs="Times New Roman"/>
          <w:szCs w:val="28"/>
        </w:rPr>
        <w:t xml:space="preserve"> заключены, денежные средства перечислены.</w:t>
      </w:r>
    </w:p>
    <w:p w14:paraId="3C25105A" w14:textId="265195C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Денежные средства на предоставление государственной поддержки на продвижение событийных мероприятий направлены на финансовое обеспечение части затрат и на возмещение части затрат, связанных </w:t>
      </w:r>
      <w:r w:rsidR="00FA1F86">
        <w:rPr>
          <w:rFonts w:ascii="PT Astra Serif" w:eastAsia="Calibri" w:hAnsi="PT Astra Serif" w:cs="Times New Roman"/>
          <w:szCs w:val="28"/>
        </w:rPr>
        <w:br/>
      </w:r>
      <w:r w:rsidRPr="00AB3E2D">
        <w:rPr>
          <w:rFonts w:ascii="PT Astra Serif" w:eastAsia="Calibri" w:hAnsi="PT Astra Serif" w:cs="Times New Roman"/>
          <w:szCs w:val="28"/>
        </w:rPr>
        <w:t>с поддержкой и продвижением событийных мероприятий.</w:t>
      </w:r>
    </w:p>
    <w:p w14:paraId="74F1246F" w14:textId="47B51C1D"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Объём денежных средств на предоставление государственной поддержки на финансового обеспечения части затрат, связанных </w:t>
      </w:r>
      <w:r w:rsidRPr="00AB3E2D">
        <w:rPr>
          <w:rFonts w:ascii="PT Astra Serif" w:eastAsia="Calibri" w:hAnsi="PT Astra Serif" w:cs="Times New Roman"/>
          <w:szCs w:val="28"/>
        </w:rPr>
        <w:br/>
        <w:t>с поддержкой и продвижением событийных мероприятий, направленных на развитие туризма в Ульяновской области составляет 39 млн рублей, из них</w:t>
      </w:r>
      <w:r w:rsidRPr="00AB3E2D">
        <w:rPr>
          <w:rFonts w:ascii="PT Astra Serif" w:eastAsia="Calibri" w:hAnsi="PT Astra Serif" w:cs="Times New Roman"/>
          <w:szCs w:val="28"/>
        </w:rPr>
        <w:br/>
        <w:t>1,2</w:t>
      </w:r>
      <w:r w:rsidR="00FA1F86">
        <w:rPr>
          <w:rFonts w:ascii="PT Astra Serif" w:eastAsia="Calibri" w:hAnsi="PT Astra Serif" w:cs="Times New Roman"/>
          <w:szCs w:val="28"/>
        </w:rPr>
        <w:t xml:space="preserve"> </w:t>
      </w:r>
      <w:r w:rsidRPr="00AB3E2D">
        <w:rPr>
          <w:rFonts w:ascii="PT Astra Serif" w:eastAsia="Calibri" w:hAnsi="PT Astra Serif" w:cs="Times New Roman"/>
          <w:szCs w:val="28"/>
        </w:rPr>
        <w:t>млн рублей из средств регионального бюджета.</w:t>
      </w:r>
    </w:p>
    <w:p w14:paraId="620FAB10" w14:textId="77777777" w:rsidR="00AB3E2D" w:rsidRPr="00AB3E2D" w:rsidRDefault="00AB3E2D" w:rsidP="00AB3E2D">
      <w:pPr>
        <w:widowControl w:val="0"/>
        <w:rPr>
          <w:rFonts w:ascii="PT Astra Serif" w:eastAsia="Calibri" w:hAnsi="PT Astra Serif" w:cs="Times New Roman"/>
          <w:szCs w:val="28"/>
          <w:u w:val="single"/>
        </w:rPr>
      </w:pPr>
      <w:r w:rsidRPr="00AB3E2D">
        <w:rPr>
          <w:rFonts w:ascii="PT Astra Serif" w:eastAsia="Calibri" w:hAnsi="PT Astra Serif" w:cs="Times New Roman"/>
          <w:szCs w:val="28"/>
          <w:u w:val="single"/>
        </w:rPr>
        <w:t>Были поддержаны следующие проекты.</w:t>
      </w:r>
    </w:p>
    <w:p w14:paraId="0E225EA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«Открытый городской фестиваль «Высший пилотаж».</w:t>
      </w:r>
    </w:p>
    <w:p w14:paraId="5795FE57"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«11 сезон недели моды в Ульяновске».</w:t>
      </w:r>
    </w:p>
    <w:p w14:paraId="304B28FF"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технических видов спорта «Слободская Балка 2024».</w:t>
      </w:r>
    </w:p>
    <w:p w14:paraId="4E708CD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«Исторический фестиваль «Великий Волжский Путь».</w:t>
      </w:r>
    </w:p>
    <w:p w14:paraId="4ED8C60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w:t>
      </w:r>
      <w:proofErr w:type="spellStart"/>
      <w:r w:rsidRPr="00AB3E2D">
        <w:rPr>
          <w:rFonts w:ascii="PT Astra Serif" w:eastAsia="Calibri" w:hAnsi="PT Astra Serif" w:cs="Times New Roman"/>
          <w:szCs w:val="28"/>
        </w:rPr>
        <w:t>Вольсов</w:t>
      </w:r>
      <w:proofErr w:type="spellEnd"/>
      <w:r w:rsidRPr="00AB3E2D">
        <w:rPr>
          <w:rFonts w:ascii="PT Astra Serif" w:eastAsia="Calibri" w:hAnsi="PT Astra Serif" w:cs="Times New Roman"/>
          <w:szCs w:val="28"/>
        </w:rPr>
        <w:t xml:space="preserve"> влюблённый в город».</w:t>
      </w:r>
    </w:p>
    <w:p w14:paraId="6D32399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«Межрегиональный </w:t>
      </w:r>
      <w:proofErr w:type="spellStart"/>
      <w:r w:rsidRPr="00AB3E2D">
        <w:rPr>
          <w:rFonts w:ascii="PT Astra Serif" w:eastAsia="Calibri" w:hAnsi="PT Astra Serif" w:cs="Times New Roman"/>
          <w:szCs w:val="28"/>
        </w:rPr>
        <w:t>Давыдовский</w:t>
      </w:r>
      <w:proofErr w:type="spellEnd"/>
      <w:r w:rsidRPr="00AB3E2D">
        <w:rPr>
          <w:rFonts w:ascii="PT Astra Serif" w:eastAsia="Calibri" w:hAnsi="PT Astra Serif" w:cs="Times New Roman"/>
          <w:szCs w:val="28"/>
        </w:rPr>
        <w:t xml:space="preserve"> культурно-исторический фестиваль </w:t>
      </w:r>
      <w:r w:rsidRPr="00AB3E2D">
        <w:rPr>
          <w:rFonts w:ascii="PT Astra Serif" w:eastAsia="Calibri" w:hAnsi="PT Astra Serif" w:cs="Times New Roman"/>
          <w:szCs w:val="28"/>
        </w:rPr>
        <w:lastRenderedPageBreak/>
        <w:t>«Тебе-певцу! Тебе-герою!».</w:t>
      </w:r>
    </w:p>
    <w:p w14:paraId="3AD8F68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«Форум «Карьера в туризме».</w:t>
      </w:r>
    </w:p>
    <w:p w14:paraId="30777A2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современного искусства и зодчества «ОКНА».</w:t>
      </w:r>
    </w:p>
    <w:p w14:paraId="7297135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«Бульвар».</w:t>
      </w:r>
    </w:p>
    <w:p w14:paraId="28CD1E1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«Гастрономический фестиваль «Два дня ели </w:t>
      </w:r>
      <w:proofErr w:type="spellStart"/>
      <w:r w:rsidRPr="00AB3E2D">
        <w:rPr>
          <w:rFonts w:ascii="PT Astra Serif" w:eastAsia="Calibri" w:hAnsi="PT Astra Serif" w:cs="Times New Roman"/>
          <w:szCs w:val="28"/>
        </w:rPr>
        <w:t>ВсесЪели</w:t>
      </w:r>
      <w:proofErr w:type="spellEnd"/>
      <w:r w:rsidRPr="00AB3E2D">
        <w:rPr>
          <w:rFonts w:ascii="PT Astra Serif" w:eastAsia="Calibri" w:hAnsi="PT Astra Serif" w:cs="Times New Roman"/>
          <w:szCs w:val="28"/>
        </w:rPr>
        <w:t>».</w:t>
      </w:r>
    </w:p>
    <w:p w14:paraId="6008F29C"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«Семейный фестиваль музыки «Наше время».</w:t>
      </w:r>
    </w:p>
    <w:p w14:paraId="52502DBA"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свободного времени «К Симбирску был особый интерес», посвящённый 225-летию со дня рождения великого русского поэта А.С. Пушкина».</w:t>
      </w:r>
    </w:p>
    <w:p w14:paraId="68F7175A" w14:textId="1C3334F6"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спортивных единоборств».</w:t>
      </w:r>
    </w:p>
    <w:p w14:paraId="6A47CF47" w14:textId="75DF35F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электронной музыки «Калейдоскоп».</w:t>
      </w:r>
    </w:p>
    <w:p w14:paraId="5FE7D31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«Комплекс мероприятий ко Дню Молодёжи».</w:t>
      </w:r>
    </w:p>
    <w:p w14:paraId="5B9A4D08"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«Семейный фестиваль «Иван Купала».</w:t>
      </w:r>
    </w:p>
    <w:p w14:paraId="498A1BC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«II Международный театральный фестиваль спектаклей для всей семьи «ВМЕСТЕ».</w:t>
      </w:r>
    </w:p>
    <w:p w14:paraId="52585C0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«Религиозная организация «Архиерейское подворье храма Святителя Николая Чудотворца </w:t>
      </w:r>
      <w:proofErr w:type="spellStart"/>
      <w:r w:rsidRPr="00AB3E2D">
        <w:rPr>
          <w:rFonts w:ascii="PT Astra Serif" w:eastAsia="Calibri" w:hAnsi="PT Astra Serif" w:cs="Times New Roman"/>
          <w:szCs w:val="28"/>
        </w:rPr>
        <w:t>р.п</w:t>
      </w:r>
      <w:proofErr w:type="spellEnd"/>
      <w:r w:rsidRPr="00AB3E2D">
        <w:rPr>
          <w:rFonts w:ascii="PT Astra Serif" w:eastAsia="Calibri" w:hAnsi="PT Astra Serif" w:cs="Times New Roman"/>
          <w:szCs w:val="28"/>
        </w:rPr>
        <w:t>. Сурское Ульяновской области Симбирской Епархии Русской Православной Церкви (Московский Патриархат)».</w:t>
      </w:r>
    </w:p>
    <w:p w14:paraId="22CFAEB2"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«Программа развития общественного пространства на ул. Федерации как туристического центра города».</w:t>
      </w:r>
    </w:p>
    <w:p w14:paraId="146DABF2" w14:textId="0B25261D"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«XXI Открытый межрегиональный фестиваль авторской </w:t>
      </w:r>
      <w:r w:rsidR="00990883">
        <w:rPr>
          <w:rFonts w:ascii="PT Astra Serif" w:eastAsia="Calibri" w:hAnsi="PT Astra Serif" w:cs="Times New Roman"/>
          <w:szCs w:val="28"/>
        </w:rPr>
        <w:br/>
      </w:r>
      <w:r w:rsidRPr="00AB3E2D">
        <w:rPr>
          <w:rFonts w:ascii="PT Astra Serif" w:eastAsia="Calibri" w:hAnsi="PT Astra Serif" w:cs="Times New Roman"/>
          <w:szCs w:val="28"/>
        </w:rPr>
        <w:t>и патриотической песни Ломы».</w:t>
      </w:r>
    </w:p>
    <w:p w14:paraId="4E6A2F1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«Фестиваль «Праздник в усадьбе Ивашевых. Один день дворянской жизни».</w:t>
      </w:r>
    </w:p>
    <w:p w14:paraId="5A9E6152" w14:textId="02C098C9"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Объём денежных средств на предоставление государственной поддержки на возмещение части затрат, связанных с поддержкой </w:t>
      </w:r>
      <w:r w:rsidR="00990883">
        <w:rPr>
          <w:rFonts w:ascii="PT Astra Serif" w:eastAsia="Calibri" w:hAnsi="PT Astra Serif" w:cs="Times New Roman"/>
          <w:szCs w:val="28"/>
        </w:rPr>
        <w:br/>
      </w:r>
      <w:r w:rsidRPr="00AB3E2D">
        <w:rPr>
          <w:rFonts w:ascii="PT Astra Serif" w:eastAsia="Calibri" w:hAnsi="PT Astra Serif" w:cs="Times New Roman"/>
          <w:szCs w:val="28"/>
        </w:rPr>
        <w:t>и продвижением событийных мероприятий, направленных на развитие туризма в Ульяновской области составляет 10 млн рублей, из них 300 тыс. рублей из средств регионального бюджета.</w:t>
      </w:r>
    </w:p>
    <w:p w14:paraId="0AB5ADD6" w14:textId="77777777" w:rsidR="00AB3E2D" w:rsidRPr="00AB3E2D" w:rsidRDefault="00AB3E2D" w:rsidP="00AB3E2D">
      <w:pPr>
        <w:widowControl w:val="0"/>
        <w:jc w:val="center"/>
        <w:rPr>
          <w:rFonts w:ascii="PT Astra Serif" w:eastAsia="Calibri" w:hAnsi="PT Astra Serif" w:cs="Times New Roman"/>
          <w:b/>
          <w:sz w:val="20"/>
          <w:szCs w:val="20"/>
        </w:rPr>
      </w:pPr>
      <w:r w:rsidRPr="00AB3E2D">
        <w:rPr>
          <w:rFonts w:ascii="PT Astra Serif" w:eastAsia="Calibri" w:hAnsi="PT Astra Serif" w:cs="Times New Roman"/>
          <w:b/>
          <w:sz w:val="20"/>
          <w:szCs w:val="20"/>
        </w:rPr>
        <w:t>Результаты предоставления субсидии и их влияние на качество жизни в регионе</w:t>
      </w:r>
    </w:p>
    <w:tbl>
      <w:tblPr>
        <w:tblStyle w:val="190"/>
        <w:tblW w:w="9385" w:type="dxa"/>
        <w:tblInd w:w="108" w:type="dxa"/>
        <w:tblLook w:val="04A0" w:firstRow="1" w:lastRow="0" w:firstColumn="1" w:lastColumn="0" w:noHBand="0" w:noVBand="1"/>
      </w:tblPr>
      <w:tblGrid>
        <w:gridCol w:w="2297"/>
        <w:gridCol w:w="851"/>
        <w:gridCol w:w="850"/>
        <w:gridCol w:w="5387"/>
      </w:tblGrid>
      <w:tr w:rsidR="00AB3E2D" w:rsidRPr="00AB3E2D" w14:paraId="0B1C1433" w14:textId="77777777" w:rsidTr="00D451A4">
        <w:trPr>
          <w:trHeight w:val="401"/>
        </w:trPr>
        <w:tc>
          <w:tcPr>
            <w:tcW w:w="2297" w:type="dxa"/>
            <w:tcBorders>
              <w:top w:val="single" w:sz="4" w:space="0" w:color="auto"/>
              <w:left w:val="single" w:sz="4" w:space="0" w:color="auto"/>
              <w:bottom w:val="single" w:sz="4" w:space="0" w:color="auto"/>
              <w:right w:val="single" w:sz="4" w:space="0" w:color="auto"/>
            </w:tcBorders>
            <w:vAlign w:val="center"/>
          </w:tcPr>
          <w:p w14:paraId="3DF444FF" w14:textId="77777777" w:rsidR="00AB3E2D" w:rsidRPr="00FD65E0" w:rsidRDefault="00AB3E2D" w:rsidP="00FA1F86">
            <w:pPr>
              <w:widowControl w:val="0"/>
              <w:ind w:firstLine="0"/>
              <w:contextualSpacing/>
              <w:jc w:val="center"/>
              <w:rPr>
                <w:rFonts w:ascii="PT Astra Serif" w:hAnsi="PT Astra Serif" w:cs="Calibri"/>
                <w:b/>
                <w:sz w:val="18"/>
                <w:szCs w:val="18"/>
              </w:rPr>
            </w:pPr>
            <w:r w:rsidRPr="00FD65E0">
              <w:rPr>
                <w:rFonts w:ascii="PT Astra Serif" w:hAnsi="PT Astra Serif" w:cs="Calibri"/>
                <w:b/>
                <w:sz w:val="18"/>
                <w:szCs w:val="18"/>
              </w:rPr>
              <w:t>Результат</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07BF61" w14:textId="6B64A1B4" w:rsidR="00AB3E2D" w:rsidRPr="00FD65E0" w:rsidRDefault="00AB3E2D" w:rsidP="00FA1F86">
            <w:pPr>
              <w:widowControl w:val="0"/>
              <w:ind w:firstLine="0"/>
              <w:contextualSpacing/>
              <w:jc w:val="center"/>
              <w:rPr>
                <w:rFonts w:ascii="PT Astra Serif" w:hAnsi="PT Astra Serif" w:cs="Calibri"/>
                <w:b/>
                <w:sz w:val="18"/>
                <w:szCs w:val="18"/>
              </w:rPr>
            </w:pPr>
            <w:r w:rsidRPr="00FD65E0">
              <w:rPr>
                <w:rFonts w:ascii="PT Astra Serif" w:hAnsi="PT Astra Serif" w:cs="Calibri"/>
                <w:b/>
                <w:sz w:val="18"/>
                <w:szCs w:val="18"/>
              </w:rPr>
              <w:t>2024</w:t>
            </w:r>
            <w:r w:rsidR="00D451A4">
              <w:rPr>
                <w:rFonts w:ascii="PT Astra Serif" w:hAnsi="PT Astra Serif" w:cs="Calibri"/>
                <w:b/>
                <w:sz w:val="18"/>
                <w:szCs w:val="18"/>
              </w:rPr>
              <w:t xml:space="preserve"> 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45D6C9" w14:textId="3E79CC46" w:rsidR="00AB3E2D" w:rsidRPr="00FD65E0" w:rsidRDefault="00AB3E2D" w:rsidP="00FA1F86">
            <w:pPr>
              <w:widowControl w:val="0"/>
              <w:ind w:firstLine="0"/>
              <w:contextualSpacing/>
              <w:jc w:val="center"/>
              <w:rPr>
                <w:rFonts w:ascii="PT Astra Serif" w:hAnsi="PT Astra Serif" w:cs="Calibri"/>
                <w:b/>
                <w:sz w:val="18"/>
                <w:szCs w:val="18"/>
              </w:rPr>
            </w:pPr>
            <w:r w:rsidRPr="00FD65E0">
              <w:rPr>
                <w:rFonts w:ascii="PT Astra Serif" w:hAnsi="PT Astra Serif" w:cs="Calibri"/>
                <w:b/>
                <w:sz w:val="18"/>
                <w:szCs w:val="18"/>
              </w:rPr>
              <w:t>2025</w:t>
            </w:r>
            <w:r w:rsidR="00D451A4">
              <w:rPr>
                <w:rFonts w:ascii="PT Astra Serif" w:hAnsi="PT Astra Serif" w:cs="Calibri"/>
                <w:b/>
                <w:sz w:val="18"/>
                <w:szCs w:val="18"/>
              </w:rPr>
              <w:t xml:space="preserve"> г.</w:t>
            </w:r>
          </w:p>
        </w:tc>
        <w:tc>
          <w:tcPr>
            <w:tcW w:w="5387" w:type="dxa"/>
            <w:tcBorders>
              <w:top w:val="single" w:sz="4" w:space="0" w:color="auto"/>
              <w:left w:val="single" w:sz="4" w:space="0" w:color="auto"/>
              <w:bottom w:val="single" w:sz="4" w:space="0" w:color="auto"/>
              <w:right w:val="single" w:sz="4" w:space="0" w:color="auto"/>
            </w:tcBorders>
            <w:vAlign w:val="center"/>
          </w:tcPr>
          <w:p w14:paraId="5D4DC219" w14:textId="77777777" w:rsidR="00AB3E2D" w:rsidRPr="00FD65E0" w:rsidRDefault="00AB3E2D" w:rsidP="00FA1F86">
            <w:pPr>
              <w:widowControl w:val="0"/>
              <w:ind w:firstLine="0"/>
              <w:contextualSpacing/>
              <w:jc w:val="center"/>
              <w:rPr>
                <w:rFonts w:ascii="PT Astra Serif" w:hAnsi="PT Astra Serif" w:cs="Calibri"/>
                <w:b/>
                <w:sz w:val="18"/>
                <w:szCs w:val="18"/>
              </w:rPr>
            </w:pPr>
            <w:r w:rsidRPr="00FD65E0">
              <w:rPr>
                <w:rFonts w:ascii="PT Astra Serif" w:hAnsi="PT Astra Serif" w:cs="Calibri"/>
                <w:b/>
                <w:sz w:val="18"/>
                <w:szCs w:val="18"/>
              </w:rPr>
              <w:t>Влияние на качество жизни в регионе</w:t>
            </w:r>
          </w:p>
        </w:tc>
      </w:tr>
      <w:tr w:rsidR="00AB3E2D" w:rsidRPr="00AB3E2D" w14:paraId="21ED63EC" w14:textId="77777777" w:rsidTr="00D451A4">
        <w:trPr>
          <w:trHeight w:val="966"/>
        </w:trPr>
        <w:tc>
          <w:tcPr>
            <w:tcW w:w="2297" w:type="dxa"/>
            <w:tcBorders>
              <w:top w:val="single" w:sz="4" w:space="0" w:color="auto"/>
              <w:left w:val="single" w:sz="4" w:space="0" w:color="auto"/>
              <w:bottom w:val="single" w:sz="4" w:space="0" w:color="auto"/>
              <w:right w:val="single" w:sz="4" w:space="0" w:color="auto"/>
            </w:tcBorders>
            <w:hideMark/>
          </w:tcPr>
          <w:p w14:paraId="4F3F9735" w14:textId="77777777" w:rsidR="00AB3E2D" w:rsidRPr="00FD65E0" w:rsidRDefault="00AB3E2D" w:rsidP="00FA1F86">
            <w:pPr>
              <w:widowControl w:val="0"/>
              <w:ind w:firstLine="0"/>
              <w:contextualSpacing/>
              <w:rPr>
                <w:rFonts w:ascii="PT Astra Serif" w:hAnsi="PT Astra Serif" w:cs="Calibri"/>
                <w:sz w:val="18"/>
                <w:szCs w:val="18"/>
              </w:rPr>
            </w:pPr>
            <w:r w:rsidRPr="00FD65E0">
              <w:rPr>
                <w:rFonts w:ascii="PT Astra Serif" w:hAnsi="PT Astra Serif" w:cs="Calibri"/>
                <w:sz w:val="18"/>
                <w:szCs w:val="18"/>
              </w:rPr>
              <w:t>Количество номеров введённых в эксплуатацию модульных некапитальных средствах размещения, ед.</w:t>
            </w:r>
          </w:p>
        </w:tc>
        <w:tc>
          <w:tcPr>
            <w:tcW w:w="851" w:type="dxa"/>
            <w:tcBorders>
              <w:top w:val="single" w:sz="4" w:space="0" w:color="auto"/>
              <w:left w:val="single" w:sz="4" w:space="0" w:color="auto"/>
              <w:bottom w:val="single" w:sz="4" w:space="0" w:color="auto"/>
              <w:right w:val="single" w:sz="4" w:space="0" w:color="auto"/>
            </w:tcBorders>
            <w:hideMark/>
          </w:tcPr>
          <w:p w14:paraId="5598AC50" w14:textId="77777777" w:rsidR="00AB3E2D" w:rsidRPr="00FD65E0" w:rsidRDefault="00AB3E2D" w:rsidP="00FA1F86">
            <w:pPr>
              <w:widowControl w:val="0"/>
              <w:ind w:firstLine="0"/>
              <w:contextualSpacing/>
              <w:jc w:val="center"/>
              <w:rPr>
                <w:rFonts w:ascii="PT Astra Serif" w:hAnsi="PT Astra Serif" w:cs="Calibri"/>
                <w:sz w:val="18"/>
                <w:szCs w:val="18"/>
              </w:rPr>
            </w:pPr>
            <w:r w:rsidRPr="00FD65E0">
              <w:rPr>
                <w:rFonts w:ascii="PT Astra Serif" w:hAnsi="PT Astra Serif" w:cs="Calibri"/>
                <w:sz w:val="18"/>
                <w:szCs w:val="18"/>
              </w:rPr>
              <w:t>84</w:t>
            </w:r>
          </w:p>
        </w:tc>
        <w:tc>
          <w:tcPr>
            <w:tcW w:w="850" w:type="dxa"/>
            <w:tcBorders>
              <w:top w:val="single" w:sz="4" w:space="0" w:color="auto"/>
              <w:left w:val="single" w:sz="4" w:space="0" w:color="auto"/>
              <w:bottom w:val="single" w:sz="4" w:space="0" w:color="auto"/>
              <w:right w:val="single" w:sz="4" w:space="0" w:color="auto"/>
            </w:tcBorders>
            <w:hideMark/>
          </w:tcPr>
          <w:p w14:paraId="5D174DA8" w14:textId="77777777" w:rsidR="00AB3E2D" w:rsidRPr="00FD65E0" w:rsidRDefault="00AB3E2D" w:rsidP="00FA1F86">
            <w:pPr>
              <w:widowControl w:val="0"/>
              <w:ind w:firstLine="0"/>
              <w:contextualSpacing/>
              <w:jc w:val="center"/>
              <w:rPr>
                <w:rFonts w:ascii="PT Astra Serif" w:hAnsi="PT Astra Serif" w:cs="Calibri"/>
                <w:sz w:val="18"/>
                <w:szCs w:val="18"/>
              </w:rPr>
            </w:pPr>
            <w:r w:rsidRPr="00FD65E0">
              <w:rPr>
                <w:rFonts w:ascii="PT Astra Serif" w:hAnsi="PT Astra Serif" w:cs="Calibri"/>
                <w:sz w:val="18"/>
                <w:szCs w:val="18"/>
              </w:rPr>
              <w:t>0</w:t>
            </w:r>
          </w:p>
        </w:tc>
        <w:tc>
          <w:tcPr>
            <w:tcW w:w="5387" w:type="dxa"/>
            <w:tcBorders>
              <w:top w:val="single" w:sz="4" w:space="0" w:color="auto"/>
              <w:left w:val="single" w:sz="4" w:space="0" w:color="auto"/>
              <w:bottom w:val="single" w:sz="4" w:space="0" w:color="auto"/>
              <w:right w:val="single" w:sz="4" w:space="0" w:color="auto"/>
            </w:tcBorders>
          </w:tcPr>
          <w:p w14:paraId="620B02A4" w14:textId="77777777" w:rsidR="00AB3E2D" w:rsidRPr="00FD65E0" w:rsidRDefault="00AB3E2D" w:rsidP="00FA1F86">
            <w:pPr>
              <w:widowControl w:val="0"/>
              <w:ind w:firstLine="0"/>
              <w:contextualSpacing/>
              <w:rPr>
                <w:rFonts w:ascii="PT Astra Serif" w:eastAsia="Times New Roman" w:hAnsi="PT Astra Serif" w:cs="Calibri"/>
                <w:sz w:val="18"/>
                <w:szCs w:val="18"/>
                <w:lang w:eastAsia="ru-RU"/>
              </w:rPr>
            </w:pPr>
            <w:r w:rsidRPr="00FD65E0">
              <w:rPr>
                <w:rFonts w:ascii="PT Astra Serif" w:eastAsia="Times New Roman" w:hAnsi="PT Astra Serif" w:cs="Calibri"/>
                <w:sz w:val="18"/>
                <w:szCs w:val="18"/>
                <w:lang w:eastAsia="ru-RU"/>
              </w:rPr>
              <w:t>Улучшение доступности жилья и туристической инфраструктуры; создание условий для временного проживания, что поддерживает локальную экономику.</w:t>
            </w:r>
          </w:p>
          <w:p w14:paraId="5B713AE6" w14:textId="77777777" w:rsidR="00AB3E2D" w:rsidRPr="00FD65E0" w:rsidRDefault="00AB3E2D" w:rsidP="00FA1F86">
            <w:pPr>
              <w:widowControl w:val="0"/>
              <w:ind w:firstLine="0"/>
              <w:contextualSpacing/>
              <w:rPr>
                <w:rFonts w:ascii="PT Astra Serif" w:hAnsi="PT Astra Serif" w:cs="Calibri"/>
                <w:sz w:val="18"/>
                <w:szCs w:val="18"/>
              </w:rPr>
            </w:pPr>
            <w:r w:rsidRPr="00FD65E0">
              <w:rPr>
                <w:rFonts w:ascii="PT Astra Serif" w:eastAsia="Times New Roman" w:hAnsi="PT Astra Serif" w:cs="Calibri"/>
                <w:sz w:val="18"/>
                <w:szCs w:val="18"/>
                <w:lang w:eastAsia="ru-RU"/>
              </w:rPr>
              <w:t>Повышение возможностей для отдыха и туризма, что положительно влияет на психологическое и социальное благополучие.</w:t>
            </w:r>
          </w:p>
        </w:tc>
      </w:tr>
      <w:tr w:rsidR="00AB3E2D" w:rsidRPr="00AB3E2D" w14:paraId="51033A27" w14:textId="77777777" w:rsidTr="00D451A4">
        <w:trPr>
          <w:trHeight w:val="535"/>
        </w:trPr>
        <w:tc>
          <w:tcPr>
            <w:tcW w:w="2297" w:type="dxa"/>
            <w:tcBorders>
              <w:top w:val="single" w:sz="4" w:space="0" w:color="auto"/>
              <w:left w:val="single" w:sz="4" w:space="0" w:color="auto"/>
              <w:bottom w:val="single" w:sz="4" w:space="0" w:color="auto"/>
              <w:right w:val="single" w:sz="4" w:space="0" w:color="auto"/>
            </w:tcBorders>
          </w:tcPr>
          <w:p w14:paraId="2B1F0A76" w14:textId="77777777" w:rsidR="00AB3E2D" w:rsidRPr="00FD65E0" w:rsidRDefault="00AB3E2D" w:rsidP="00FA1F86">
            <w:pPr>
              <w:widowControl w:val="0"/>
              <w:ind w:firstLine="0"/>
              <w:contextualSpacing/>
              <w:rPr>
                <w:rFonts w:ascii="PT Astra Serif" w:hAnsi="PT Astra Serif" w:cs="Calibri"/>
                <w:i/>
                <w:sz w:val="18"/>
                <w:szCs w:val="18"/>
              </w:rPr>
            </w:pPr>
            <w:r w:rsidRPr="00FD65E0">
              <w:rPr>
                <w:rFonts w:ascii="PT Astra Serif" w:hAnsi="PT Astra Serif" w:cs="Calibri"/>
                <w:sz w:val="18"/>
                <w:szCs w:val="18"/>
              </w:rPr>
              <w:t>Проведение событийного мероприятия, ед.</w:t>
            </w:r>
          </w:p>
        </w:tc>
        <w:tc>
          <w:tcPr>
            <w:tcW w:w="851" w:type="dxa"/>
            <w:tcBorders>
              <w:top w:val="single" w:sz="4" w:space="0" w:color="auto"/>
              <w:left w:val="single" w:sz="4" w:space="0" w:color="auto"/>
              <w:bottom w:val="single" w:sz="4" w:space="0" w:color="auto"/>
              <w:right w:val="single" w:sz="4" w:space="0" w:color="auto"/>
            </w:tcBorders>
          </w:tcPr>
          <w:p w14:paraId="60E10D68" w14:textId="77777777" w:rsidR="00AB3E2D" w:rsidRPr="00FD65E0" w:rsidRDefault="00AB3E2D" w:rsidP="00FA1F86">
            <w:pPr>
              <w:widowControl w:val="0"/>
              <w:ind w:firstLine="0"/>
              <w:contextualSpacing/>
              <w:jc w:val="center"/>
              <w:rPr>
                <w:rFonts w:ascii="PT Astra Serif" w:hAnsi="PT Astra Serif" w:cs="Calibri"/>
                <w:sz w:val="18"/>
                <w:szCs w:val="18"/>
              </w:rPr>
            </w:pPr>
            <w:r w:rsidRPr="00FD65E0">
              <w:rPr>
                <w:rFonts w:ascii="PT Astra Serif" w:hAnsi="PT Astra Serif" w:cs="Calibri"/>
                <w:sz w:val="18"/>
                <w:szCs w:val="18"/>
              </w:rPr>
              <w:t>25</w:t>
            </w:r>
          </w:p>
        </w:tc>
        <w:tc>
          <w:tcPr>
            <w:tcW w:w="850" w:type="dxa"/>
            <w:tcBorders>
              <w:top w:val="single" w:sz="4" w:space="0" w:color="auto"/>
              <w:left w:val="single" w:sz="4" w:space="0" w:color="auto"/>
              <w:bottom w:val="single" w:sz="4" w:space="0" w:color="auto"/>
              <w:right w:val="single" w:sz="4" w:space="0" w:color="auto"/>
            </w:tcBorders>
          </w:tcPr>
          <w:p w14:paraId="34CC45FE" w14:textId="77777777" w:rsidR="00AB3E2D" w:rsidRPr="00FD65E0" w:rsidRDefault="00AB3E2D" w:rsidP="00FA1F86">
            <w:pPr>
              <w:widowControl w:val="0"/>
              <w:ind w:firstLine="0"/>
              <w:contextualSpacing/>
              <w:jc w:val="center"/>
              <w:rPr>
                <w:rFonts w:ascii="PT Astra Serif" w:hAnsi="PT Astra Serif" w:cs="Calibri"/>
                <w:sz w:val="18"/>
                <w:szCs w:val="18"/>
              </w:rPr>
            </w:pPr>
            <w:r w:rsidRPr="00FD65E0">
              <w:rPr>
                <w:rFonts w:ascii="PT Astra Serif" w:hAnsi="PT Astra Serif" w:cs="Calibri"/>
                <w:sz w:val="18"/>
                <w:szCs w:val="18"/>
              </w:rPr>
              <w:t>35</w:t>
            </w:r>
          </w:p>
        </w:tc>
        <w:tc>
          <w:tcPr>
            <w:tcW w:w="5387" w:type="dxa"/>
            <w:tcBorders>
              <w:top w:val="single" w:sz="4" w:space="0" w:color="auto"/>
              <w:left w:val="single" w:sz="4" w:space="0" w:color="auto"/>
              <w:bottom w:val="single" w:sz="4" w:space="0" w:color="auto"/>
              <w:right w:val="single" w:sz="4" w:space="0" w:color="auto"/>
            </w:tcBorders>
            <w:vAlign w:val="center"/>
          </w:tcPr>
          <w:p w14:paraId="1BA5FABE" w14:textId="77777777" w:rsidR="00AB3E2D" w:rsidRPr="00FD65E0" w:rsidRDefault="00AB3E2D" w:rsidP="00FA1F86">
            <w:pPr>
              <w:widowControl w:val="0"/>
              <w:ind w:firstLine="0"/>
              <w:rPr>
                <w:rFonts w:ascii="PT Astra Serif" w:eastAsia="Times New Roman" w:hAnsi="PT Astra Serif"/>
                <w:sz w:val="18"/>
                <w:szCs w:val="18"/>
                <w:lang w:eastAsia="ru-RU"/>
              </w:rPr>
            </w:pPr>
            <w:r w:rsidRPr="00FD65E0">
              <w:rPr>
                <w:rFonts w:ascii="PT Astra Serif" w:eastAsia="Times New Roman" w:hAnsi="PT Astra Serif"/>
                <w:sz w:val="18"/>
                <w:szCs w:val="18"/>
                <w:lang w:eastAsia="ru-RU"/>
              </w:rPr>
              <w:t>Развитие культурной и социальной жизни региона.</w:t>
            </w:r>
          </w:p>
          <w:p w14:paraId="4990F9DA" w14:textId="77777777" w:rsidR="00AB3E2D" w:rsidRPr="00FD65E0" w:rsidRDefault="00AB3E2D" w:rsidP="00FA1F86">
            <w:pPr>
              <w:widowControl w:val="0"/>
              <w:ind w:firstLine="0"/>
              <w:rPr>
                <w:rFonts w:ascii="PT Astra Serif" w:eastAsia="Times New Roman" w:hAnsi="PT Astra Serif"/>
                <w:sz w:val="18"/>
                <w:szCs w:val="18"/>
                <w:lang w:eastAsia="ru-RU"/>
              </w:rPr>
            </w:pPr>
            <w:r w:rsidRPr="00FD65E0">
              <w:rPr>
                <w:rFonts w:ascii="PT Astra Serif" w:eastAsia="Times New Roman" w:hAnsi="PT Astra Serif"/>
                <w:sz w:val="18"/>
                <w:szCs w:val="18"/>
                <w:lang w:eastAsia="ru-RU"/>
              </w:rPr>
              <w:t>Увеличение возможностей для досуга и общения.</w:t>
            </w:r>
          </w:p>
          <w:p w14:paraId="59CE0E30" w14:textId="77777777" w:rsidR="00AB3E2D" w:rsidRPr="00FD65E0" w:rsidRDefault="00AB3E2D" w:rsidP="00FA1F86">
            <w:pPr>
              <w:widowControl w:val="0"/>
              <w:ind w:firstLine="0"/>
              <w:rPr>
                <w:rFonts w:ascii="PT Astra Serif" w:eastAsia="Times New Roman" w:hAnsi="PT Astra Serif"/>
                <w:sz w:val="18"/>
                <w:szCs w:val="18"/>
                <w:lang w:eastAsia="ru-RU"/>
              </w:rPr>
            </w:pPr>
            <w:r w:rsidRPr="00FD65E0">
              <w:rPr>
                <w:rFonts w:ascii="PT Astra Serif" w:eastAsia="Times New Roman" w:hAnsi="PT Astra Serif"/>
                <w:sz w:val="18"/>
                <w:szCs w:val="18"/>
                <w:lang w:eastAsia="ru-RU"/>
              </w:rPr>
              <w:t>Повышение туристической привлекательности, что способствует экономическому развитию и занятости населения.</w:t>
            </w:r>
          </w:p>
        </w:tc>
      </w:tr>
    </w:tbl>
    <w:p w14:paraId="03DAC788" w14:textId="3BE261CB" w:rsidR="00AB3E2D" w:rsidRPr="00FD65E0" w:rsidRDefault="00AB3E2D" w:rsidP="00AB3E2D">
      <w:pPr>
        <w:widowControl w:val="0"/>
        <w:rPr>
          <w:rFonts w:ascii="PT Astra Serif" w:eastAsia="Calibri" w:hAnsi="PT Astra Serif" w:cs="Times New Roman"/>
          <w:b/>
          <w:sz w:val="20"/>
          <w:szCs w:val="20"/>
        </w:rPr>
      </w:pPr>
    </w:p>
    <w:p w14:paraId="1B4D3842" w14:textId="77777777" w:rsidR="00FA1F86" w:rsidRPr="00AB3E2D" w:rsidRDefault="00FA1F86" w:rsidP="00FA1F86">
      <w:pPr>
        <w:widowControl w:val="0"/>
        <w:rPr>
          <w:rFonts w:ascii="PT Astra Serif" w:eastAsia="Calibri" w:hAnsi="PT Astra Serif" w:cs="Times New Roman"/>
          <w:szCs w:val="28"/>
          <w:u w:val="single"/>
        </w:rPr>
      </w:pPr>
      <w:r w:rsidRPr="00AB3E2D">
        <w:rPr>
          <w:rFonts w:ascii="PT Astra Serif" w:eastAsia="Calibri" w:hAnsi="PT Astra Serif" w:cs="Times New Roman"/>
          <w:szCs w:val="28"/>
          <w:u w:val="single"/>
        </w:rPr>
        <w:t>Были поддержаны следующие проекты:</w:t>
      </w:r>
    </w:p>
    <w:p w14:paraId="7C73FA17" w14:textId="77777777" w:rsidR="00FA1F86" w:rsidRPr="00AB3E2D" w:rsidRDefault="00FA1F86" w:rsidP="00FA1F86">
      <w:pPr>
        <w:widowControl w:val="0"/>
        <w:contextualSpacing/>
        <w:rPr>
          <w:rFonts w:ascii="PT Astra Serif" w:eastAsia="Calibri" w:hAnsi="PT Astra Serif" w:cs="Calibri"/>
          <w:szCs w:val="28"/>
        </w:rPr>
      </w:pPr>
      <w:r w:rsidRPr="00AB3E2D">
        <w:rPr>
          <w:rFonts w:ascii="PT Astra Serif" w:eastAsia="Calibri" w:hAnsi="PT Astra Serif" w:cs="Calibri"/>
          <w:szCs w:val="28"/>
        </w:rPr>
        <w:t>«Музыкальный фестиваль «Баржа LIVE».</w:t>
      </w:r>
    </w:p>
    <w:p w14:paraId="084E3474" w14:textId="77777777" w:rsidR="00FA1F86" w:rsidRPr="00AB3E2D" w:rsidRDefault="00FA1F86" w:rsidP="00FA1F86">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«Кубок Ульяновкой области по </w:t>
      </w:r>
      <w:proofErr w:type="spellStart"/>
      <w:r w:rsidRPr="00AB3E2D">
        <w:rPr>
          <w:rFonts w:ascii="PT Astra Serif" w:eastAsia="Calibri" w:hAnsi="PT Astra Serif" w:cs="Calibri"/>
          <w:szCs w:val="28"/>
        </w:rPr>
        <w:t>дрифту</w:t>
      </w:r>
      <w:proofErr w:type="spellEnd"/>
      <w:r w:rsidRPr="00AB3E2D">
        <w:rPr>
          <w:rFonts w:ascii="PT Astra Serif" w:eastAsia="Calibri" w:hAnsi="PT Astra Serif" w:cs="Calibri"/>
          <w:szCs w:val="28"/>
        </w:rPr>
        <w:t>, в рамках Дня молодёжи 2024».</w:t>
      </w:r>
    </w:p>
    <w:p w14:paraId="3B3EEF6D" w14:textId="77777777" w:rsidR="00FA1F86" w:rsidRPr="00AB3E2D" w:rsidRDefault="00FA1F86" w:rsidP="00FA1F86">
      <w:pPr>
        <w:widowControl w:val="0"/>
        <w:contextualSpacing/>
        <w:rPr>
          <w:rFonts w:ascii="PT Astra Serif" w:eastAsia="Calibri" w:hAnsi="PT Astra Serif" w:cs="Calibri"/>
          <w:szCs w:val="28"/>
        </w:rPr>
      </w:pPr>
      <w:r w:rsidRPr="00AB3E2D">
        <w:rPr>
          <w:rFonts w:ascii="PT Astra Serif" w:eastAsia="Calibri" w:hAnsi="PT Astra Serif" w:cs="Calibri"/>
          <w:szCs w:val="28"/>
        </w:rPr>
        <w:t xml:space="preserve">«Мероприятие на театрализованной площадке посвящённое победным дням в Великой Отечественной Войне развитие </w:t>
      </w:r>
      <w:proofErr w:type="spellStart"/>
      <w:r w:rsidRPr="00AB3E2D">
        <w:rPr>
          <w:rFonts w:ascii="PT Astra Serif" w:eastAsia="Calibri" w:hAnsi="PT Astra Serif" w:cs="Calibri"/>
          <w:szCs w:val="28"/>
        </w:rPr>
        <w:t>военно</w:t>
      </w:r>
      <w:proofErr w:type="spellEnd"/>
      <w:r w:rsidRPr="00AB3E2D">
        <w:rPr>
          <w:rFonts w:ascii="PT Astra Serif" w:eastAsia="Calibri" w:hAnsi="PT Astra Serif" w:cs="Calibri"/>
          <w:szCs w:val="28"/>
        </w:rPr>
        <w:t>–патриотического воспитания и исторического просвещения».</w:t>
      </w:r>
    </w:p>
    <w:p w14:paraId="787405A8" w14:textId="77777777" w:rsidR="00FA1F86" w:rsidRPr="00AB3E2D" w:rsidRDefault="00FA1F86" w:rsidP="00FA1F86">
      <w:pPr>
        <w:widowControl w:val="0"/>
        <w:contextualSpacing/>
        <w:rPr>
          <w:rFonts w:ascii="PT Astra Serif" w:eastAsia="Calibri" w:hAnsi="PT Astra Serif" w:cs="Calibri"/>
          <w:szCs w:val="28"/>
        </w:rPr>
      </w:pPr>
      <w:r w:rsidRPr="00AB3E2D">
        <w:rPr>
          <w:rFonts w:ascii="PT Astra Serif" w:eastAsia="Calibri" w:hAnsi="PT Astra Serif" w:cs="Calibri"/>
          <w:szCs w:val="28"/>
        </w:rPr>
        <w:t>«XI международная IT – конференция «Стачка».</w:t>
      </w:r>
    </w:p>
    <w:p w14:paraId="1609EECD" w14:textId="77777777" w:rsidR="00FA1F86" w:rsidRPr="00AB3E2D" w:rsidRDefault="00FA1F86" w:rsidP="00FA1F86">
      <w:pPr>
        <w:widowControl w:val="0"/>
        <w:rPr>
          <w:rFonts w:ascii="PT Astra Serif" w:eastAsia="Calibri" w:hAnsi="PT Astra Serif" w:cs="Times New Roman"/>
          <w:szCs w:val="28"/>
        </w:rPr>
      </w:pPr>
      <w:r w:rsidRPr="00AB3E2D">
        <w:rPr>
          <w:rFonts w:ascii="PT Astra Serif" w:eastAsia="Calibri" w:hAnsi="PT Astra Serif" w:cs="Times New Roman"/>
          <w:szCs w:val="28"/>
        </w:rPr>
        <w:lastRenderedPageBreak/>
        <w:t>Количество посетивших данные мероприятия составляет свыше 200 тыс. человек.</w:t>
      </w:r>
    </w:p>
    <w:p w14:paraId="161AF030" w14:textId="77777777" w:rsidR="00FA1F86" w:rsidRPr="00AB3E2D" w:rsidRDefault="00FA1F86" w:rsidP="00FA1F86">
      <w:pPr>
        <w:widowControl w:val="0"/>
        <w:rPr>
          <w:rFonts w:ascii="PT Astra Serif" w:eastAsia="Calibri" w:hAnsi="PT Astra Serif" w:cs="Times New Roman"/>
          <w:b/>
          <w:szCs w:val="28"/>
        </w:rPr>
      </w:pPr>
      <w:r w:rsidRPr="00AB3E2D">
        <w:rPr>
          <w:rFonts w:ascii="PT Astra Serif" w:eastAsia="Calibri" w:hAnsi="PT Astra Serif" w:cs="Times New Roman"/>
          <w:b/>
          <w:szCs w:val="28"/>
        </w:rPr>
        <w:t>Результатом предоставления субсидии является проведение событийного мероприятия в 2024 году. Заявленный показатель достигнут в срок, в полном объёме. Кассовое исполнение - 100%.</w:t>
      </w:r>
    </w:p>
    <w:p w14:paraId="227D2061" w14:textId="77777777" w:rsidR="00FA1F86" w:rsidRPr="00AB3E2D" w:rsidRDefault="00FA1F86" w:rsidP="00FA1F86">
      <w:pPr>
        <w:widowControl w:val="0"/>
        <w:rPr>
          <w:rFonts w:ascii="PT Astra Serif" w:eastAsia="Calibri" w:hAnsi="PT Astra Serif" w:cs="Times New Roman"/>
          <w:b/>
          <w:szCs w:val="28"/>
        </w:rPr>
      </w:pPr>
      <w:r w:rsidRPr="00AB3E2D">
        <w:rPr>
          <w:rFonts w:ascii="PT Astra Serif" w:eastAsia="Calibri" w:hAnsi="PT Astra Serif" w:cs="Times New Roman"/>
          <w:szCs w:val="28"/>
          <w:lang w:eastAsia="ru-RU"/>
        </w:rPr>
        <w:t xml:space="preserve">Таким образом, через улучшение инфраструктуры и развитие событийной активности субсидии содействуют повышению качества жизни, создавая комфортные условия для проживания, отдыха и социального взаимодействия. </w:t>
      </w:r>
    </w:p>
    <w:p w14:paraId="65B95D4E" w14:textId="77777777" w:rsidR="00AB3E2D" w:rsidRPr="00AB3E2D" w:rsidRDefault="00AB3E2D" w:rsidP="00AB3E2D">
      <w:pPr>
        <w:widowControl w:val="0"/>
        <w:rPr>
          <w:rFonts w:ascii="PT Astra Serif" w:eastAsia="Calibri" w:hAnsi="PT Astra Serif" w:cs="Times New Roman"/>
          <w:b/>
          <w:szCs w:val="28"/>
        </w:rPr>
      </w:pPr>
    </w:p>
    <w:p w14:paraId="133D592C" w14:textId="77777777" w:rsidR="00AB3E2D" w:rsidRPr="00AB3E2D" w:rsidRDefault="00AB3E2D" w:rsidP="00AB3E2D">
      <w:pPr>
        <w:widowControl w:val="0"/>
        <w:ind w:firstLine="0"/>
        <w:jc w:val="center"/>
        <w:rPr>
          <w:rFonts w:ascii="PT Astra Serif" w:eastAsia="Calibri" w:hAnsi="PT Astra Serif" w:cs="Times New Roman"/>
          <w:b/>
          <w:szCs w:val="28"/>
        </w:rPr>
      </w:pPr>
      <w:r w:rsidRPr="00AB3E2D">
        <w:rPr>
          <w:rFonts w:ascii="PT Astra Serif" w:eastAsia="Calibri" w:hAnsi="PT Astra Serif" w:cs="Times New Roman"/>
          <w:b/>
          <w:szCs w:val="28"/>
        </w:rPr>
        <w:t>Основные задачи и риски на 2026 год</w:t>
      </w:r>
    </w:p>
    <w:p w14:paraId="3392ACAD" w14:textId="77777777" w:rsidR="00AB3E2D" w:rsidRPr="00AB3E2D" w:rsidRDefault="00AB3E2D" w:rsidP="00AB3E2D">
      <w:pPr>
        <w:widowControl w:val="0"/>
        <w:ind w:firstLine="0"/>
        <w:jc w:val="center"/>
        <w:rPr>
          <w:rFonts w:ascii="PT Astra Serif" w:eastAsia="Calibri" w:hAnsi="PT Astra Serif" w:cs="Times New Roman"/>
          <w:b/>
          <w:szCs w:val="28"/>
        </w:rPr>
      </w:pPr>
    </w:p>
    <w:p w14:paraId="1CF72B76"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Основными задачами на 2026 год для туристической отрасли Ульяновской области является дальнейшее развитие и создание качественной туристической инфраструктуры, расширение номерного фонда, создание новых туристических точек притяжения. </w:t>
      </w:r>
    </w:p>
    <w:p w14:paraId="514B13B3" w14:textId="6162281E"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В настоящее время в рамках национального проекта «Туризм </w:t>
      </w:r>
      <w:r w:rsidRPr="00AB3E2D">
        <w:rPr>
          <w:rFonts w:ascii="PT Astra Serif" w:eastAsia="Calibri" w:hAnsi="PT Astra Serif" w:cs="Times New Roman"/>
          <w:szCs w:val="28"/>
        </w:rPr>
        <w:br/>
        <w:t xml:space="preserve">и гостеприимство» на данные цели </w:t>
      </w:r>
      <w:r w:rsidRPr="00AB3E2D">
        <w:rPr>
          <w:rFonts w:ascii="PT Astra Serif" w:eastAsia="Calibri" w:hAnsi="PT Astra Serif" w:cs="Times New Roman"/>
          <w:b/>
          <w:szCs w:val="28"/>
        </w:rPr>
        <w:t xml:space="preserve">получена государственная поддержка </w:t>
      </w:r>
      <w:r w:rsidRPr="00AB3E2D">
        <w:rPr>
          <w:rFonts w:ascii="PT Astra Serif" w:eastAsia="Calibri" w:hAnsi="PT Astra Serif" w:cs="Times New Roman"/>
          <w:b/>
          <w:szCs w:val="28"/>
        </w:rPr>
        <w:br/>
        <w:t>в размере 131,6 млн рублей</w:t>
      </w:r>
      <w:r w:rsidRPr="00AB3E2D">
        <w:rPr>
          <w:rFonts w:ascii="PT Astra Serif" w:eastAsia="Calibri" w:hAnsi="PT Astra Serif" w:cs="Times New Roman"/>
          <w:szCs w:val="28"/>
        </w:rPr>
        <w:t xml:space="preserve">, из них в форме единой субсидии в размере </w:t>
      </w:r>
      <w:r w:rsidRPr="00AB3E2D">
        <w:rPr>
          <w:rFonts w:ascii="PT Astra Serif" w:eastAsia="Calibri" w:hAnsi="PT Astra Serif" w:cs="Times New Roman"/>
          <w:szCs w:val="28"/>
        </w:rPr>
        <w:br/>
        <w:t xml:space="preserve">75,9 млн рублей (на продвижение событийных мероприятий на территории Ульяновской области), </w:t>
      </w:r>
      <w:r w:rsidRPr="00AB3E2D">
        <w:rPr>
          <w:rFonts w:ascii="PT Astra Serif" w:eastAsia="Calibri" w:hAnsi="PT Astra Serif" w:cs="Times New Roman"/>
          <w:color w:val="000000"/>
          <w:szCs w:val="28"/>
        </w:rPr>
        <w:t xml:space="preserve">на </w:t>
      </w:r>
      <w:r w:rsidRPr="00AB3E2D">
        <w:rPr>
          <w:rFonts w:ascii="PT Astra Serif" w:eastAsia="Calibri" w:hAnsi="PT Astra Serif" w:cs="Times New Roman"/>
          <w:szCs w:val="28"/>
        </w:rPr>
        <w:t xml:space="preserve">реализацию инвестиционных проектов по созданию модульных некапитальных средств </w:t>
      </w:r>
      <w:proofErr w:type="spellStart"/>
      <w:r w:rsidRPr="00AB3E2D">
        <w:rPr>
          <w:rFonts w:ascii="PT Astra Serif" w:eastAsia="Calibri" w:hAnsi="PT Astra Serif" w:cs="Times New Roman"/>
          <w:szCs w:val="28"/>
        </w:rPr>
        <w:t>размещенияв</w:t>
      </w:r>
      <w:proofErr w:type="spellEnd"/>
      <w:r w:rsidRPr="00AB3E2D">
        <w:rPr>
          <w:rFonts w:ascii="PT Astra Serif" w:eastAsia="Calibri" w:hAnsi="PT Astra Serif" w:cs="Times New Roman"/>
          <w:szCs w:val="28"/>
        </w:rPr>
        <w:t xml:space="preserve"> размере 55,7 млн рублей.</w:t>
      </w:r>
    </w:p>
    <w:p w14:paraId="483F9EF5" w14:textId="3670FE7A"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 xml:space="preserve">В предстоящем году планируется проведение не менее 30 событийных мероприятий на территории Ульяновской области с использованием мер государственной поддержки национального проекта </w:t>
      </w:r>
      <w:r w:rsidRPr="00004FAE">
        <w:rPr>
          <w:rFonts w:ascii="PT Astra Serif" w:eastAsia="Calibri" w:hAnsi="PT Astra Serif" w:cs="Times New Roman"/>
          <w:szCs w:val="28"/>
        </w:rPr>
        <w:t xml:space="preserve">«Туризм </w:t>
      </w:r>
      <w:r w:rsidR="00004FAE">
        <w:rPr>
          <w:rFonts w:ascii="PT Astra Serif" w:eastAsia="Calibri" w:hAnsi="PT Astra Serif" w:cs="Times New Roman"/>
          <w:szCs w:val="28"/>
        </w:rPr>
        <w:br/>
      </w:r>
      <w:r w:rsidRPr="00004FAE">
        <w:rPr>
          <w:rFonts w:ascii="PT Astra Serif" w:eastAsia="Calibri" w:hAnsi="PT Astra Serif" w:cs="Times New Roman"/>
          <w:szCs w:val="28"/>
        </w:rPr>
        <w:t>и гостеприимство»,</w:t>
      </w:r>
      <w:r w:rsidRPr="00AB3E2D">
        <w:rPr>
          <w:rFonts w:ascii="PT Astra Serif" w:eastAsia="Calibri" w:hAnsi="PT Astra Serif" w:cs="Times New Roman"/>
          <w:szCs w:val="28"/>
        </w:rPr>
        <w:t xml:space="preserve"> направленных на развитие внутреннего туризма в регионе. Планируемый охват посетителей не менее 250 тысяч человек.</w:t>
      </w:r>
    </w:p>
    <w:p w14:paraId="4BC1EA2E" w14:textId="77777777" w:rsidR="00AB3E2D" w:rsidRPr="00AB3E2D" w:rsidRDefault="00AB3E2D" w:rsidP="00AB3E2D">
      <w:pPr>
        <w:widowControl w:val="0"/>
        <w:rPr>
          <w:rFonts w:ascii="PT Astra Serif" w:eastAsia="Calibri" w:hAnsi="PT Astra Serif" w:cs="Times New Roman"/>
          <w:szCs w:val="28"/>
          <w:highlight w:val="yellow"/>
        </w:rPr>
      </w:pPr>
      <w:r w:rsidRPr="00AB3E2D">
        <w:rPr>
          <w:rFonts w:ascii="PT Astra Serif" w:eastAsia="Calibri" w:hAnsi="PT Astra Serif" w:cs="Times New Roman"/>
          <w:szCs w:val="28"/>
        </w:rPr>
        <w:t xml:space="preserve">Данные меры поддержки способствуют увеличению туристического потока в регион, привлечению частных инвестиций в экономику региона </w:t>
      </w:r>
      <w:r w:rsidRPr="00AB3E2D">
        <w:rPr>
          <w:rFonts w:ascii="PT Astra Serif" w:eastAsia="Calibri" w:hAnsi="PT Astra Serif" w:cs="Times New Roman"/>
          <w:szCs w:val="28"/>
        </w:rPr>
        <w:br/>
        <w:t>и созданию новых рабочих мест, что особенно важно в современных условиях.</w:t>
      </w:r>
    </w:p>
    <w:p w14:paraId="6941C3FF" w14:textId="77777777" w:rsidR="00AB3E2D" w:rsidRPr="00AB3E2D" w:rsidRDefault="00AB3E2D" w:rsidP="00AB3E2D">
      <w:pPr>
        <w:widowControl w:val="0"/>
        <w:rPr>
          <w:rFonts w:ascii="PT Astra Serif" w:eastAsia="Calibri" w:hAnsi="PT Astra Serif" w:cs="Times New Roman"/>
          <w:szCs w:val="28"/>
          <w:u w:val="single"/>
        </w:rPr>
      </w:pPr>
      <w:r w:rsidRPr="00AB3E2D">
        <w:rPr>
          <w:rFonts w:ascii="PT Astra Serif" w:eastAsia="Calibri" w:hAnsi="PT Astra Serif" w:cs="Times New Roman"/>
          <w:szCs w:val="28"/>
          <w:u w:val="single"/>
        </w:rPr>
        <w:t>Основными рисками для туристической отрасли на 2026 год могут быть:</w:t>
      </w:r>
    </w:p>
    <w:p w14:paraId="1B08ECF3"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Экономические риски:</w:t>
      </w:r>
    </w:p>
    <w:p w14:paraId="4076DB8D"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инфляция (увеличение цен на услуги и товары может снизить покупательскую способность потребителей);</w:t>
      </w:r>
    </w:p>
    <w:p w14:paraId="2AD18FAF" w14:textId="2E5C026F"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экономическая нестабильность</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(экономические кризисы могут привести к снижению спроса на туристические услуги).</w:t>
      </w:r>
    </w:p>
    <w:p w14:paraId="4481EFC9"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Политические риски:</w:t>
      </w:r>
    </w:p>
    <w:p w14:paraId="47D8C93C" w14:textId="57544A25"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изменения в законодательстве</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(новые правила и ограничения, касающиеся виз, налогов и лицензий, могут повлиять на работу туристических компаний).</w:t>
      </w:r>
    </w:p>
    <w:p w14:paraId="62ACED1E" w14:textId="77777777" w:rsidR="00AB3E2D" w:rsidRPr="00AB3E2D" w:rsidRDefault="00AB3E2D" w:rsidP="00AB3E2D">
      <w:pPr>
        <w:widowControl w:val="0"/>
        <w:rPr>
          <w:rFonts w:ascii="PT Astra Serif" w:eastAsia="Calibri" w:hAnsi="PT Astra Serif" w:cs="Times New Roman"/>
          <w:szCs w:val="28"/>
        </w:rPr>
      </w:pPr>
      <w:r w:rsidRPr="00AB3E2D">
        <w:rPr>
          <w:rFonts w:ascii="PT Astra Serif" w:eastAsia="Calibri" w:hAnsi="PT Astra Serif" w:cs="Times New Roman"/>
          <w:szCs w:val="28"/>
        </w:rPr>
        <w:t>Социальные риски:</w:t>
      </w:r>
    </w:p>
    <w:p w14:paraId="00A4041A" w14:textId="4DC26396" w:rsidR="00250BEC" w:rsidRDefault="00AB3E2D" w:rsidP="00FD65E0">
      <w:pPr>
        <w:widowControl w:val="0"/>
        <w:rPr>
          <w:rFonts w:ascii="PT Astra Serif" w:eastAsia="Calibri" w:hAnsi="PT Astra Serif" w:cs="Times New Roman"/>
          <w:szCs w:val="28"/>
        </w:rPr>
      </w:pPr>
      <w:r w:rsidRPr="00AB3E2D">
        <w:rPr>
          <w:rFonts w:ascii="PT Astra Serif" w:eastAsia="Calibri" w:hAnsi="PT Astra Serif" w:cs="Times New Roman"/>
          <w:szCs w:val="28"/>
        </w:rPr>
        <w:t>изменение потребительских предпочтений</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(пандемия COVID-19 изменила подходы к путешествиям, и новые предпочтения могут повлиять на спрос.</w:t>
      </w:r>
      <w:r w:rsidR="00B80AAC">
        <w:rPr>
          <w:rFonts w:ascii="PT Astra Serif" w:eastAsia="Calibri" w:hAnsi="PT Astra Serif" w:cs="Times New Roman"/>
          <w:szCs w:val="28"/>
        </w:rPr>
        <w:t xml:space="preserve"> </w:t>
      </w:r>
      <w:r w:rsidRPr="00AB3E2D">
        <w:rPr>
          <w:rFonts w:ascii="PT Astra Serif" w:eastAsia="Calibri" w:hAnsi="PT Astra Serif" w:cs="Times New Roman"/>
          <w:szCs w:val="28"/>
        </w:rPr>
        <w:t>Появление новых заболеваний или вспышек инфекций может снизить желание путешествовать).</w:t>
      </w:r>
      <w:r w:rsidR="00250BEC">
        <w:rPr>
          <w:rFonts w:ascii="PT Astra Serif" w:eastAsia="Calibri" w:hAnsi="PT Astra Serif" w:cs="Times New Roman"/>
          <w:szCs w:val="28"/>
        </w:rPr>
        <w:br w:type="page"/>
      </w:r>
    </w:p>
    <w:p w14:paraId="68F585C4" w14:textId="43C779EA" w:rsidR="00250BEC" w:rsidRDefault="00250BEC" w:rsidP="00AB3E2D">
      <w:pPr>
        <w:widowControl w:val="0"/>
        <w:rPr>
          <w:rFonts w:ascii="PT Astra Serif" w:eastAsia="Calibri" w:hAnsi="PT Astra Serif" w:cs="Times New Roman"/>
          <w:szCs w:val="28"/>
        </w:rPr>
      </w:pPr>
    </w:p>
    <w:p w14:paraId="569CE7F0" w14:textId="17065D63" w:rsidR="00250BEC" w:rsidRDefault="00250BEC" w:rsidP="00AB3E2D">
      <w:pPr>
        <w:widowControl w:val="0"/>
        <w:rPr>
          <w:rFonts w:ascii="PT Astra Serif" w:eastAsia="Calibri" w:hAnsi="PT Astra Serif" w:cs="Times New Roman"/>
          <w:szCs w:val="28"/>
        </w:rPr>
      </w:pPr>
    </w:p>
    <w:p w14:paraId="6A39513E" w14:textId="1618D9C1" w:rsidR="00250BEC" w:rsidRDefault="00250BEC" w:rsidP="00AB3E2D">
      <w:pPr>
        <w:widowControl w:val="0"/>
        <w:rPr>
          <w:rFonts w:ascii="PT Astra Serif" w:eastAsia="Calibri" w:hAnsi="PT Astra Serif" w:cs="Times New Roman"/>
          <w:szCs w:val="28"/>
        </w:rPr>
      </w:pPr>
    </w:p>
    <w:p w14:paraId="5266763D" w14:textId="5010FF96" w:rsidR="00250BEC" w:rsidRDefault="00250BEC" w:rsidP="00AB3E2D">
      <w:pPr>
        <w:widowControl w:val="0"/>
        <w:rPr>
          <w:rFonts w:ascii="PT Astra Serif" w:eastAsia="Calibri" w:hAnsi="PT Astra Serif" w:cs="Times New Roman"/>
          <w:szCs w:val="28"/>
        </w:rPr>
      </w:pPr>
    </w:p>
    <w:p w14:paraId="372A014C" w14:textId="1A598927" w:rsidR="00250BEC" w:rsidRDefault="00250BEC" w:rsidP="00AB3E2D">
      <w:pPr>
        <w:widowControl w:val="0"/>
        <w:rPr>
          <w:rFonts w:ascii="PT Astra Serif" w:eastAsia="Calibri" w:hAnsi="PT Astra Serif" w:cs="Times New Roman"/>
          <w:szCs w:val="28"/>
        </w:rPr>
      </w:pPr>
    </w:p>
    <w:p w14:paraId="77EF6BFD" w14:textId="17B485C8" w:rsidR="00250BEC" w:rsidRDefault="00250BEC" w:rsidP="00AB3E2D">
      <w:pPr>
        <w:widowControl w:val="0"/>
        <w:rPr>
          <w:rFonts w:ascii="PT Astra Serif" w:eastAsia="Calibri" w:hAnsi="PT Astra Serif" w:cs="Times New Roman"/>
          <w:szCs w:val="28"/>
        </w:rPr>
      </w:pPr>
    </w:p>
    <w:p w14:paraId="037D188F" w14:textId="6BE55433" w:rsidR="00250BEC" w:rsidRDefault="00250BEC" w:rsidP="00AB3E2D">
      <w:pPr>
        <w:widowControl w:val="0"/>
        <w:rPr>
          <w:rFonts w:ascii="PT Astra Serif" w:eastAsia="Calibri" w:hAnsi="PT Astra Serif" w:cs="Times New Roman"/>
          <w:szCs w:val="28"/>
        </w:rPr>
      </w:pPr>
    </w:p>
    <w:p w14:paraId="57DC1FA0" w14:textId="5B3E1BD5" w:rsidR="00250BEC" w:rsidRDefault="00250BEC" w:rsidP="00AB3E2D">
      <w:pPr>
        <w:widowControl w:val="0"/>
        <w:rPr>
          <w:rFonts w:ascii="PT Astra Serif" w:eastAsia="Calibri" w:hAnsi="PT Astra Serif" w:cs="Times New Roman"/>
          <w:szCs w:val="28"/>
        </w:rPr>
      </w:pPr>
    </w:p>
    <w:p w14:paraId="78BE9DA8" w14:textId="44EEF33E" w:rsidR="00250BEC" w:rsidRDefault="00250BEC" w:rsidP="00AB3E2D">
      <w:pPr>
        <w:widowControl w:val="0"/>
        <w:rPr>
          <w:rFonts w:ascii="PT Astra Serif" w:eastAsia="Calibri" w:hAnsi="PT Astra Serif" w:cs="Times New Roman"/>
          <w:szCs w:val="28"/>
        </w:rPr>
      </w:pPr>
    </w:p>
    <w:p w14:paraId="1DF67268" w14:textId="61E684A1" w:rsidR="00250BEC" w:rsidRDefault="00250BEC" w:rsidP="00AB3E2D">
      <w:pPr>
        <w:widowControl w:val="0"/>
        <w:rPr>
          <w:rFonts w:ascii="PT Astra Serif" w:eastAsia="Calibri" w:hAnsi="PT Astra Serif" w:cs="Times New Roman"/>
          <w:szCs w:val="28"/>
        </w:rPr>
      </w:pPr>
    </w:p>
    <w:p w14:paraId="637AF7C4" w14:textId="25EE3584" w:rsidR="00250BEC" w:rsidRDefault="00250BEC" w:rsidP="00AB3E2D">
      <w:pPr>
        <w:widowControl w:val="0"/>
        <w:rPr>
          <w:rFonts w:ascii="PT Astra Serif" w:eastAsia="Calibri" w:hAnsi="PT Astra Serif" w:cs="Times New Roman"/>
          <w:szCs w:val="28"/>
        </w:rPr>
      </w:pPr>
    </w:p>
    <w:p w14:paraId="3E87CAD1" w14:textId="7E44BDFA" w:rsidR="00250BEC" w:rsidRDefault="00250BEC" w:rsidP="00AB3E2D">
      <w:pPr>
        <w:widowControl w:val="0"/>
        <w:rPr>
          <w:rFonts w:ascii="PT Astra Serif" w:eastAsia="Calibri" w:hAnsi="PT Astra Serif" w:cs="Times New Roman"/>
          <w:szCs w:val="28"/>
        </w:rPr>
      </w:pPr>
    </w:p>
    <w:p w14:paraId="33692BAA" w14:textId="79CCBCDE" w:rsidR="00250BEC" w:rsidRDefault="00250BEC" w:rsidP="00250BEC">
      <w:pPr>
        <w:pStyle w:val="1ff0"/>
        <w:widowControl w:val="0"/>
      </w:pPr>
      <w:bookmarkStart w:id="39" w:name="_Toc225327534"/>
      <w:bookmarkStart w:id="40" w:name="_Toc226016706"/>
      <w:r w:rsidRPr="00B828E4">
        <w:rPr>
          <w:lang w:val="en-US"/>
        </w:rPr>
        <w:t>I</w:t>
      </w:r>
      <w:r>
        <w:rPr>
          <w:lang w:val="en-US"/>
        </w:rPr>
        <w:t>I</w:t>
      </w:r>
      <w:r w:rsidRPr="00B828E4">
        <w:t>. ГОСУДАРСТВЕННОЕ УПРАВЛЕНИЕ</w:t>
      </w:r>
      <w:bookmarkEnd w:id="39"/>
      <w:bookmarkEnd w:id="40"/>
    </w:p>
    <w:p w14:paraId="3E767919" w14:textId="77777777" w:rsidR="00250BEC" w:rsidRDefault="00250BEC">
      <w:pPr>
        <w:spacing w:after="160" w:line="259" w:lineRule="auto"/>
        <w:ind w:firstLine="0"/>
        <w:jc w:val="left"/>
        <w:rPr>
          <w:rFonts w:ascii="PT Astra Serif" w:eastAsia="Calibri" w:hAnsi="PT Astra Serif" w:cs="Times New Roman"/>
          <w:b/>
          <w:color w:val="000000" w:themeColor="text1"/>
          <w:szCs w:val="28"/>
          <w:lang w:val="x-none" w:eastAsia="x-none"/>
        </w:rPr>
      </w:pPr>
      <w:r>
        <w:br w:type="page"/>
      </w:r>
    </w:p>
    <w:p w14:paraId="5E5BFDE7" w14:textId="77777777" w:rsidR="00250BEC" w:rsidRPr="00250BEC" w:rsidRDefault="00250BEC" w:rsidP="00250BEC">
      <w:pPr>
        <w:keepNext/>
        <w:keepLines/>
        <w:widowControl w:val="0"/>
        <w:shd w:val="clear" w:color="auto" w:fill="FFFFFF"/>
        <w:ind w:firstLine="0"/>
        <w:jc w:val="center"/>
        <w:outlineLvl w:val="0"/>
        <w:rPr>
          <w:rFonts w:ascii="PT Astra Serif" w:eastAsia="Calibri" w:hAnsi="PT Astra Serif" w:cs="Times New Roman"/>
          <w:b/>
          <w:color w:val="000000" w:themeColor="text1"/>
          <w:szCs w:val="28"/>
          <w:lang w:val="x-none" w:eastAsia="x-none"/>
        </w:rPr>
      </w:pPr>
      <w:bookmarkStart w:id="41" w:name="_Toc225327535"/>
      <w:bookmarkStart w:id="42" w:name="_Toc226016707"/>
      <w:r w:rsidRPr="00250BEC">
        <w:rPr>
          <w:rFonts w:ascii="PT Astra Serif" w:eastAsia="Calibri" w:hAnsi="PT Astra Serif" w:cs="Times New Roman"/>
          <w:b/>
          <w:color w:val="000000" w:themeColor="text1"/>
          <w:szCs w:val="28"/>
          <w:lang w:val="x-none" w:eastAsia="x-none"/>
        </w:rPr>
        <w:lastRenderedPageBreak/>
        <w:t>БЮДЖЕТНАЯ ПОЛИТИКА</w:t>
      </w:r>
      <w:bookmarkEnd w:id="41"/>
      <w:bookmarkEnd w:id="42"/>
    </w:p>
    <w:p w14:paraId="0A286DE0" w14:textId="77777777" w:rsidR="00250BEC" w:rsidRPr="00250BEC" w:rsidRDefault="00250BEC" w:rsidP="00250BEC">
      <w:pPr>
        <w:widowControl w:val="0"/>
        <w:contextualSpacing/>
        <w:jc w:val="center"/>
        <w:rPr>
          <w:rFonts w:ascii="PT Astra Serif" w:eastAsia="Times New Roman" w:hAnsi="PT Astra Serif" w:cs="Times New Roman"/>
          <w:b/>
          <w:color w:val="000000" w:themeColor="text1"/>
          <w:szCs w:val="28"/>
          <w:highlight w:val="yellow"/>
          <w:lang w:eastAsia="ru-RU"/>
        </w:rPr>
      </w:pPr>
    </w:p>
    <w:p w14:paraId="4C0BCD84"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Итоги исполнения консолидированного бюджета за 2025 год</w:t>
      </w:r>
    </w:p>
    <w:p w14:paraId="7BD8220F" w14:textId="77777777" w:rsidR="00250BEC" w:rsidRPr="00250BEC" w:rsidRDefault="00250BEC" w:rsidP="00250BEC">
      <w:pPr>
        <w:widowControl w:val="0"/>
        <w:ind w:firstLine="0"/>
        <w:contextualSpacing/>
        <w:rPr>
          <w:rFonts w:ascii="PT Astra Serif" w:eastAsia="Times New Roman" w:hAnsi="PT Astra Serif" w:cs="Times New Roman"/>
          <w:b/>
          <w:szCs w:val="28"/>
          <w:u w:val="single"/>
          <w:lang w:eastAsia="ru-RU"/>
        </w:rPr>
      </w:pPr>
    </w:p>
    <w:p w14:paraId="2D9F82E0"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Эффективное и прозрачное управление государственными финансами - ключевой драйвер долгосрочного развития региона, повышения качества жизни граждан, обеспечения устойчивого экономического роста, стимулирования инвестиционной активности и достижения иных стратегических целей социально-экономического развития Ульяновской области.</w:t>
      </w:r>
    </w:p>
    <w:p w14:paraId="5B6C94BA" w14:textId="77777777" w:rsidR="00250BEC" w:rsidRPr="00250BEC" w:rsidRDefault="00250BEC" w:rsidP="00250BEC">
      <w:pPr>
        <w:widowControl w:val="0"/>
        <w:autoSpaceDE w:val="0"/>
        <w:autoSpaceDN w:val="0"/>
        <w:adjustRightInd w:val="0"/>
        <w:rPr>
          <w:rFonts w:ascii="PT Astra Serif" w:eastAsia="Times New Roman" w:hAnsi="PT Astra Serif" w:cs="Times New Roman"/>
          <w:bCs/>
          <w:color w:val="000000"/>
          <w:szCs w:val="28"/>
          <w:lang w:eastAsia="ru-RU"/>
        </w:rPr>
      </w:pPr>
      <w:r w:rsidRPr="00250BEC">
        <w:rPr>
          <w:rFonts w:ascii="PT Astra Serif" w:eastAsia="Times New Roman" w:hAnsi="PT Astra Serif" w:cs="Times New Roman"/>
          <w:bCs/>
          <w:color w:val="000000"/>
          <w:szCs w:val="28"/>
          <w:lang w:eastAsia="ru-RU"/>
        </w:rPr>
        <w:t>В 2025 году бюджетная политика региона была сфокусирована</w:t>
      </w:r>
      <w:r w:rsidRPr="00250BEC">
        <w:rPr>
          <w:rFonts w:ascii="PT Astra Serif" w:eastAsia="Times New Roman" w:hAnsi="PT Astra Serif" w:cs="Times New Roman"/>
          <w:bCs/>
          <w:color w:val="000000"/>
          <w:szCs w:val="28"/>
          <w:lang w:eastAsia="ru-RU"/>
        </w:rPr>
        <w:br/>
        <w:t xml:space="preserve">на достижении следующих ключевых целей: обеспечение долгосрочной сбалансированности и финансовой устойчивости областного бюджета Ульяновской области и бюджетов муниципальных образований Ульяновской области, совершенствование процессов формирования и исполнения областного бюджета Ульяновской области, </w:t>
      </w:r>
      <w:proofErr w:type="spellStart"/>
      <w:r w:rsidRPr="00250BEC">
        <w:rPr>
          <w:rFonts w:ascii="PT Astra Serif" w:eastAsia="Times New Roman" w:hAnsi="PT Astra Serif" w:cs="Times New Roman"/>
          <w:bCs/>
          <w:color w:val="000000"/>
          <w:szCs w:val="28"/>
          <w:lang w:eastAsia="ru-RU"/>
        </w:rPr>
        <w:t>п</w:t>
      </w:r>
      <w:r w:rsidRPr="00250BEC">
        <w:rPr>
          <w:rFonts w:ascii="PT Astra Serif" w:eastAsia="Times New Roman" w:hAnsi="PT Astra Serif" w:cs="Times New Roman"/>
          <w:szCs w:val="28"/>
          <w:lang w:eastAsia="ru-RU"/>
        </w:rPr>
        <w:t>риоритизация</w:t>
      </w:r>
      <w:proofErr w:type="spellEnd"/>
      <w:r w:rsidRPr="00250BEC">
        <w:rPr>
          <w:rFonts w:ascii="PT Astra Serif" w:eastAsia="Times New Roman" w:hAnsi="PT Astra Serif" w:cs="Times New Roman"/>
          <w:szCs w:val="28"/>
          <w:lang w:eastAsia="ru-RU"/>
        </w:rPr>
        <w:t xml:space="preserve"> расходов консолидированного бюджета Ульяновской области в соответствии</w:t>
      </w:r>
      <w:r w:rsidRPr="00250BEC">
        <w:rPr>
          <w:rFonts w:ascii="PT Astra Serif" w:eastAsia="Times New Roman" w:hAnsi="PT Astra Serif" w:cs="Times New Roman"/>
          <w:szCs w:val="28"/>
          <w:lang w:eastAsia="ru-RU"/>
        </w:rPr>
        <w:br/>
        <w:t xml:space="preserve">с задачами, поставленными на федеральном уровне, </w:t>
      </w:r>
      <w:r w:rsidRPr="00250BEC">
        <w:rPr>
          <w:rFonts w:ascii="PT Astra Serif" w:eastAsia="Times New Roman" w:hAnsi="PT Astra Serif" w:cs="Times New Roman"/>
          <w:bCs/>
          <w:color w:val="000000"/>
          <w:szCs w:val="28"/>
          <w:lang w:eastAsia="ru-RU"/>
        </w:rPr>
        <w:t>а также эффективное управление государственным долгом.</w:t>
      </w:r>
    </w:p>
    <w:p w14:paraId="6F929D1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Благодаря тесному взаимодействию Правительства Ульяновской области с заинтересованными федеральными структурами, с органами государственной власти Ульяновской области, с финансовыми органами муниципальных образований Ульяновской области, с государственными контрольными органами и институтами гражданского общества, а также благодаря активной реализации </w:t>
      </w:r>
      <w:r w:rsidRPr="00250BEC">
        <w:rPr>
          <w:rFonts w:ascii="PT Astra Serif" w:eastAsia="Times New Roman" w:hAnsi="PT Astra Serif" w:cs="Times New Roman"/>
          <w:bCs/>
          <w:szCs w:val="28"/>
          <w:lang w:eastAsia="ru-RU"/>
        </w:rPr>
        <w:t>Программы оздоровления государственных финансов Ульяновской области на 2025 - 2027 годы</w:t>
      </w:r>
      <w:r w:rsidRPr="00250BEC">
        <w:rPr>
          <w:rFonts w:ascii="PT Astra Serif" w:eastAsia="Times New Roman" w:hAnsi="PT Astra Serif" w:cs="Times New Roman"/>
          <w:szCs w:val="28"/>
          <w:lang w:eastAsia="ru-RU"/>
        </w:rPr>
        <w:t xml:space="preserve">, утверждённой распоряжением Правительства Ульяновской области </w:t>
      </w:r>
      <w:r w:rsidRPr="00250BEC">
        <w:rPr>
          <w:rFonts w:ascii="PT Astra Serif" w:eastAsia="Calibri" w:hAnsi="PT Astra Serif" w:cs="Times New Roman"/>
          <w:bCs/>
          <w:szCs w:val="28"/>
          <w:lang w:eastAsia="ru-RU"/>
        </w:rPr>
        <w:t xml:space="preserve">от 20.12.2024 № 604-пр, удалось </w:t>
      </w:r>
      <w:r w:rsidRPr="00250BEC">
        <w:rPr>
          <w:rFonts w:ascii="PT Astra Serif" w:eastAsia="Times New Roman" w:hAnsi="PT Astra Serif" w:cs="Times New Roman"/>
          <w:szCs w:val="28"/>
          <w:lang w:eastAsia="ru-RU"/>
        </w:rPr>
        <w:t>добиться ощутимого роста доходной части бюджета и обеспечить рациональное и эффективное распределение ресурсов для выполнения всех расходных обязательств региона. При этом особое внимание уделялось социальной сфере: все принятые обязательства перед жителями Ульяновской области выполнены в полном объёме.</w:t>
      </w:r>
    </w:p>
    <w:p w14:paraId="66A1E01C"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Доходы консолидированного бюджета Ульяновской области</w:t>
      </w:r>
      <w:r w:rsidRPr="00250BEC">
        <w:rPr>
          <w:rFonts w:ascii="PT Astra Serif" w:eastAsia="Calibri" w:hAnsi="PT Astra Serif" w:cs="Times New Roman"/>
          <w:szCs w:val="28"/>
          <w:lang w:eastAsia="ru-RU"/>
        </w:rPr>
        <w:br/>
        <w:t xml:space="preserve">за 2025 год </w:t>
      </w:r>
      <w:r w:rsidRPr="00250BEC">
        <w:rPr>
          <w:rFonts w:ascii="PT Astra Serif" w:eastAsia="Times New Roman" w:hAnsi="PT Astra Serif" w:cs="Times New Roman"/>
          <w:szCs w:val="28"/>
          <w:lang w:eastAsia="ru-RU"/>
        </w:rPr>
        <w:t>составили</w:t>
      </w:r>
      <w:r w:rsidRPr="00250BEC">
        <w:rPr>
          <w:rFonts w:ascii="PT Astra Serif" w:eastAsia="Calibri" w:hAnsi="PT Astra Serif" w:cs="Times New Roman"/>
          <w:szCs w:val="28"/>
          <w:lang w:eastAsia="ru-RU"/>
        </w:rPr>
        <w:t xml:space="preserve"> 128 866,1 млн рублей, что на 8 843,8 млн рублей или</w:t>
      </w:r>
      <w:r w:rsidRPr="00250BEC">
        <w:rPr>
          <w:rFonts w:ascii="PT Astra Serif" w:eastAsia="Calibri" w:hAnsi="PT Astra Serif" w:cs="Times New Roman"/>
          <w:szCs w:val="28"/>
          <w:lang w:eastAsia="ru-RU"/>
        </w:rPr>
        <w:br/>
        <w:t>на 7,4% больше доходов за 2024 год и в 1,4 раза или на 36 217,8 млн рублей выше уровня 2021 года. Годовой план выполнен на 99,0%.</w:t>
      </w:r>
    </w:p>
    <w:p w14:paraId="6B1F8123"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 xml:space="preserve">Расходы консолидированного бюджета за 2025 год составили </w:t>
      </w:r>
      <w:r w:rsidRPr="00250BEC">
        <w:rPr>
          <w:rFonts w:ascii="PT Astra Serif" w:eastAsia="Calibri" w:hAnsi="PT Astra Serif" w:cs="Times New Roman"/>
          <w:szCs w:val="28"/>
          <w:lang w:eastAsia="ru-RU"/>
        </w:rPr>
        <w:br/>
        <w:t>131 081,6 млн рублей, что на 9 862,6 млн рублей или на 8,1% больше расходов за 2024 год и в 1,3 раза или на 31 240,6 млн рублей выше уровня 2021 года. Годовой план выполнен на 97,6%.</w:t>
      </w:r>
    </w:p>
    <w:p w14:paraId="32AA1C4B"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Доходы областного бюджета Ульяновской области по сравнению</w:t>
      </w:r>
      <w:r w:rsidRPr="00250BEC">
        <w:rPr>
          <w:rFonts w:ascii="PT Astra Serif" w:eastAsia="Calibri" w:hAnsi="PT Astra Serif" w:cs="Times New Roman"/>
          <w:szCs w:val="28"/>
          <w:lang w:eastAsia="ru-RU"/>
        </w:rPr>
        <w:br/>
        <w:t>с уровнем 2024 года выросли на 6,1% или на 6 313,8 млн рублей</w:t>
      </w:r>
      <w:r w:rsidRPr="00250BEC">
        <w:rPr>
          <w:rFonts w:ascii="PT Astra Serif" w:eastAsia="Calibri" w:hAnsi="PT Astra Serif" w:cs="Times New Roman"/>
          <w:szCs w:val="28"/>
          <w:lang w:eastAsia="ru-RU"/>
        </w:rPr>
        <w:br/>
        <w:t>и составили 110 668,8 млн рублей. К уровню 2021 года этот показатель увеличился в 1,3 раза или на 28 275,1 млн рублей. Годовой план выполнен</w:t>
      </w:r>
      <w:r w:rsidRPr="00250BEC">
        <w:rPr>
          <w:rFonts w:ascii="PT Astra Serif" w:eastAsia="Calibri" w:hAnsi="PT Astra Serif" w:cs="Times New Roman"/>
          <w:szCs w:val="28"/>
          <w:lang w:eastAsia="ru-RU"/>
        </w:rPr>
        <w:br/>
        <w:t>на 98,6%.</w:t>
      </w:r>
    </w:p>
    <w:p w14:paraId="430C3765" w14:textId="4504F99B" w:rsidR="00250BEC" w:rsidRPr="00250BEC" w:rsidRDefault="00FD65E0" w:rsidP="00250BEC">
      <w:pPr>
        <w:widowControl w:val="0"/>
        <w:ind w:firstLine="0"/>
        <w:jc w:val="center"/>
        <w:rPr>
          <w:rFonts w:eastAsia="Calibri" w:cs="Times New Roman"/>
          <w:szCs w:val="28"/>
          <w:lang w:eastAsia="ru-RU"/>
        </w:rPr>
      </w:pPr>
      <w:r w:rsidRPr="00250BEC">
        <w:rPr>
          <w:rFonts w:ascii="PT Astra Serif" w:eastAsia="Calibri" w:hAnsi="PT Astra Serif" w:cs="Times New Roman"/>
          <w:szCs w:val="28"/>
          <w:lang w:eastAsia="ru-RU"/>
        </w:rPr>
        <w:object w:dxaOrig="6125" w:dyaOrig="3429" w14:anchorId="508346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217.9pt" o:ole="">
            <v:imagedata r:id="rId27" o:title=""/>
          </v:shape>
          <o:OLEObject Type="Embed" ProgID="PowerPoint.Slide.12" ShapeID="_x0000_i1025" DrawAspect="Content" ObjectID="_1836648848" r:id="rId28"/>
        </w:object>
      </w:r>
    </w:p>
    <w:p w14:paraId="46B608D7"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Расходы областного бюджета за отчётный год исполнены в сумме 113 712,2 млн рублей, что на 7,8% или на 8 183,1 млн рублей превышает соответствующие показатели 2024 года и в 1,3 раза или на 23 848,9 млн рублей превышает показатели 2021 года. Годовой план выполнен на 98,4%.</w:t>
      </w:r>
    </w:p>
    <w:p w14:paraId="507DF034" w14:textId="77777777" w:rsidR="00250BEC" w:rsidRPr="00250BEC" w:rsidRDefault="00250BEC" w:rsidP="00250BEC">
      <w:pPr>
        <w:widowControl w:val="0"/>
        <w:rPr>
          <w:rFonts w:ascii="PT Astra Serif" w:eastAsia="Times New Roman" w:hAnsi="PT Astra Serif" w:cs="Times New Roman"/>
          <w:szCs w:val="28"/>
          <w:lang w:eastAsia="ru-RU"/>
        </w:rPr>
      </w:pPr>
    </w:p>
    <w:p w14:paraId="0A74DB67" w14:textId="77777777" w:rsidR="00250BEC" w:rsidRPr="00250BEC" w:rsidRDefault="00250BEC" w:rsidP="00250BEC">
      <w:pPr>
        <w:widowControl w:val="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Укрепление доходной базы областного и местных бюджетов Ульяновской области</w:t>
      </w:r>
    </w:p>
    <w:p w14:paraId="4011B019" w14:textId="77777777" w:rsidR="00250BEC" w:rsidRPr="00250BEC" w:rsidRDefault="00250BEC" w:rsidP="00250BEC">
      <w:pPr>
        <w:widowControl w:val="0"/>
        <w:contextualSpacing/>
        <w:jc w:val="center"/>
        <w:rPr>
          <w:rFonts w:ascii="PT Astra Serif" w:eastAsia="Times New Roman" w:hAnsi="PT Astra Serif" w:cs="Times New Roman"/>
          <w:b/>
          <w:szCs w:val="28"/>
          <w:lang w:eastAsia="ru-RU"/>
        </w:rPr>
      </w:pPr>
    </w:p>
    <w:p w14:paraId="019D72F9" w14:textId="77777777" w:rsidR="00250BEC" w:rsidRPr="00250BEC" w:rsidRDefault="00250BEC" w:rsidP="00250BEC">
      <w:pPr>
        <w:widowControl w:val="0"/>
        <w:contextualSpacing/>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Обеспечение долгосрочной сбалансированности и устойчивости бюджетной системы напрямую зависит от эффективной реализации мер</w:t>
      </w:r>
      <w:r w:rsidRPr="00250BEC">
        <w:rPr>
          <w:rFonts w:ascii="PT Astra Serif" w:eastAsia="Calibri" w:hAnsi="PT Astra Serif" w:cs="Times New Roman"/>
          <w:szCs w:val="28"/>
          <w:lang w:eastAsia="ru-RU"/>
        </w:rPr>
        <w:br/>
        <w:t>по наращиванию налогового потенциала региона. В 2025 году для достижения стабильного роста доходов областного и муниципальных бюджетов Ульяновской области, а также для сокращения недоимки был реализован комплекс мероприятий, направленный на выявление резервов роста доходов, выстраивание конструктивного диалога с крупнейшими налогоплательщиками региона, налаживание межведомственного взаимодействия, снижение уровня неформальной занятости и легализацию заработной платы во внебюджетном секторе экономики, совершенствование налогового законодательства, оптимизацию налоговых льгот.</w:t>
      </w:r>
    </w:p>
    <w:p w14:paraId="10505D4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Calibri" w:hAnsi="PT Astra Serif" w:cs="Times New Roman"/>
          <w:szCs w:val="28"/>
          <w:lang w:eastAsia="ru-RU"/>
        </w:rPr>
        <w:t>В 2025 году Правительством Ульяновской области совместно</w:t>
      </w:r>
      <w:r w:rsidRPr="00250BEC">
        <w:rPr>
          <w:rFonts w:ascii="PT Astra Serif" w:eastAsia="Calibri" w:hAnsi="PT Astra Serif" w:cs="Times New Roman"/>
          <w:szCs w:val="28"/>
          <w:lang w:eastAsia="ru-RU"/>
        </w:rPr>
        <w:br/>
        <w:t xml:space="preserve">с Управлением Федеральной налоговой службы России по Ульяновской области был разработан и утверждён ежегодный </w:t>
      </w:r>
      <w:r w:rsidRPr="00250BEC">
        <w:rPr>
          <w:rFonts w:ascii="PT Astra Serif" w:eastAsia="Times New Roman" w:hAnsi="PT Astra Serif" w:cs="Times New Roman"/>
          <w:szCs w:val="28"/>
          <w:lang w:eastAsia="ru-RU"/>
        </w:rPr>
        <w:t>План мероприятий</w:t>
      </w:r>
      <w:r w:rsidRPr="00250BEC">
        <w:rPr>
          <w:rFonts w:ascii="PT Astra Serif" w:eastAsia="Times New Roman" w:hAnsi="PT Astra Serif" w:cs="Times New Roman"/>
          <w:szCs w:val="28"/>
          <w:lang w:eastAsia="ru-RU"/>
        </w:rPr>
        <w:br/>
        <w:t xml:space="preserve">по увеличению поступлений доходов в консолидированный бюджет Ульяновской области (№ 18-ПЛ от </w:t>
      </w:r>
      <w:r w:rsidRPr="00250BEC">
        <w:rPr>
          <w:rFonts w:ascii="PT Astra Serif" w:eastAsia="Times New Roman" w:hAnsi="PT Astra Serif" w:cs="Times New Roman"/>
          <w:bCs/>
          <w:szCs w:val="28"/>
          <w:lang w:eastAsia="ru-RU"/>
        </w:rPr>
        <w:t>24.</w:t>
      </w:r>
      <w:r w:rsidRPr="00250BEC">
        <w:rPr>
          <w:rFonts w:ascii="PT Astra Serif" w:eastAsia="Times New Roman" w:hAnsi="PT Astra Serif" w:cs="Times New Roman"/>
          <w:szCs w:val="28"/>
          <w:lang w:eastAsia="ru-RU"/>
        </w:rPr>
        <w:t>01.2025)</w:t>
      </w:r>
      <w:r w:rsidRPr="00250BEC">
        <w:rPr>
          <w:rFonts w:ascii="PT Astra Serif" w:eastAsia="Times New Roman" w:hAnsi="PT Astra Serif" w:cs="Times New Roman"/>
          <w:bCs/>
          <w:szCs w:val="28"/>
          <w:lang w:eastAsia="ru-RU"/>
        </w:rPr>
        <w:t xml:space="preserve">. Благодаря реализации названного Плана </w:t>
      </w:r>
      <w:r w:rsidRPr="00250BEC">
        <w:rPr>
          <w:rFonts w:ascii="PT Astra Serif" w:eastAsia="Times New Roman" w:hAnsi="PT Astra Serif" w:cs="Times New Roman"/>
          <w:spacing w:val="-6"/>
          <w:szCs w:val="28"/>
          <w:lang w:eastAsia="ru-RU"/>
        </w:rPr>
        <w:t>в консолидированный бюджет Ульяновской области поступило 1 651,3</w:t>
      </w:r>
      <w:r w:rsidRPr="00250BEC">
        <w:rPr>
          <w:rFonts w:ascii="PT Astra Serif" w:eastAsia="Times New Roman" w:hAnsi="PT Astra Serif" w:cs="Times New Roman"/>
          <w:szCs w:val="28"/>
          <w:lang w:eastAsia="ru-RU"/>
        </w:rPr>
        <w:t xml:space="preserve"> млн рублей (в 2 раза больше планового показателя</w:t>
      </w:r>
      <w:r w:rsidRPr="00250BEC">
        <w:rPr>
          <w:rFonts w:ascii="PT Astra Serif" w:eastAsia="Times New Roman" w:hAnsi="PT Astra Serif" w:cs="Times New Roman"/>
          <w:szCs w:val="28"/>
          <w:lang w:eastAsia="ru-RU"/>
        </w:rPr>
        <w:br/>
        <w:t>(837,9 млн рублей), в том числе:</w:t>
      </w:r>
    </w:p>
    <w:p w14:paraId="76181834"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ходе реализации мероприятий, направленных на повышение уровня среднемесячной заработной платы, муниципальными образованиями</w:t>
      </w:r>
      <w:r w:rsidRPr="00250BEC">
        <w:rPr>
          <w:rFonts w:ascii="PT Astra Serif" w:eastAsia="Times New Roman" w:hAnsi="PT Astra Serif" w:cs="Times New Roman"/>
          <w:szCs w:val="28"/>
          <w:lang w:eastAsia="ru-RU"/>
        </w:rPr>
        <w:br/>
        <w:t xml:space="preserve">и исполнительными органами Ульяновской области в 2025 году </w:t>
      </w:r>
      <w:r w:rsidRPr="00250BEC">
        <w:rPr>
          <w:rFonts w:ascii="PT Astra Serif" w:eastAsia="Times New Roman" w:hAnsi="PT Astra Serif" w:cs="Times New Roman"/>
          <w:szCs w:val="28"/>
          <w:lang w:eastAsia="ar-SA"/>
        </w:rPr>
        <w:t>заключено 297 соглашений об индексации заработной платы 4 331 работнику. В</w:t>
      </w:r>
      <w:r w:rsidRPr="00250BEC">
        <w:rPr>
          <w:rFonts w:ascii="PT Astra Serif" w:eastAsia="Times New Roman" w:hAnsi="PT Astra Serif" w:cs="Times New Roman"/>
          <w:szCs w:val="28"/>
          <w:lang w:eastAsia="ru-RU"/>
        </w:rPr>
        <w:t xml:space="preserve">сего </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по состоянию на 01.01.2026 действует 2 808 соглашений о намерении повышения заработной платы в отношении 54 009 работников. Финансовый эффект в виде дополнительной уплаты НДФЛ в консолидированный бюджет Ульяновской области в 2025 году составил 465,1</w:t>
      </w:r>
      <w:r w:rsidRPr="00250BEC">
        <w:rPr>
          <w:rFonts w:ascii="PT Astra Serif" w:eastAsia="Times New Roman" w:hAnsi="PT Astra Serif" w:cs="Times New Roman"/>
          <w:b/>
          <w:szCs w:val="28"/>
          <w:lang w:eastAsia="ru-RU"/>
        </w:rPr>
        <w:t xml:space="preserve"> </w:t>
      </w:r>
      <w:r w:rsidRPr="00250BEC">
        <w:rPr>
          <w:rFonts w:ascii="PT Astra Serif" w:eastAsia="Times New Roman" w:hAnsi="PT Astra Serif" w:cs="Times New Roman"/>
          <w:szCs w:val="28"/>
          <w:lang w:eastAsia="ru-RU"/>
        </w:rPr>
        <w:t xml:space="preserve">млн рублей или 162,7 % </w:t>
      </w:r>
      <w:r w:rsidRPr="00250BEC">
        <w:rPr>
          <w:rFonts w:ascii="PT Astra Serif" w:eastAsia="Times New Roman" w:hAnsi="PT Astra Serif" w:cs="Times New Roman"/>
          <w:szCs w:val="28"/>
          <w:lang w:eastAsia="ru-RU"/>
        </w:rPr>
        <w:br/>
        <w:t>к плановому показателю (285,9 млн рублей).</w:t>
      </w:r>
    </w:p>
    <w:p w14:paraId="1565884E"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целях погашения задолженности в консолидированный бюджет Ульяновской области в 2025 году в муниципальных образованиях Ульяновской области в рамках деятельности комиссий (рабочих групп)</w:t>
      </w:r>
      <w:r w:rsidRPr="00250BEC">
        <w:rPr>
          <w:rFonts w:ascii="PT Astra Serif" w:eastAsia="Times New Roman" w:hAnsi="PT Astra Serif" w:cs="Times New Roman"/>
          <w:szCs w:val="28"/>
          <w:lang w:eastAsia="ru-RU"/>
        </w:rPr>
        <w:br/>
        <w:t xml:space="preserve">по вопросам увеличения доходов консолидированного бюджета Ульяновской области проведена работа с 16 758 должниками. В консолидированный бюджет Ульяновской области поступило 490,1 млн рублей, в том числе НДФЛ – 220,2 млн рублей. </w:t>
      </w:r>
    </w:p>
    <w:p w14:paraId="732AC883"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Calibri" w:hAnsi="PT Astra Serif" w:cs="Times New Roman"/>
          <w:szCs w:val="28"/>
          <w:lang w:eastAsia="ru-RU"/>
        </w:rPr>
        <w:t xml:space="preserve">Согласно графику, разработанному Министерством финансов Ульяновской области, представители муниципальных образований Ульяновской области приняли участие в 92-х совместных мероприятиях </w:t>
      </w:r>
      <w:r w:rsidRPr="00250BEC">
        <w:rPr>
          <w:rFonts w:ascii="PT Astra Serif" w:eastAsia="Calibri" w:hAnsi="PT Astra Serif" w:cs="Times New Roman"/>
          <w:szCs w:val="28"/>
          <w:lang w:eastAsia="ru-RU"/>
        </w:rPr>
        <w:br/>
        <w:t>со специалистами ГИБДД, Федеральной службы судебных приставов</w:t>
      </w:r>
      <w:r w:rsidRPr="00250BEC">
        <w:rPr>
          <w:rFonts w:ascii="PT Astra Serif" w:eastAsia="Calibri" w:hAnsi="PT Astra Serif" w:cs="Times New Roman"/>
          <w:szCs w:val="28"/>
          <w:lang w:eastAsia="ru-RU"/>
        </w:rPr>
        <w:br/>
        <w:t>по Ульяновской области. В</w:t>
      </w:r>
      <w:r w:rsidRPr="00250BEC">
        <w:rPr>
          <w:rFonts w:ascii="PT Astra Serif" w:eastAsia="Times New Roman" w:hAnsi="PT Astra Serif" w:cs="Times New Roman"/>
          <w:szCs w:val="28"/>
          <w:lang w:eastAsia="ru-RU"/>
        </w:rPr>
        <w:t xml:space="preserve"> результате выявлено 330 должников, взыскано </w:t>
      </w:r>
      <w:r w:rsidRPr="00250BEC">
        <w:rPr>
          <w:rFonts w:ascii="PT Astra Serif" w:eastAsia="Times New Roman" w:hAnsi="PT Astra Serif" w:cs="Times New Roman"/>
          <w:szCs w:val="28"/>
          <w:lang w:eastAsia="ru-RU"/>
        </w:rPr>
        <w:br/>
        <w:t>0,6 млн рублей задолженности по налогам.</w:t>
      </w:r>
    </w:p>
    <w:p w14:paraId="4B5B41E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color w:val="000000"/>
          <w:szCs w:val="28"/>
          <w:lang w:eastAsia="ru-RU"/>
        </w:rPr>
        <w:t>Большой комплекс мероприятий Плана связан с р</w:t>
      </w:r>
      <w:r w:rsidRPr="00250BEC">
        <w:rPr>
          <w:rFonts w:ascii="PT Astra Serif" w:eastAsia="Times New Roman" w:hAnsi="PT Astra Serif" w:cs="Times New Roman"/>
          <w:szCs w:val="28"/>
          <w:lang w:eastAsia="ru-RU"/>
        </w:rPr>
        <w:t>аботой с земельно-имущественным комплексом, по результатам деятельности по данному направлению экономический эффект составил 25,4 млн рублей.</w:t>
      </w:r>
    </w:p>
    <w:p w14:paraId="06FCF027" w14:textId="77777777" w:rsidR="00250BEC" w:rsidRPr="00250BEC" w:rsidRDefault="00250BEC" w:rsidP="00250BEC">
      <w:pPr>
        <w:widowControl w:val="0"/>
        <w:rPr>
          <w:rFonts w:ascii="PT Astra Serif" w:eastAsia="Times New Roman" w:hAnsi="PT Astra Serif" w:cs="Times New Roman"/>
          <w:bCs/>
          <w:i/>
          <w:szCs w:val="28"/>
          <w:lang w:eastAsia="ru-RU"/>
        </w:rPr>
      </w:pPr>
      <w:r w:rsidRPr="00250BEC">
        <w:rPr>
          <w:rFonts w:ascii="PT Astra Serif" w:eastAsia="Times New Roman" w:hAnsi="PT Astra Serif" w:cs="Times New Roman"/>
          <w:szCs w:val="28"/>
          <w:lang w:eastAsia="ru-RU"/>
        </w:rPr>
        <w:t>Проводилась большая работа по корректировке перечня льготных категорий налогоплательщиков, в результате которой п</w:t>
      </w:r>
      <w:r w:rsidRPr="00250BEC">
        <w:rPr>
          <w:rFonts w:ascii="PT Astra Serif" w:eastAsia="Calibri" w:hAnsi="PT Astra Serif" w:cs="PT Astra Serif"/>
          <w:szCs w:val="28"/>
          <w:lang w:eastAsia="ru-RU"/>
        </w:rPr>
        <w:t xml:space="preserve">рогнозируемый объём дополнительных доходов составит </w:t>
      </w:r>
      <w:proofErr w:type="spellStart"/>
      <w:r w:rsidRPr="00250BEC">
        <w:rPr>
          <w:rFonts w:ascii="PT Astra Serif" w:eastAsia="Calibri" w:hAnsi="PT Astra Serif" w:cs="PT Astra Serif"/>
          <w:szCs w:val="28"/>
          <w:lang w:eastAsia="ru-RU"/>
        </w:rPr>
        <w:t>расчётно</w:t>
      </w:r>
      <w:proofErr w:type="spellEnd"/>
      <w:r w:rsidRPr="00250BEC">
        <w:rPr>
          <w:rFonts w:ascii="PT Astra Serif" w:eastAsia="Calibri" w:hAnsi="PT Astra Serif" w:cs="PT Astra Serif"/>
          <w:szCs w:val="28"/>
          <w:lang w:eastAsia="ru-RU"/>
        </w:rPr>
        <w:t xml:space="preserve"> около 462,0 млн рублей.</w:t>
      </w:r>
    </w:p>
    <w:p w14:paraId="3095AD7C" w14:textId="77777777" w:rsidR="00250BEC" w:rsidRPr="00250BEC" w:rsidRDefault="00250BEC" w:rsidP="00250BEC">
      <w:pPr>
        <w:widowControl w:val="0"/>
        <w:tabs>
          <w:tab w:val="left" w:pos="0"/>
          <w:tab w:val="left" w:pos="993"/>
        </w:tabs>
        <w:contextualSpacing/>
        <w:rPr>
          <w:rFonts w:ascii="PT Astra Serif" w:eastAsia="Times New Roman" w:hAnsi="PT Astra Serif" w:cs="Times New Roman"/>
          <w:bCs/>
          <w:i/>
          <w:szCs w:val="28"/>
          <w:lang w:eastAsia="ru-RU"/>
        </w:rPr>
      </w:pPr>
      <w:r w:rsidRPr="00250BEC">
        <w:rPr>
          <w:rFonts w:ascii="PT Astra Serif" w:eastAsia="Times New Roman" w:hAnsi="PT Astra Serif" w:cs="Times New Roman"/>
          <w:szCs w:val="28"/>
          <w:lang w:eastAsia="ru-RU"/>
        </w:rPr>
        <w:t xml:space="preserve">Были внесены поправки в патентную систему налогообложения, предусматривающие индексацию </w:t>
      </w:r>
      <w:r w:rsidRPr="00250BEC">
        <w:rPr>
          <w:rFonts w:ascii="PT Astra Serif" w:eastAsia="Times New Roman" w:hAnsi="PT Astra Serif" w:cs="Times New Roman"/>
          <w:szCs w:val="28"/>
          <w:shd w:val="clear" w:color="auto" w:fill="FFFFFF"/>
          <w:lang w:eastAsia="ru-RU"/>
        </w:rPr>
        <w:t>размеров потенциально возможного</w:t>
      </w:r>
      <w:r w:rsidRPr="00250BEC">
        <w:rPr>
          <w:rFonts w:ascii="PT Astra Serif" w:eastAsia="Times New Roman" w:hAnsi="PT Astra Serif" w:cs="Times New Roman"/>
          <w:szCs w:val="28"/>
          <w:shd w:val="clear" w:color="auto" w:fill="FFFFFF"/>
          <w:lang w:eastAsia="ru-RU"/>
        </w:rPr>
        <w:br/>
        <w:t xml:space="preserve">к получению индивидуальным предпринимателем годового дохода по видам предпринимательской деятельности на коэффициент-дефлятор, который устанавливается на соответствующий календарный год. </w:t>
      </w:r>
      <w:r w:rsidRPr="00250BEC">
        <w:rPr>
          <w:rFonts w:ascii="PT Astra Serif" w:eastAsia="Calibri" w:hAnsi="PT Astra Serif" w:cs="PT Astra Serif"/>
          <w:szCs w:val="28"/>
          <w:lang w:eastAsia="ru-RU"/>
        </w:rPr>
        <w:t>Прогнозируемый объём дополнительных доходов в бюджеты муниципальных образований составит более 30,5 млн рублей.</w:t>
      </w:r>
    </w:p>
    <w:p w14:paraId="792D330D" w14:textId="77777777" w:rsidR="00250BEC" w:rsidRPr="00250BEC" w:rsidRDefault="00250BEC" w:rsidP="00250BEC">
      <w:pPr>
        <w:widowControl w:val="0"/>
        <w:tabs>
          <w:tab w:val="left" w:pos="0"/>
          <w:tab w:val="left" w:pos="993"/>
        </w:tabs>
        <w:contextualSpacing/>
        <w:rPr>
          <w:rFonts w:ascii="PT Astra Serif" w:eastAsia="Times New Roman" w:hAnsi="PT Astra Serif" w:cs="Times New Roman"/>
          <w:bCs/>
          <w:i/>
          <w:szCs w:val="28"/>
          <w:lang w:eastAsia="ru-RU"/>
        </w:rPr>
      </w:pPr>
      <w:r w:rsidRPr="00250BEC">
        <w:rPr>
          <w:rFonts w:ascii="PT Astra Serif" w:eastAsia="Calibri" w:hAnsi="PT Astra Serif" w:cs="PT Astra Serif"/>
          <w:szCs w:val="28"/>
          <w:lang w:eastAsia="ru-RU"/>
        </w:rPr>
        <w:t>В 2025 году на территории 19 муниципальных образований Ульяновской области был введён новый вид налога – туристический. В результате дополнительные поступления в консолидированный бюджет Ульяновской области составили более 25,0 млн рублей.</w:t>
      </w:r>
    </w:p>
    <w:p w14:paraId="560C8517" w14:textId="77777777" w:rsidR="00250BEC" w:rsidRPr="00250BEC" w:rsidRDefault="00250BEC" w:rsidP="00250BEC">
      <w:pPr>
        <w:widowControl w:val="0"/>
        <w:tabs>
          <w:tab w:val="left" w:pos="0"/>
          <w:tab w:val="left" w:pos="993"/>
        </w:tabs>
        <w:contextualSpacing/>
        <w:rPr>
          <w:rFonts w:ascii="PT Astra Serif" w:eastAsia="Times New Roman" w:hAnsi="PT Astra Serif" w:cs="Times New Roman"/>
          <w:bCs/>
          <w:i/>
          <w:szCs w:val="28"/>
          <w:lang w:eastAsia="ru-RU"/>
        </w:rPr>
      </w:pPr>
      <w:r w:rsidRPr="00250BEC">
        <w:rPr>
          <w:rFonts w:ascii="PT Astra Serif" w:eastAsia="Times New Roman" w:hAnsi="PT Astra Serif" w:cs="PT Astra Serif"/>
          <w:szCs w:val="28"/>
          <w:lang w:eastAsia="ru-RU"/>
        </w:rPr>
        <w:t xml:space="preserve">В целях финансового обеспечения решений вопросов местного значения муниципальных районов с 01.01.2026 на уровень муниципальных районов передана часть единого норматива отчислений от налога на доходы физических лиц, подлежащих зачислению в бюджеты городских, сельских поселений Ульяновской области в размере 2%. </w:t>
      </w:r>
      <w:r w:rsidRPr="00250BEC">
        <w:rPr>
          <w:rFonts w:ascii="PT Astra Serif" w:eastAsia="Calibri" w:hAnsi="PT Astra Serif" w:cs="PT Astra Serif"/>
          <w:szCs w:val="28"/>
          <w:lang w:eastAsia="ru-RU"/>
        </w:rPr>
        <w:t>Прогнозируемый о</w:t>
      </w:r>
      <w:r w:rsidRPr="00250BEC">
        <w:rPr>
          <w:rFonts w:ascii="PT Astra Serif" w:eastAsia="Times New Roman" w:hAnsi="PT Astra Serif" w:cs="PT Astra Serif"/>
          <w:szCs w:val="28"/>
          <w:lang w:eastAsia="ru-RU"/>
        </w:rPr>
        <w:t>бъём перераспределяемых доходов составляет 119,7 млн рублей.</w:t>
      </w:r>
    </w:p>
    <w:p w14:paraId="395A9780" w14:textId="77777777" w:rsidR="00250BEC" w:rsidRPr="00250BEC" w:rsidRDefault="00250BEC" w:rsidP="00250BEC">
      <w:pPr>
        <w:widowControl w:val="0"/>
        <w:tabs>
          <w:tab w:val="left" w:pos="0"/>
          <w:tab w:val="left" w:pos="993"/>
        </w:tabs>
        <w:contextualSpacing/>
        <w:rPr>
          <w:rFonts w:ascii="PT Astra Serif" w:eastAsia="Times New Roman" w:hAnsi="PT Astra Serif" w:cs="Times New Roman"/>
          <w:bCs/>
          <w:i/>
          <w:szCs w:val="28"/>
          <w:lang w:eastAsia="ru-RU"/>
        </w:rPr>
      </w:pPr>
      <w:r w:rsidRPr="00250BEC">
        <w:rPr>
          <w:rFonts w:ascii="PT Astra Serif" w:eastAsia="Times New Roman" w:hAnsi="PT Astra Serif" w:cs="PT Astra Serif"/>
          <w:szCs w:val="28"/>
          <w:lang w:eastAsia="ru-RU"/>
        </w:rPr>
        <w:t xml:space="preserve">В результате реализации мероприятий программы </w:t>
      </w:r>
      <w:r w:rsidRPr="00250BEC">
        <w:rPr>
          <w:rFonts w:ascii="PT Astra Serif" w:eastAsia="Times New Roman" w:hAnsi="PT Astra Serif" w:cs="Times New Roman"/>
          <w:bCs/>
          <w:lang w:eastAsia="ru-RU"/>
        </w:rPr>
        <w:t>оздоровления государственных финансов Ульяновской области в 2025 году в бюджет Ульяновской области дополнительно поступило 1 183,6 млн рублей, что</w:t>
      </w:r>
      <w:r w:rsidRPr="00250BEC">
        <w:rPr>
          <w:rFonts w:ascii="PT Astra Serif" w:eastAsia="Times New Roman" w:hAnsi="PT Astra Serif" w:cs="Times New Roman"/>
          <w:bCs/>
          <w:lang w:eastAsia="ru-RU"/>
        </w:rPr>
        <w:br/>
        <w:t xml:space="preserve">на 24,2% превышает плановые показатели (953,0 млн рублей). Наибольший </w:t>
      </w:r>
      <w:r w:rsidRPr="00250BEC">
        <w:rPr>
          <w:rFonts w:ascii="PT Astra Serif" w:eastAsia="Times New Roman" w:hAnsi="PT Astra Serif" w:cs="Times New Roman"/>
          <w:bCs/>
          <w:lang w:eastAsia="ru-RU"/>
        </w:rPr>
        <w:lastRenderedPageBreak/>
        <w:t>вклад (86,0% или 1 016,7 млн рублей) внесли мероприятия</w:t>
      </w:r>
      <w:r w:rsidRPr="00250BEC">
        <w:rPr>
          <w:rFonts w:ascii="PT Astra Serif" w:eastAsia="Times New Roman" w:hAnsi="PT Astra Serif" w:cs="Calibri"/>
          <w:b/>
          <w:sz w:val="22"/>
          <w:lang w:eastAsia="ru-RU"/>
        </w:rPr>
        <w:t xml:space="preserve"> </w:t>
      </w:r>
      <w:r w:rsidRPr="00250BEC">
        <w:rPr>
          <w:rFonts w:ascii="PT Astra Serif" w:eastAsia="Times New Roman" w:hAnsi="PT Astra Serif" w:cs="Calibri"/>
          <w:szCs w:val="28"/>
          <w:lang w:eastAsia="ru-RU"/>
        </w:rPr>
        <w:t>по увеличению налогового потенциала Ульяновской области, в том числе за счёт</w:t>
      </w:r>
      <w:r w:rsidRPr="00250BEC">
        <w:rPr>
          <w:rFonts w:ascii="PT Astra Serif" w:eastAsia="Times New Roman" w:hAnsi="PT Astra Serif" w:cs="Times New Roman"/>
          <w:sz w:val="22"/>
          <w:lang w:eastAsia="ru-RU"/>
        </w:rPr>
        <w:t xml:space="preserve"> </w:t>
      </w:r>
      <w:r w:rsidRPr="00250BEC">
        <w:rPr>
          <w:rFonts w:ascii="PT Astra Serif" w:eastAsia="Times New Roman" w:hAnsi="PT Astra Serif" w:cs="Times New Roman"/>
          <w:szCs w:val="28"/>
          <w:lang w:eastAsia="ru-RU"/>
        </w:rPr>
        <w:t>реализации мероприятий, направленных на повышение номинальной заработной платы.</w:t>
      </w:r>
    </w:p>
    <w:p w14:paraId="6372E2AA" w14:textId="77777777" w:rsidR="00250BEC" w:rsidRPr="00250BEC" w:rsidRDefault="00250BEC" w:rsidP="00250BEC">
      <w:pPr>
        <w:widowControl w:val="0"/>
        <w:contextualSpacing/>
        <w:rPr>
          <w:rFonts w:ascii="PT Astra Serif" w:eastAsia="Calibri" w:hAnsi="PT Astra Serif" w:cs="Times New Roman"/>
          <w:szCs w:val="28"/>
          <w:lang w:eastAsia="ru-RU"/>
        </w:rPr>
      </w:pPr>
    </w:p>
    <w:p w14:paraId="496E7371" w14:textId="77777777" w:rsidR="00250BEC" w:rsidRPr="00250BEC" w:rsidRDefault="00250BEC" w:rsidP="00250BEC">
      <w:pPr>
        <w:widowControl w:val="0"/>
        <w:ind w:firstLine="0"/>
        <w:contextualSpacing/>
        <w:jc w:val="center"/>
        <w:rPr>
          <w:rFonts w:ascii="PT Astra Serif" w:eastAsia="Calibri" w:hAnsi="PT Astra Serif" w:cs="Times New Roman"/>
          <w:b/>
          <w:szCs w:val="28"/>
          <w:lang w:eastAsia="ru-RU"/>
        </w:rPr>
      </w:pPr>
      <w:r w:rsidRPr="00250BEC">
        <w:rPr>
          <w:rFonts w:ascii="PT Astra Serif" w:eastAsia="Calibri" w:hAnsi="PT Astra Serif" w:cs="Times New Roman"/>
          <w:b/>
          <w:szCs w:val="28"/>
          <w:lang w:eastAsia="ru-RU"/>
        </w:rPr>
        <w:t>Исполнение бюджета по доходам</w:t>
      </w:r>
    </w:p>
    <w:p w14:paraId="2D4F8E2B" w14:textId="77777777" w:rsidR="00250BEC" w:rsidRPr="00250BEC" w:rsidRDefault="00250BEC" w:rsidP="00250BEC">
      <w:pPr>
        <w:widowControl w:val="0"/>
        <w:ind w:firstLine="0"/>
        <w:contextualSpacing/>
        <w:jc w:val="center"/>
        <w:rPr>
          <w:rFonts w:ascii="PT Astra Serif" w:eastAsia="Calibri" w:hAnsi="PT Astra Serif" w:cs="Times New Roman"/>
          <w:b/>
          <w:i/>
          <w:szCs w:val="28"/>
          <w:lang w:eastAsia="ru-RU"/>
        </w:rPr>
      </w:pPr>
    </w:p>
    <w:p w14:paraId="600DD279" w14:textId="77777777" w:rsidR="00250BEC" w:rsidRPr="00250BEC" w:rsidRDefault="00250BEC" w:rsidP="00250BEC">
      <w:pPr>
        <w:widowControl w:val="0"/>
        <w:contextualSpacing/>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Обеспечение устойчивого развития бюджетной системы</w:t>
      </w:r>
      <w:r w:rsidRPr="00250BEC">
        <w:rPr>
          <w:rFonts w:ascii="PT Astra Serif" w:eastAsia="Calibri" w:hAnsi="PT Astra Serif" w:cs="Times New Roman"/>
          <w:szCs w:val="28"/>
          <w:lang w:eastAsia="ru-RU"/>
        </w:rPr>
        <w:br/>
        <w:t>в стратегической перспективе неразрывно связано с последовательным наращиванием и рациональным использованием налогового потенциала региона как ключевого ресурса.</w:t>
      </w:r>
    </w:p>
    <w:p w14:paraId="0D50576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Calibri" w:hAnsi="PT Astra Serif" w:cs="Times New Roman"/>
          <w:szCs w:val="28"/>
          <w:lang w:eastAsia="ru-RU"/>
        </w:rPr>
        <w:t>2025 год отмечен устойчивой положительной динамикой, рост собственных доходов консолидированного бюджета Ульяновской области</w:t>
      </w:r>
      <w:r w:rsidRPr="00250BEC">
        <w:rPr>
          <w:rFonts w:ascii="PT Astra Serif" w:eastAsia="Calibri" w:hAnsi="PT Astra Serif" w:cs="Times New Roman"/>
          <w:szCs w:val="28"/>
          <w:lang w:eastAsia="ru-RU"/>
        </w:rPr>
        <w:br/>
        <w:t xml:space="preserve">к уровню 2024 года составил 9 273,6 млн рублей или 9,6%. </w:t>
      </w:r>
      <w:r w:rsidRPr="00250BEC">
        <w:rPr>
          <w:rFonts w:ascii="PT Astra Serif" w:eastAsia="Times New Roman" w:hAnsi="PT Astra Serif" w:cs="Times New Roman"/>
          <w:szCs w:val="28"/>
          <w:lang w:eastAsia="ru-RU"/>
        </w:rPr>
        <w:t>Среди субъектов Приволжского федерального округа Ульяновская область занимает 4-ое место, среди регионов Российской Федерации – 33 позицию, темп прироста</w:t>
      </w:r>
      <w:r w:rsidRPr="00250BEC">
        <w:rPr>
          <w:rFonts w:ascii="PT Astra Serif" w:eastAsia="Times New Roman" w:hAnsi="PT Astra Serif" w:cs="Times New Roman"/>
          <w:szCs w:val="28"/>
          <w:lang w:eastAsia="ru-RU"/>
        </w:rPr>
        <w:br/>
        <w:t xml:space="preserve">в среднем превышает на 4,0 процентных пункта общероссийский показатель (105,6%), на 5,5 процентных пункта </w:t>
      </w:r>
      <w:proofErr w:type="spellStart"/>
      <w:r w:rsidRPr="00250BEC">
        <w:rPr>
          <w:rFonts w:ascii="PT Astra Serif" w:eastAsia="Times New Roman" w:hAnsi="PT Astra Serif" w:cs="Times New Roman"/>
          <w:szCs w:val="28"/>
          <w:lang w:eastAsia="ru-RU"/>
        </w:rPr>
        <w:t>среднеокружной</w:t>
      </w:r>
      <w:proofErr w:type="spellEnd"/>
      <w:r w:rsidRPr="00250BEC">
        <w:rPr>
          <w:rFonts w:ascii="PT Astra Serif" w:eastAsia="Times New Roman" w:hAnsi="PT Astra Serif" w:cs="Times New Roman"/>
          <w:szCs w:val="28"/>
          <w:lang w:eastAsia="ru-RU"/>
        </w:rPr>
        <w:t xml:space="preserve"> показатель Приволжского федерального округа (104,1%). </w:t>
      </w:r>
      <w:r w:rsidRPr="00250BEC">
        <w:rPr>
          <w:rFonts w:ascii="PT Astra Serif" w:eastAsia="Calibri" w:hAnsi="PT Astra Serif" w:cs="Times New Roman"/>
          <w:szCs w:val="28"/>
          <w:lang w:eastAsia="ru-RU"/>
        </w:rPr>
        <w:t>Фактический объём налоговых и неналоговых до</w:t>
      </w:r>
      <w:r w:rsidRPr="00250BEC">
        <w:rPr>
          <w:rFonts w:ascii="PT Astra Serif" w:eastAsia="Times New Roman" w:hAnsi="PT Astra Serif" w:cs="Times New Roman"/>
          <w:szCs w:val="28"/>
          <w:lang w:eastAsia="ru-RU"/>
        </w:rPr>
        <w:t>ходов консолидированного бюджета Ульяновской области</w:t>
      </w:r>
      <w:r w:rsidRPr="00250BEC">
        <w:rPr>
          <w:rFonts w:ascii="PT Astra Serif" w:eastAsia="Times New Roman" w:hAnsi="PT Astra Serif" w:cs="Times New Roman"/>
          <w:color w:val="000000"/>
          <w:szCs w:val="28"/>
          <w:lang w:eastAsia="ru-RU"/>
        </w:rPr>
        <w:t xml:space="preserve"> </w:t>
      </w:r>
      <w:r w:rsidRPr="00250BEC">
        <w:rPr>
          <w:rFonts w:ascii="PT Astra Serif" w:eastAsia="Times New Roman" w:hAnsi="PT Astra Serif" w:cs="Times New Roman"/>
          <w:szCs w:val="28"/>
          <w:lang w:eastAsia="ru-RU"/>
        </w:rPr>
        <w:t>за 2025 год составил 106 285,2 млн рублей. Плановые показатели выполнены на 99,2%.</w:t>
      </w:r>
    </w:p>
    <w:p w14:paraId="5E35F663"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сравнению с 2021 годом сумма налоговых и неналоговых доходов увеличилась на 42 933,2 млн рублей или в 1,7 раза.</w:t>
      </w:r>
    </w:p>
    <w:p w14:paraId="573A2A5A" w14:textId="7931B620" w:rsidR="00250BEC" w:rsidRPr="00250BEC" w:rsidRDefault="00FD65E0" w:rsidP="00250BEC">
      <w:pPr>
        <w:widowControl w:val="0"/>
        <w:ind w:firstLine="0"/>
        <w:jc w:val="center"/>
        <w:rPr>
          <w:rFonts w:ascii="PT Astra Serif" w:eastAsia="Times New Roman" w:hAnsi="PT Astra Serif" w:cs="Times New Roman"/>
          <w:szCs w:val="28"/>
          <w:lang w:eastAsia="ru-RU"/>
        </w:rPr>
      </w:pPr>
      <w:r w:rsidRPr="00250BEC">
        <w:rPr>
          <w:rFonts w:ascii="PT Astra Serif" w:eastAsia="Calibri" w:hAnsi="PT Astra Serif" w:cs="Times New Roman"/>
          <w:b/>
          <w:szCs w:val="28"/>
          <w:lang w:eastAsia="ru-RU"/>
        </w:rPr>
        <w:object w:dxaOrig="7194" w:dyaOrig="4028" w14:anchorId="5728323E">
          <v:shape id="_x0000_i1026" type="#_x0000_t75" style="width:398.2pt;height:222.9pt" o:ole="">
            <v:imagedata r:id="rId29" o:title=""/>
          </v:shape>
          <o:OLEObject Type="Embed" ProgID="PowerPoint.Slide.12" ShapeID="_x0000_i1026" DrawAspect="Content" ObjectID="_1836648849" r:id="rId30"/>
        </w:object>
      </w:r>
    </w:p>
    <w:p w14:paraId="6D77983B"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Calibri" w:hAnsi="PT Astra Serif" w:cs="Times New Roman"/>
          <w:szCs w:val="28"/>
          <w:lang w:eastAsia="ru-RU"/>
        </w:rPr>
        <w:t>Объём налоговых и неналоговых доходов областного бюджета Ульяновской области за 2025 год составил 88 211,9 млн рублей или 108,5% (+6 938,2 млн рублей) к уровню 2024 года. К уровню 2021 года сумма налоговых и неналоговых доходов увеличилась на 35 138,7 млн рублей или</w:t>
      </w:r>
      <w:r w:rsidRPr="00250BEC">
        <w:rPr>
          <w:rFonts w:ascii="PT Astra Serif" w:eastAsia="Calibri" w:hAnsi="PT Astra Serif" w:cs="Times New Roman"/>
          <w:szCs w:val="28"/>
          <w:lang w:eastAsia="ru-RU"/>
        </w:rPr>
        <w:br/>
        <w:t>в 1,7 раза.</w:t>
      </w:r>
      <w:r w:rsidRPr="00250BEC">
        <w:rPr>
          <w:rFonts w:ascii="PT Astra Serif" w:eastAsia="Times New Roman" w:hAnsi="PT Astra Serif" w:cs="Times New Roman"/>
          <w:szCs w:val="28"/>
          <w:lang w:eastAsia="ru-RU"/>
        </w:rPr>
        <w:t xml:space="preserve"> Плановые показатели 2025 года выполнены на 98,7%.</w:t>
      </w:r>
    </w:p>
    <w:p w14:paraId="201811F6"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szCs w:val="28"/>
          <w:lang w:eastAsia="ru-RU"/>
        </w:rPr>
        <w:t xml:space="preserve">Аналогичная ситуация сложилась в муниципальных образованиях Ульяновской области. Фактическое поступление налоговых и неналоговых доходов в бюджеты муниципальных образований Ульяновской области </w:t>
      </w:r>
      <w:r w:rsidRPr="00250BEC">
        <w:rPr>
          <w:rFonts w:ascii="PT Astra Serif" w:eastAsia="Times New Roman" w:hAnsi="PT Astra Serif" w:cs="Times New Roman"/>
          <w:szCs w:val="28"/>
          <w:lang w:eastAsia="ru-RU"/>
        </w:rPr>
        <w:lastRenderedPageBreak/>
        <w:t>составило 18 074,1 млн рублей. Рост к уровню 2024</w:t>
      </w:r>
      <w:r w:rsidRPr="00250BEC">
        <w:rPr>
          <w:rFonts w:ascii="PT Astra Serif" w:eastAsia="Times New Roman" w:hAnsi="PT Astra Serif" w:cs="Times New Roman"/>
          <w:color w:val="000000"/>
          <w:szCs w:val="28"/>
          <w:lang w:eastAsia="ru-RU"/>
        </w:rPr>
        <w:t xml:space="preserve"> года – 2 335,2 млн рублей или 14,8%.</w:t>
      </w:r>
    </w:p>
    <w:p w14:paraId="5675CE07" w14:textId="77777777" w:rsidR="00250BEC" w:rsidRPr="00250BEC" w:rsidRDefault="00250BEC" w:rsidP="00250BEC">
      <w:pPr>
        <w:widowControl w:val="0"/>
        <w:tabs>
          <w:tab w:val="left" w:pos="0"/>
        </w:tabs>
        <w:rPr>
          <w:rFonts w:ascii="PT Astra Serif" w:eastAsia="Calibri" w:hAnsi="PT Astra Serif" w:cs="Times New Roman"/>
          <w:iCs/>
          <w:spacing w:val="-6"/>
          <w:szCs w:val="28"/>
          <w:lang w:eastAsia="ru-RU"/>
        </w:rPr>
      </w:pPr>
      <w:r w:rsidRPr="00250BEC">
        <w:rPr>
          <w:rFonts w:ascii="PT Astra Serif" w:eastAsia="Times New Roman" w:hAnsi="PT Astra Serif" w:cs="Times New Roman"/>
          <w:color w:val="000000"/>
          <w:szCs w:val="28"/>
          <w:lang w:eastAsia="ru-RU"/>
        </w:rPr>
        <w:t>При этом все муниципальные образования по итогам</w:t>
      </w:r>
      <w:r w:rsidRPr="00250BEC">
        <w:rPr>
          <w:rFonts w:ascii="PT Astra Serif" w:eastAsia="Times New Roman" w:hAnsi="PT Astra Serif" w:cs="Times New Roman"/>
          <w:color w:val="000000"/>
          <w:szCs w:val="28"/>
          <w:lang w:eastAsia="ru-RU"/>
        </w:rPr>
        <w:br/>
        <w:t>2025 года показали положительную динамику поступлений налоговых</w:t>
      </w:r>
      <w:r w:rsidRPr="00250BEC">
        <w:rPr>
          <w:rFonts w:ascii="PT Astra Serif" w:eastAsia="Times New Roman" w:hAnsi="PT Astra Serif" w:cs="Times New Roman"/>
          <w:color w:val="000000"/>
          <w:szCs w:val="28"/>
          <w:lang w:eastAsia="ru-RU"/>
        </w:rPr>
        <w:br/>
        <w:t>и неналоговых доходов, за исключением</w:t>
      </w:r>
      <w:r w:rsidRPr="00250BEC">
        <w:rPr>
          <w:rFonts w:ascii="PT Astra Serif" w:eastAsia="Calibri" w:hAnsi="PT Astra Serif" w:cs="Times New Roman"/>
          <w:iCs/>
          <w:spacing w:val="-6"/>
          <w:szCs w:val="28"/>
          <w:lang w:eastAsia="ru-RU"/>
        </w:rPr>
        <w:t xml:space="preserve"> Майнского района – 94,8%</w:t>
      </w:r>
      <w:r w:rsidRPr="00250BEC">
        <w:rPr>
          <w:rFonts w:ascii="PT Astra Serif" w:eastAsia="Calibri" w:hAnsi="PT Astra Serif" w:cs="Times New Roman"/>
          <w:iCs/>
          <w:spacing w:val="-6"/>
          <w:szCs w:val="28"/>
          <w:lang w:eastAsia="ru-RU"/>
        </w:rPr>
        <w:br/>
        <w:t>(-10,8 млн рублей), Старокулаткинского района - 93,5% (-4,4 млн рублей), Карсунского района – 99,6% (-0,7 млн рублей).</w:t>
      </w:r>
    </w:p>
    <w:p w14:paraId="006DBD36" w14:textId="77777777" w:rsidR="00250BEC" w:rsidRPr="00250BEC" w:rsidRDefault="00250BEC" w:rsidP="00250BEC">
      <w:pPr>
        <w:widowControl w:val="0"/>
        <w:rPr>
          <w:rFonts w:ascii="PT Astra Serif" w:eastAsia="Times New Roman" w:hAnsi="PT Astra Serif" w:cs="Times New Roman"/>
          <w:color w:val="000000"/>
          <w:szCs w:val="20"/>
          <w:lang w:eastAsia="ru-RU"/>
        </w:rPr>
      </w:pPr>
      <w:r w:rsidRPr="00250BEC">
        <w:rPr>
          <w:rFonts w:ascii="PT Astra Serif" w:eastAsia="Times New Roman" w:hAnsi="PT Astra Serif" w:cs="Times New Roman"/>
          <w:color w:val="000000"/>
          <w:szCs w:val="20"/>
          <w:lang w:eastAsia="ru-RU"/>
        </w:rPr>
        <w:t>Наибольший прирост сложился в:</w:t>
      </w:r>
    </w:p>
    <w:p w14:paraId="0D006BDB" w14:textId="77777777" w:rsidR="00250BEC" w:rsidRPr="00250BEC" w:rsidRDefault="00250BEC" w:rsidP="00250BEC">
      <w:pPr>
        <w:widowControl w:val="0"/>
        <w:rPr>
          <w:rFonts w:ascii="PT Astra Serif" w:eastAsia="Times New Roman" w:hAnsi="PT Astra Serif" w:cs="Times New Roman"/>
          <w:i/>
          <w:szCs w:val="28"/>
          <w:lang w:eastAsia="ru-RU"/>
        </w:rPr>
      </w:pPr>
      <w:r w:rsidRPr="00250BEC">
        <w:rPr>
          <w:rFonts w:ascii="PT Astra Serif" w:eastAsia="Times New Roman" w:hAnsi="PT Astra Serif" w:cs="Times New Roman"/>
          <w:szCs w:val="28"/>
          <w:lang w:eastAsia="ru-RU"/>
        </w:rPr>
        <w:t xml:space="preserve">Павловском районе – в 3,6 раза </w:t>
      </w:r>
      <w:r w:rsidRPr="00250BEC">
        <w:rPr>
          <w:rFonts w:ascii="PT Astra Serif" w:eastAsia="Times New Roman" w:hAnsi="PT Astra Serif" w:cs="Times New Roman"/>
          <w:i/>
          <w:szCs w:val="28"/>
          <w:lang w:eastAsia="ru-RU"/>
        </w:rPr>
        <w:t>(+254,9 млн рублей),</w:t>
      </w:r>
    </w:p>
    <w:p w14:paraId="64365C9E" w14:textId="77777777" w:rsidR="00250BEC" w:rsidRPr="00250BEC" w:rsidRDefault="00250BEC" w:rsidP="00250BEC">
      <w:pPr>
        <w:widowControl w:val="0"/>
        <w:rPr>
          <w:rFonts w:ascii="PT Astra Serif" w:eastAsia="Calibri" w:hAnsi="PT Astra Serif" w:cs="Times New Roman"/>
          <w:i/>
          <w:iCs/>
          <w:spacing w:val="-6"/>
          <w:szCs w:val="28"/>
          <w:lang w:eastAsia="ru-RU"/>
        </w:rPr>
      </w:pPr>
      <w:r w:rsidRPr="00250BEC">
        <w:rPr>
          <w:rFonts w:ascii="PT Astra Serif" w:eastAsia="Times New Roman" w:hAnsi="PT Astra Serif" w:cs="Times New Roman"/>
          <w:szCs w:val="28"/>
          <w:lang w:eastAsia="ru-RU"/>
        </w:rPr>
        <w:t>Чердаклинском</w:t>
      </w:r>
      <w:r w:rsidRPr="00250BEC">
        <w:rPr>
          <w:rFonts w:ascii="PT Astra Serif" w:eastAsia="Calibri" w:hAnsi="PT Astra Serif" w:cs="Times New Roman"/>
          <w:iCs/>
          <w:spacing w:val="-6"/>
          <w:szCs w:val="28"/>
          <w:lang w:eastAsia="ru-RU"/>
        </w:rPr>
        <w:t xml:space="preserve"> районе – 124,3% </w:t>
      </w:r>
      <w:r w:rsidRPr="00250BEC">
        <w:rPr>
          <w:rFonts w:ascii="PT Astra Serif" w:eastAsia="Calibri" w:hAnsi="PT Astra Serif" w:cs="Times New Roman"/>
          <w:i/>
          <w:iCs/>
          <w:spacing w:val="-6"/>
          <w:szCs w:val="28"/>
          <w:lang w:eastAsia="ru-RU"/>
        </w:rPr>
        <w:t>(+155,0 млн рублей),</w:t>
      </w:r>
    </w:p>
    <w:p w14:paraId="148BF740" w14:textId="77777777" w:rsidR="00250BEC" w:rsidRPr="00250BEC" w:rsidRDefault="00250BEC" w:rsidP="00250BEC">
      <w:pPr>
        <w:widowControl w:val="0"/>
        <w:rPr>
          <w:rFonts w:ascii="PT Astra Serif" w:eastAsia="Calibri" w:hAnsi="PT Astra Serif" w:cs="Times New Roman"/>
          <w:iCs/>
          <w:spacing w:val="-6"/>
          <w:szCs w:val="28"/>
          <w:lang w:eastAsia="ru-RU"/>
        </w:rPr>
      </w:pPr>
      <w:r w:rsidRPr="00250BEC">
        <w:rPr>
          <w:rFonts w:ascii="PT Astra Serif" w:eastAsia="Calibri" w:hAnsi="PT Astra Serif" w:cs="Times New Roman"/>
          <w:iCs/>
          <w:spacing w:val="-6"/>
          <w:szCs w:val="28"/>
          <w:lang w:eastAsia="ru-RU"/>
        </w:rPr>
        <w:t xml:space="preserve">Тереньгульском районе – 120,3% </w:t>
      </w:r>
      <w:r w:rsidRPr="00250BEC">
        <w:rPr>
          <w:rFonts w:ascii="PT Astra Serif" w:eastAsia="Calibri" w:hAnsi="PT Astra Serif" w:cs="Times New Roman"/>
          <w:i/>
          <w:iCs/>
          <w:spacing w:val="-6"/>
          <w:szCs w:val="28"/>
          <w:lang w:eastAsia="ru-RU"/>
        </w:rPr>
        <w:t>(+20,3 млн рублей)</w:t>
      </w:r>
      <w:r w:rsidRPr="00250BEC">
        <w:rPr>
          <w:rFonts w:ascii="PT Astra Serif" w:eastAsia="Calibri" w:hAnsi="PT Astra Serif" w:cs="Times New Roman"/>
          <w:iCs/>
          <w:spacing w:val="-6"/>
          <w:szCs w:val="28"/>
          <w:lang w:eastAsia="ru-RU"/>
        </w:rPr>
        <w:t xml:space="preserve">, </w:t>
      </w:r>
    </w:p>
    <w:p w14:paraId="589905F3" w14:textId="77777777" w:rsidR="00250BEC" w:rsidRPr="00250BEC" w:rsidRDefault="00250BEC" w:rsidP="00250BEC">
      <w:pPr>
        <w:widowControl w:val="0"/>
        <w:rPr>
          <w:rFonts w:ascii="PT Astra Serif" w:eastAsia="Calibri" w:hAnsi="PT Astra Serif" w:cs="Times New Roman"/>
          <w:iCs/>
          <w:spacing w:val="-6"/>
          <w:szCs w:val="28"/>
          <w:lang w:eastAsia="ru-RU"/>
        </w:rPr>
      </w:pPr>
      <w:r w:rsidRPr="00250BEC">
        <w:rPr>
          <w:rFonts w:ascii="PT Astra Serif" w:eastAsia="Calibri" w:hAnsi="PT Astra Serif" w:cs="Times New Roman"/>
          <w:iCs/>
          <w:spacing w:val="-6"/>
          <w:szCs w:val="28"/>
          <w:lang w:eastAsia="ru-RU"/>
        </w:rPr>
        <w:t xml:space="preserve">Старомайнском районе – 120,1% </w:t>
      </w:r>
      <w:r w:rsidRPr="00250BEC">
        <w:rPr>
          <w:rFonts w:ascii="PT Astra Serif" w:eastAsia="Calibri" w:hAnsi="PT Astra Serif" w:cs="Times New Roman"/>
          <w:i/>
          <w:iCs/>
          <w:spacing w:val="-6"/>
          <w:szCs w:val="28"/>
          <w:lang w:eastAsia="ru-RU"/>
        </w:rPr>
        <w:t>(+30,2 млн рублей)</w:t>
      </w:r>
      <w:r w:rsidRPr="00250BEC">
        <w:rPr>
          <w:rFonts w:ascii="PT Astra Serif" w:eastAsia="Calibri" w:hAnsi="PT Astra Serif" w:cs="Times New Roman"/>
          <w:iCs/>
          <w:spacing w:val="-6"/>
          <w:szCs w:val="28"/>
          <w:lang w:eastAsia="ru-RU"/>
        </w:rPr>
        <w:t xml:space="preserve">, </w:t>
      </w:r>
    </w:p>
    <w:p w14:paraId="018621DC" w14:textId="77777777" w:rsidR="00250BEC" w:rsidRPr="00250BEC" w:rsidRDefault="00250BEC" w:rsidP="00250BEC">
      <w:pPr>
        <w:widowControl w:val="0"/>
        <w:rPr>
          <w:rFonts w:ascii="PT Astra Serif" w:eastAsia="Calibri" w:hAnsi="PT Astra Serif" w:cs="Times New Roman"/>
          <w:i/>
          <w:iCs/>
          <w:spacing w:val="-6"/>
          <w:szCs w:val="28"/>
          <w:lang w:eastAsia="ru-RU"/>
        </w:rPr>
      </w:pPr>
      <w:r w:rsidRPr="00250BEC">
        <w:rPr>
          <w:rFonts w:ascii="PT Astra Serif" w:eastAsia="Calibri" w:hAnsi="PT Astra Serif" w:cs="Times New Roman"/>
          <w:iCs/>
          <w:spacing w:val="-6"/>
          <w:szCs w:val="28"/>
          <w:lang w:eastAsia="ru-RU"/>
        </w:rPr>
        <w:t xml:space="preserve">Новомалыклинском районе – 119,9% </w:t>
      </w:r>
      <w:r w:rsidRPr="00250BEC">
        <w:rPr>
          <w:rFonts w:ascii="PT Astra Serif" w:eastAsia="Calibri" w:hAnsi="PT Astra Serif" w:cs="Times New Roman"/>
          <w:i/>
          <w:iCs/>
          <w:spacing w:val="-6"/>
          <w:szCs w:val="28"/>
          <w:lang w:eastAsia="ru-RU"/>
        </w:rPr>
        <w:t>(+21,8 млн рублей),</w:t>
      </w:r>
    </w:p>
    <w:p w14:paraId="11CD9B97"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Calibri" w:hAnsi="PT Astra Serif" w:cs="Times New Roman"/>
          <w:iCs/>
          <w:spacing w:val="-6"/>
          <w:szCs w:val="28"/>
          <w:lang w:eastAsia="ru-RU"/>
        </w:rPr>
        <w:t xml:space="preserve">Радищевском районе – 119,7% </w:t>
      </w:r>
      <w:r w:rsidRPr="00250BEC">
        <w:rPr>
          <w:rFonts w:ascii="PT Astra Serif" w:eastAsia="Calibri" w:hAnsi="PT Astra Serif" w:cs="Times New Roman"/>
          <w:i/>
          <w:iCs/>
          <w:spacing w:val="-6"/>
          <w:szCs w:val="28"/>
          <w:lang w:eastAsia="ru-RU"/>
        </w:rPr>
        <w:t>(+19,4 млн рублей)</w:t>
      </w:r>
      <w:r w:rsidRPr="00250BEC">
        <w:rPr>
          <w:rFonts w:ascii="PT Astra Serif" w:eastAsia="Calibri" w:hAnsi="PT Astra Serif" w:cs="Times New Roman"/>
          <w:iCs/>
          <w:spacing w:val="-6"/>
          <w:szCs w:val="28"/>
          <w:lang w:eastAsia="ru-RU"/>
        </w:rPr>
        <w:t xml:space="preserve"> и другие.</w:t>
      </w:r>
    </w:p>
    <w:p w14:paraId="17D698D8"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szCs w:val="28"/>
          <w:lang w:eastAsia="ru-RU"/>
        </w:rPr>
        <w:t xml:space="preserve">Этому способствовала системная работа, которая аккумулируется </w:t>
      </w:r>
      <w:r w:rsidRPr="00250BEC">
        <w:rPr>
          <w:rFonts w:ascii="PT Astra Serif" w:eastAsia="Times New Roman" w:hAnsi="PT Astra Serif" w:cs="Times New Roman"/>
          <w:szCs w:val="28"/>
          <w:lang w:eastAsia="ru-RU"/>
        </w:rPr>
        <w:br/>
        <w:t>в Плане мероприятий по увеличению поступлений доходов</w:t>
      </w:r>
      <w:r w:rsidRPr="00250BEC">
        <w:rPr>
          <w:rFonts w:ascii="PT Astra Serif" w:eastAsia="Times New Roman" w:hAnsi="PT Astra Serif" w:cs="Times New Roman"/>
          <w:szCs w:val="28"/>
          <w:lang w:eastAsia="ru-RU"/>
        </w:rPr>
        <w:br/>
        <w:t xml:space="preserve">в консолидированный бюджет Ульяновской области. План включает 5 разделов по отдельным направлениям: </w:t>
      </w:r>
      <w:r w:rsidRPr="00250BEC">
        <w:rPr>
          <w:rFonts w:ascii="PT Astra Serif" w:eastAsia="Times New Roman" w:hAnsi="PT Astra Serif" w:cs="Times New Roman"/>
          <w:bCs/>
          <w:szCs w:val="28"/>
          <w:lang w:eastAsia="ru-RU"/>
        </w:rPr>
        <w:t>налог на доходы физических лиц, налог на прибыль; работа с земельно-имущественным комплексом и транспортным налогом; работа по погашению задолженности; работа в рамках противодействия «теневому» сектору экономики, специальные налоговые режимы; государственный адресный реестр (ГАР).</w:t>
      </w:r>
    </w:p>
    <w:p w14:paraId="1EB26329"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итогам 2025 года доля налога на доходы физических лиц стала рекордной – 36,4% за последние 5 лет, только за прошедший год она возросла на 2,6 процентных пункта. Фактическое поступление налога составило 38 728,4 млн рублей и увеличилось по сравнению с 2024 годом на 18,1% или на 5 947,0 млн рублей. При среднероссийском темпе – 11,7%.</w:t>
      </w:r>
    </w:p>
    <w:p w14:paraId="3C92DF11" w14:textId="77777777" w:rsidR="00250BEC" w:rsidRPr="00250BEC" w:rsidRDefault="00250BEC" w:rsidP="00250BEC">
      <w:pPr>
        <w:widowControl w:val="0"/>
        <w:tabs>
          <w:tab w:val="left" w:pos="4350"/>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Причины роста поступлений – увеличение налогооблагаемой базы, увеличение темпа ФОТ на 17,1% и среднемесячной заработной платы работников по полному кругу - на 17,0%.</w:t>
      </w:r>
    </w:p>
    <w:p w14:paraId="69847616"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Вторым доходным источником являются акцизы – 27,6%, которые поступили в целом в сумме 29 364,2 млн рублей, что на 13,8% (+ 3 550,0 млн рублей) превышают показатели 2024 года, в том числе за счёт индексации налоговых ставок по акцизам на пиво на 14,5%, акцизам на нефтепродукты</w:t>
      </w:r>
      <w:r w:rsidRPr="00250BEC">
        <w:rPr>
          <w:rFonts w:ascii="PT Astra Serif" w:eastAsia="Times New Roman" w:hAnsi="PT Astra Serif" w:cs="Times New Roman"/>
          <w:szCs w:val="28"/>
          <w:lang w:eastAsia="ru-RU"/>
        </w:rPr>
        <w:br/>
        <w:t>в среднем на 4%. Объём перечисленных акцизов на пиво увеличился на 2 576,4 млн рублей и составил в абсолютной сумме 20 380,6 млн рублей.</w:t>
      </w:r>
    </w:p>
    <w:p w14:paraId="19B32986"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Другой </w:t>
      </w:r>
      <w:proofErr w:type="spellStart"/>
      <w:r w:rsidRPr="00250BEC">
        <w:rPr>
          <w:rFonts w:ascii="PT Astra Serif" w:eastAsia="Times New Roman" w:hAnsi="PT Astra Serif" w:cs="Times New Roman"/>
          <w:szCs w:val="28"/>
          <w:lang w:eastAsia="ru-RU"/>
        </w:rPr>
        <w:t>бюджетообразующий</w:t>
      </w:r>
      <w:proofErr w:type="spellEnd"/>
      <w:r w:rsidRPr="00250BEC">
        <w:rPr>
          <w:rFonts w:ascii="PT Astra Serif" w:eastAsia="Times New Roman" w:hAnsi="PT Astra Serif" w:cs="Times New Roman"/>
          <w:szCs w:val="28"/>
          <w:lang w:eastAsia="ru-RU"/>
        </w:rPr>
        <w:t xml:space="preserve"> налог – налог на прибыль организаций, который наиболее непредсказуемый, так как восприимчив к экономической ситуации, колебаниям ключевой ставки Центрального Банка Российской Федерации.</w:t>
      </w:r>
      <w:r w:rsidRPr="00250BEC">
        <w:rPr>
          <w:rFonts w:ascii="PT Astra Serif" w:eastAsia="Calibri" w:hAnsi="PT Astra Serif" w:cs="Times New Roman"/>
          <w:szCs w:val="28"/>
          <w:lang w:eastAsia="ru-RU"/>
        </w:rPr>
        <w:t xml:space="preserve"> За 2025 год налог поступил в сумме 18 152,6 млн рублей или со снижением на 833,0 млн рублей или на 4,4%</w:t>
      </w:r>
      <w:r w:rsidRPr="00250BEC">
        <w:rPr>
          <w:rFonts w:ascii="PT Astra Serif" w:eastAsia="Times New Roman" w:hAnsi="PT Astra Serif" w:cs="Times New Roman"/>
          <w:szCs w:val="28"/>
          <w:lang w:eastAsia="ru-RU"/>
        </w:rPr>
        <w:t>.</w:t>
      </w:r>
    </w:p>
    <w:p w14:paraId="094CB301" w14:textId="77777777" w:rsidR="00250BEC" w:rsidRPr="00250BEC" w:rsidRDefault="00250BEC" w:rsidP="00250BEC">
      <w:pPr>
        <w:widowControl w:val="0"/>
        <w:tabs>
          <w:tab w:val="left" w:pos="993"/>
        </w:tabs>
        <w:rPr>
          <w:rFonts w:ascii="PT Astra Serif" w:eastAsia="Calibri" w:hAnsi="PT Astra Serif" w:cs="Times New Roman"/>
          <w:bCs/>
          <w:szCs w:val="28"/>
          <w:lang w:eastAsia="ru-RU"/>
        </w:rPr>
      </w:pPr>
      <w:r w:rsidRPr="00250BEC">
        <w:rPr>
          <w:rFonts w:ascii="PT Astra Serif" w:eastAsia="Times New Roman" w:hAnsi="PT Astra Serif" w:cs="Times New Roman"/>
          <w:szCs w:val="28"/>
          <w:lang w:eastAsia="ru-RU"/>
        </w:rPr>
        <w:t>По итогам 2025 года отмечается увеличение поступлений н</w:t>
      </w:r>
      <w:r w:rsidRPr="00250BEC">
        <w:rPr>
          <w:rFonts w:ascii="PT Astra Serif" w:eastAsia="Calibri" w:hAnsi="PT Astra Serif" w:cs="Times New Roman"/>
          <w:szCs w:val="28"/>
          <w:lang w:eastAsia="ru-RU"/>
        </w:rPr>
        <w:t>алога на имущество организаций на 260,7 млн рублей или на 7,2%, который поступил в сумме 3 866,0 млн рублей</w:t>
      </w:r>
      <w:r w:rsidRPr="00250BEC">
        <w:rPr>
          <w:rFonts w:ascii="PT Astra Serif" w:eastAsia="Calibri" w:hAnsi="PT Astra Serif" w:cs="Times New Roman"/>
          <w:bCs/>
          <w:szCs w:val="28"/>
          <w:lang w:eastAsia="ru-RU"/>
        </w:rPr>
        <w:t>, в связи с отменой налоговой льготы бюджетным учреждениям с 1 января 2024 года.</w:t>
      </w:r>
    </w:p>
    <w:p w14:paraId="5E7BDF1D" w14:textId="77777777" w:rsidR="00250BEC" w:rsidRPr="00250BEC" w:rsidRDefault="00250BEC" w:rsidP="00250BEC">
      <w:pPr>
        <w:widowControl w:val="0"/>
        <w:contextualSpacing/>
        <w:rPr>
          <w:rFonts w:ascii="PT Astra Serif" w:eastAsia="Calibri" w:hAnsi="PT Astra Serif" w:cs="Times New Roman"/>
          <w:bCs/>
          <w:szCs w:val="28"/>
          <w:lang w:eastAsia="ru-RU"/>
        </w:rPr>
      </w:pPr>
      <w:r w:rsidRPr="00250BEC">
        <w:rPr>
          <w:rFonts w:ascii="PT Astra Serif" w:eastAsia="Calibri" w:hAnsi="PT Astra Serif" w:cs="Times New Roman"/>
          <w:szCs w:val="28"/>
          <w:lang w:eastAsia="ru-RU"/>
        </w:rPr>
        <w:lastRenderedPageBreak/>
        <w:t>В 2025 году Министерством финансов Ульяновской области проводилась систематическая работа с Министерством финансов Российской Федерации по привлечению дополнительной финансовой помощи из федерального бюджета.</w:t>
      </w:r>
    </w:p>
    <w:p w14:paraId="512B4CC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Фактически за 2025 год финансовая помощь поступила </w:t>
      </w:r>
      <w:r w:rsidRPr="00250BEC">
        <w:rPr>
          <w:rFonts w:ascii="PT Astra Serif" w:eastAsia="Times New Roman" w:hAnsi="PT Astra Serif" w:cs="Times New Roman"/>
          <w:szCs w:val="28"/>
          <w:lang w:eastAsia="ru-RU"/>
        </w:rPr>
        <w:br/>
        <w:t xml:space="preserve">в консолидированный бюджет Ульяновской области в общей сумме </w:t>
      </w:r>
      <w:r w:rsidRPr="00250BEC">
        <w:rPr>
          <w:rFonts w:ascii="PT Astra Serif" w:eastAsia="Times New Roman" w:hAnsi="PT Astra Serif" w:cs="Times New Roman"/>
          <w:szCs w:val="28"/>
          <w:lang w:eastAsia="ru-RU"/>
        </w:rPr>
        <w:br/>
        <w:t xml:space="preserve">22 580,9 млн рублей или на 98,1% от уточнённого годового плана. По сравнению с 2024 годом сумма финансовой помощи консолидированному бюджету Ульяновской области </w:t>
      </w:r>
      <w:proofErr w:type="spellStart"/>
      <w:r w:rsidRPr="00250BEC">
        <w:rPr>
          <w:rFonts w:ascii="PT Astra Serif" w:eastAsia="Times New Roman" w:hAnsi="PT Astra Serif" w:cs="Times New Roman"/>
          <w:szCs w:val="28"/>
          <w:lang w:eastAsia="ru-RU"/>
        </w:rPr>
        <w:t>уменьшиласьна</w:t>
      </w:r>
      <w:proofErr w:type="spellEnd"/>
      <w:r w:rsidRPr="00250BEC">
        <w:rPr>
          <w:rFonts w:ascii="PT Astra Serif" w:eastAsia="Times New Roman" w:hAnsi="PT Astra Serif" w:cs="Times New Roman"/>
          <w:szCs w:val="28"/>
          <w:lang w:eastAsia="ru-RU"/>
        </w:rPr>
        <w:t xml:space="preserve"> 429,8 млн рублей или на 1,9%.</w:t>
      </w:r>
    </w:p>
    <w:p w14:paraId="052C4D3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Дотации из федерального бюджета поступили в полном объёме </w:t>
      </w:r>
      <w:r w:rsidRPr="00250BEC">
        <w:rPr>
          <w:rFonts w:ascii="PT Astra Serif" w:eastAsia="Times New Roman" w:hAnsi="PT Astra Serif" w:cs="Times New Roman"/>
          <w:szCs w:val="28"/>
          <w:lang w:eastAsia="ru-RU"/>
        </w:rPr>
        <w:br/>
        <w:t>в сумме 6 186,7 млн рублей, что на 700,4 млн рублей или на 10,2% меньше уровня 2024 года.</w:t>
      </w:r>
    </w:p>
    <w:p w14:paraId="0F9A632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25 декабря 2024 года между Министерством финансов Российской Федерации и Правительством Ульяновской области было заключено соглашение о мерах по социально-экономическому развитию и оздоровлению государственных финансов Ульяновской области, в соответствии с которым </w:t>
      </w:r>
      <w:r w:rsidRPr="00250BEC">
        <w:rPr>
          <w:rFonts w:ascii="PT Astra Serif" w:eastAsia="Times New Roman" w:hAnsi="PT Astra Serif" w:cs="Times New Roman"/>
          <w:szCs w:val="28"/>
          <w:lang w:eastAsia="ru-RU"/>
        </w:rPr>
        <w:br/>
        <w:t>в 2025 году бюджету Ульяновской области была перечислена дотация на выравнивание бюджетной обеспеченности в сумме 4 800,9 млн рублей, что на 252,7 млн рублей или на 5,0% меньше, чем за 2024 год.</w:t>
      </w:r>
    </w:p>
    <w:p w14:paraId="30DA05BD" w14:textId="77777777" w:rsidR="00250BEC" w:rsidRPr="00250BEC" w:rsidRDefault="00250BEC" w:rsidP="00250BEC">
      <w:pPr>
        <w:widowControl w:val="0"/>
        <w:ind w:firstLine="0"/>
        <w:contextualSpacing/>
        <w:jc w:val="center"/>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object w:dxaOrig="7203" w:dyaOrig="4033" w14:anchorId="3C1C6511">
          <v:shape id="_x0000_i1027" type="#_x0000_t75" style="width:462.05pt;height:220.4pt" o:ole="">
            <v:imagedata r:id="rId31" o:title=""/>
          </v:shape>
          <o:OLEObject Type="Embed" ProgID="PowerPoint.Slide.12" ShapeID="_x0000_i1027" DrawAspect="Content" ObjectID="_1836648850" r:id="rId32"/>
        </w:object>
      </w:r>
    </w:p>
    <w:p w14:paraId="371AFD3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Также в 2025 году бюджету Ульяновской области были перечислены дотации:</w:t>
      </w:r>
    </w:p>
    <w:p w14:paraId="217069B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на частичную компенсацию дополнительных расходов на повышение оплаты труда работников бюджетной сферы в сумме 1 237,1 млн рублей, что на 206,7 млн рублей или на 20,1% выше показателей 2024 года. Изначально бюджету Ульяновской области данная дотация была предусмотрена в сумме 760,9 млн рублей. В результате взаимодействия с Министерством финансов Российской Федерации региону было дополнительно выделено 476,2 млн рублей, из которых 400,0 млн рублей были направлены на оказание мер социальной поддержки граждан, 76,2 млн рублей – на выплату заработной платы с начислениями работников бюджетной сферы;</w:t>
      </w:r>
    </w:p>
    <w:p w14:paraId="70936ECF"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за достижение показателей деятельности органов исполнительной </w:t>
      </w:r>
      <w:r w:rsidRPr="00250BEC">
        <w:rPr>
          <w:rFonts w:ascii="PT Astra Serif" w:eastAsia="Times New Roman" w:hAnsi="PT Astra Serif" w:cs="Times New Roman"/>
          <w:szCs w:val="28"/>
          <w:lang w:eastAsia="ru-RU"/>
        </w:rPr>
        <w:lastRenderedPageBreak/>
        <w:t>власти субъектов Российской Федерации – в сумме 148,7 млн рублей, что на 3,2 млн рублей или на 2,1% ниже показателей 2024 года.</w:t>
      </w:r>
    </w:p>
    <w:p w14:paraId="630EEE4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2025 году бюджет Ульяновской области получил существенную (16 424,6 млн рублей) финансовую поддержку из федерального бюджета </w:t>
      </w:r>
      <w:r w:rsidRPr="00250BEC">
        <w:rPr>
          <w:rFonts w:ascii="PT Astra Serif" w:eastAsia="Times New Roman" w:hAnsi="PT Astra Serif" w:cs="Times New Roman"/>
          <w:szCs w:val="28"/>
          <w:lang w:eastAsia="ru-RU"/>
        </w:rPr>
        <w:br/>
        <w:t>в виде субсидий, субвенций и иных межбюджетных трансфертов, направленных на решение социально значимых задач.</w:t>
      </w:r>
    </w:p>
    <w:p w14:paraId="4ED866B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Объём фактических поступлений субсидий из федерального бюджета составил 12 936,8 млн рублей или 99,6% от годового плана (12 986,7 млн рублей). По сравнению с 2024 годом снижение составило 255,2 млн рублей или 1,9%.</w:t>
      </w:r>
    </w:p>
    <w:p w14:paraId="5EE998E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Объём поступлений субвенций из федерального бюджета составил 2 285,8 млн рублей или 99,7% от годового плана (2 292,6 млн рублей)</w:t>
      </w:r>
      <w:r w:rsidRPr="00250BEC">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szCs w:val="28"/>
          <w:lang w:eastAsia="ru-RU"/>
        </w:rPr>
        <w:t>По сравнению с 2024 годом рост составил 210,4 млн рублей или 10,1%.</w:t>
      </w:r>
    </w:p>
    <w:p w14:paraId="429AC92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Объём поступлений иных межбюджетных трансфертов составил</w:t>
      </w:r>
      <w:r w:rsidRPr="00250BEC">
        <w:rPr>
          <w:rFonts w:ascii="PT Astra Serif" w:eastAsia="Times New Roman" w:hAnsi="PT Astra Serif" w:cs="Times New Roman"/>
          <w:szCs w:val="28"/>
          <w:lang w:eastAsia="ru-RU"/>
        </w:rPr>
        <w:br/>
        <w:t>1 202,0 млн рублей или 100,0% от годового плана (1 202,4 млн рублей). По сравнению с 2024 годом рост составил 125,8 млн рублей или 11,7%.</w:t>
      </w:r>
    </w:p>
    <w:p w14:paraId="4722C537" w14:textId="77777777" w:rsidR="00250BEC" w:rsidRPr="00250BEC" w:rsidRDefault="00250BEC" w:rsidP="00250BEC">
      <w:pPr>
        <w:widowControl w:val="0"/>
        <w:contextualSpacing/>
        <w:rPr>
          <w:rFonts w:ascii="PT Astra Serif" w:eastAsia="Calibri" w:hAnsi="PT Astra Serif" w:cs="Times New Roman"/>
          <w:szCs w:val="28"/>
          <w:lang w:eastAsia="ru-RU"/>
        </w:rPr>
      </w:pPr>
    </w:p>
    <w:p w14:paraId="1BF49ABC" w14:textId="77777777" w:rsidR="00250BEC" w:rsidRPr="00250BEC" w:rsidRDefault="00250BEC" w:rsidP="00250BEC">
      <w:pPr>
        <w:widowControl w:val="0"/>
        <w:autoSpaceDE w:val="0"/>
        <w:autoSpaceDN w:val="0"/>
        <w:adjustRightInd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Создание условий и обеспечение выполнения расходных обязательств</w:t>
      </w:r>
    </w:p>
    <w:p w14:paraId="11E0EA47" w14:textId="77777777" w:rsidR="00250BEC" w:rsidRPr="00250BEC" w:rsidRDefault="00250BEC" w:rsidP="00250BEC">
      <w:pPr>
        <w:widowControl w:val="0"/>
        <w:autoSpaceDE w:val="0"/>
        <w:autoSpaceDN w:val="0"/>
        <w:adjustRightInd w:val="0"/>
        <w:ind w:firstLine="0"/>
        <w:contextualSpacing/>
        <w:jc w:val="center"/>
        <w:rPr>
          <w:rFonts w:ascii="PT Astra Serif" w:eastAsia="Times New Roman" w:hAnsi="PT Astra Serif" w:cs="Times New Roman"/>
          <w:b/>
          <w:i/>
          <w:szCs w:val="28"/>
          <w:lang w:eastAsia="ru-RU"/>
        </w:rPr>
      </w:pPr>
    </w:p>
    <w:p w14:paraId="7C88604F" w14:textId="77777777" w:rsidR="00250BEC" w:rsidRPr="00250BEC" w:rsidRDefault="00250BEC" w:rsidP="00250BEC">
      <w:pPr>
        <w:widowControl w:val="0"/>
        <w:contextualSpacing/>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В целях совершенствования бюджетного процесса, организации планирования и исполнения областного бюджета Ульяновской области</w:t>
      </w:r>
      <w:r w:rsidRPr="00250BEC">
        <w:rPr>
          <w:rFonts w:ascii="PT Astra Serif" w:eastAsia="Calibri" w:hAnsi="PT Astra Serif" w:cs="Times New Roman"/>
          <w:szCs w:val="28"/>
          <w:lang w:eastAsia="ru-RU"/>
        </w:rPr>
        <w:br/>
        <w:t>в 2025 году Министерством финансов Ульяновской области подготовлено, внесено на рассмотрение Законодательного Собрания Ульяновской области</w:t>
      </w:r>
      <w:r w:rsidRPr="00250BEC">
        <w:rPr>
          <w:rFonts w:ascii="PT Astra Serif" w:eastAsia="Calibri" w:hAnsi="PT Astra Serif" w:cs="Times New Roman"/>
          <w:szCs w:val="28"/>
          <w:lang w:eastAsia="ru-RU"/>
        </w:rPr>
        <w:br/>
        <w:t>и принято:</w:t>
      </w:r>
    </w:p>
    <w:p w14:paraId="16E3B196" w14:textId="77777777" w:rsidR="00250BEC" w:rsidRPr="00250BEC" w:rsidRDefault="00250BEC" w:rsidP="00250BEC">
      <w:pPr>
        <w:widowControl w:val="0"/>
        <w:tabs>
          <w:tab w:val="left" w:pos="284"/>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5 законов Ульяновской области о внесении изменений в Закон Ульяновской области «Об областном бюджете Ульяновской области</w:t>
      </w:r>
      <w:r w:rsidRPr="00250BEC">
        <w:rPr>
          <w:rFonts w:ascii="PT Astra Serif" w:eastAsia="Times New Roman" w:hAnsi="PT Astra Serif" w:cs="Times New Roman"/>
          <w:szCs w:val="28"/>
          <w:lang w:eastAsia="ru-RU"/>
        </w:rPr>
        <w:br/>
        <w:t>на 2025 год и на плановый период 2026 и 2027 годов»;</w:t>
      </w:r>
    </w:p>
    <w:p w14:paraId="382076C6" w14:textId="77777777" w:rsidR="00250BEC" w:rsidRPr="00250BEC" w:rsidRDefault="00250BEC" w:rsidP="00250BEC">
      <w:pPr>
        <w:widowControl w:val="0"/>
        <w:tabs>
          <w:tab w:val="left" w:pos="284"/>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Закон Ульяновской области от 16.06.2025 № 52-ЗО «Об исполнении областного бюджета Ульяновской области за 2024 год»;</w:t>
      </w:r>
    </w:p>
    <w:p w14:paraId="50795502" w14:textId="77777777" w:rsidR="00250BEC" w:rsidRPr="00250BEC" w:rsidRDefault="00250BEC" w:rsidP="00250BEC">
      <w:pPr>
        <w:widowControl w:val="0"/>
        <w:tabs>
          <w:tab w:val="left" w:pos="284"/>
          <w:tab w:val="left" w:pos="993"/>
        </w:tabs>
        <w:autoSpaceDE w:val="0"/>
        <w:autoSpaceDN w:val="0"/>
        <w:adjustRightInd w:val="0"/>
        <w:contextualSpacing/>
        <w:rPr>
          <w:rFonts w:ascii="PT Astra Serif" w:eastAsia="Calibri" w:hAnsi="PT Astra Serif" w:cs="PT Astra Serif"/>
          <w:szCs w:val="28"/>
          <w:lang w:eastAsia="ru-RU"/>
        </w:rPr>
      </w:pPr>
      <w:r w:rsidRPr="00250BEC">
        <w:rPr>
          <w:rFonts w:ascii="PT Astra Serif" w:eastAsia="Calibri" w:hAnsi="PT Astra Serif" w:cs="PT Astra Serif"/>
          <w:szCs w:val="28"/>
          <w:lang w:eastAsia="ru-RU"/>
        </w:rPr>
        <w:t>Закон Ульяновской области от 16.06.2025 № 55-ЗО «О внесении изменений в Закон Ульяновской области «Об особенностях бюджетного процесса в Ульяновской области»;</w:t>
      </w:r>
    </w:p>
    <w:p w14:paraId="59BF07B7" w14:textId="77777777" w:rsidR="00250BEC" w:rsidRPr="00250BEC" w:rsidRDefault="00250BEC" w:rsidP="00250BEC">
      <w:pPr>
        <w:widowControl w:val="0"/>
        <w:tabs>
          <w:tab w:val="left" w:pos="284"/>
          <w:tab w:val="left" w:pos="993"/>
        </w:tabs>
        <w:autoSpaceDE w:val="0"/>
        <w:autoSpaceDN w:val="0"/>
        <w:adjustRightInd w:val="0"/>
        <w:contextualSpacing/>
        <w:rPr>
          <w:rFonts w:ascii="PT Astra Serif" w:eastAsia="Calibri" w:hAnsi="PT Astra Serif" w:cs="PT Astra Serif"/>
          <w:szCs w:val="28"/>
          <w:lang w:eastAsia="ru-RU"/>
        </w:rPr>
      </w:pPr>
      <w:r w:rsidRPr="00250BEC">
        <w:rPr>
          <w:rFonts w:ascii="PT Astra Serif" w:eastAsia="Calibri" w:hAnsi="PT Astra Serif" w:cs="PT Astra Serif"/>
          <w:szCs w:val="28"/>
          <w:lang w:eastAsia="ru-RU"/>
        </w:rPr>
        <w:t>Закон Ульяновской области от 13.11.2025 № 136-ЗО «О внесении изменения в статью 1 Закона Ульяновской области «О налоговых ставках налога, взимаемого в связи с применением упрощенной системы налогообложения, на территории Ульяновской области».</w:t>
      </w:r>
    </w:p>
    <w:p w14:paraId="1097D71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Одним из основных результатов деятельности Министерства финансов Ульяновской области по обеспечению выполнения действующих расходных обязательств Ульяновской области является своевременная и качественная подготовка проекта закона об областном бюджете.</w:t>
      </w:r>
    </w:p>
    <w:p w14:paraId="2C235E8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соответствии с Соглашением о мерах по социально-экономическому развитию и оздоровлению государственных финансов Ульяновской области, заключенным с Министерством финансов Российской Федерации, проект закона Ульяновской области «Об областном бюджете Ульяновской области на 2026 год и на плановый период 2027 и 2028 годов» был внесён</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в Законодательное Собрание Ульяновской области с положительным заключением Минфина России, принят Законодательным Собранием Ульяновской области и опубликован до начала очередного финансового года (№ 149-ЗО от 02.12.2025). Закон соответствует требованиям Бюджетного кодекса Российской Федерации, и предусматривает ассигнования, необходимые для исполнения всех действующих расходных обязательств Ульяновской области.</w:t>
      </w:r>
    </w:p>
    <w:p w14:paraId="63ED49D6" w14:textId="77777777" w:rsidR="00250BEC" w:rsidRPr="00250BEC" w:rsidRDefault="00250BEC" w:rsidP="00250BEC">
      <w:pPr>
        <w:widowControl w:val="0"/>
        <w:contextualSpacing/>
        <w:rPr>
          <w:rFonts w:ascii="PT Astra Serif" w:eastAsia="Times New Roman" w:hAnsi="PT Astra Serif" w:cs="Times New Roman"/>
          <w:b/>
          <w:i/>
          <w:szCs w:val="28"/>
          <w:lang w:eastAsia="ru-RU"/>
        </w:rPr>
      </w:pPr>
    </w:p>
    <w:p w14:paraId="213681D1" w14:textId="77777777" w:rsidR="00250BEC" w:rsidRPr="00250BEC" w:rsidRDefault="00250BEC" w:rsidP="00250BEC">
      <w:pPr>
        <w:widowControl w:val="0"/>
        <w:ind w:firstLine="0"/>
        <w:contextualSpacing/>
        <w:jc w:val="center"/>
        <w:rPr>
          <w:rFonts w:ascii="PT Astra Serif" w:eastAsia="Calibri" w:hAnsi="PT Astra Serif" w:cs="Times New Roman"/>
          <w:b/>
          <w:spacing w:val="-6"/>
          <w:szCs w:val="28"/>
          <w:lang w:eastAsia="ru-RU"/>
        </w:rPr>
      </w:pPr>
      <w:r w:rsidRPr="00250BEC">
        <w:rPr>
          <w:rFonts w:ascii="PT Astra Serif" w:eastAsia="Calibri" w:hAnsi="PT Astra Serif" w:cs="Times New Roman"/>
          <w:b/>
          <w:spacing w:val="-6"/>
          <w:szCs w:val="28"/>
          <w:lang w:eastAsia="ru-RU"/>
        </w:rPr>
        <w:t>Исполнение бюджета по расходам</w:t>
      </w:r>
    </w:p>
    <w:p w14:paraId="431EF80E" w14:textId="77777777" w:rsidR="00250BEC" w:rsidRPr="00250BEC" w:rsidRDefault="00250BEC" w:rsidP="00250BEC">
      <w:pPr>
        <w:widowControl w:val="0"/>
        <w:ind w:firstLine="0"/>
        <w:contextualSpacing/>
        <w:jc w:val="center"/>
        <w:rPr>
          <w:rFonts w:ascii="PT Astra Serif" w:eastAsia="Calibri" w:hAnsi="PT Astra Serif" w:cs="Times New Roman"/>
          <w:b/>
          <w:spacing w:val="-6"/>
          <w:szCs w:val="28"/>
          <w:lang w:eastAsia="ru-RU"/>
        </w:rPr>
      </w:pPr>
    </w:p>
    <w:p w14:paraId="161F15B8"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За счёт всех доходных источников и привлечённых заёмных средств расходы консолидированного бюджета Ульяновской области за 2025 год составили 131 081,6 млн рублей или 97,6% от годового плана (134 369,9 млн рублей), что на 9 862,6 млн рублей или на 8,1% больше уровня 2024 года и на 31 240,6 млн рублей или на 31,3% больше уровня 2021 года.</w:t>
      </w:r>
    </w:p>
    <w:p w14:paraId="0B796DA0" w14:textId="02F2C85B" w:rsidR="00FD65E0" w:rsidRDefault="00FD65E0" w:rsidP="00FD65E0">
      <w:pPr>
        <w:widowControl w:val="0"/>
        <w:ind w:firstLine="0"/>
        <w:contextualSpacing/>
        <w:jc w:val="center"/>
        <w:rPr>
          <w:rFonts w:eastAsia="Times New Roman" w:cs="Times New Roman"/>
          <w:szCs w:val="28"/>
          <w:lang w:eastAsia="ru-RU"/>
        </w:rPr>
      </w:pPr>
      <w:r w:rsidRPr="00250BEC">
        <w:rPr>
          <w:rFonts w:eastAsia="Times New Roman" w:cs="Times New Roman"/>
          <w:szCs w:val="28"/>
          <w:lang w:eastAsia="ru-RU"/>
        </w:rPr>
        <w:object w:dxaOrig="7215" w:dyaOrig="4042" w14:anchorId="285E1046">
          <v:shape id="_x0000_i1028" type="#_x0000_t75" style="width:450.8pt;height:230.4pt" o:ole="">
            <v:imagedata r:id="rId33" o:title=""/>
          </v:shape>
          <o:OLEObject Type="Embed" ProgID="PowerPoint.Slide.12" ShapeID="_x0000_i1028" DrawAspect="Content" ObjectID="_1836648851" r:id="rId34"/>
        </w:object>
      </w:r>
    </w:p>
    <w:p w14:paraId="6EB3AA35" w14:textId="15E84A5C" w:rsidR="00250BEC" w:rsidRPr="00250BEC" w:rsidRDefault="00250BEC" w:rsidP="00FD65E0">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Ключевая задача бюджетной политики Ульяновской области – повышение благосостояния жителей региона, в том числе за счёт реализации Указов Президента Российской Федерации, гарантирующих конкурентное соотношение заработной платы работников бюджетной сферы.</w:t>
      </w:r>
    </w:p>
    <w:p w14:paraId="7D95B76D" w14:textId="77777777" w:rsidR="00250BEC" w:rsidRPr="00250BEC" w:rsidRDefault="00250BEC" w:rsidP="00FD65E0">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На сохранение достигнутых целевых показателей повышения средней заработной платы по отдельным категориям работников бюджетной сферы, определённым указами Президента Российской Федерации от 07.05.2012 </w:t>
      </w:r>
      <w:r w:rsidRPr="00250BEC">
        <w:rPr>
          <w:rFonts w:ascii="PT Astra Serif" w:eastAsia="Times New Roman" w:hAnsi="PT Astra Serif" w:cs="Times New Roman"/>
          <w:szCs w:val="28"/>
          <w:lang w:eastAsia="ru-RU"/>
        </w:rPr>
        <w:br/>
        <w:t>№ 597 «О мероприятиях по реализации государственной социальной политики», от 01.06.2012 № 761 «О национальной стратегии действий</w:t>
      </w:r>
      <w:r w:rsidRPr="00250BEC">
        <w:rPr>
          <w:rFonts w:ascii="PT Astra Serif" w:eastAsia="Times New Roman" w:hAnsi="PT Astra Serif" w:cs="Times New Roman"/>
          <w:szCs w:val="28"/>
          <w:lang w:eastAsia="ru-RU"/>
        </w:rPr>
        <w:br/>
        <w:t>в интересах детей на 2012 - 2017 годы» и от 28.12.2012 № 1688 «О некоторых мерах по реализации государственной политики в сфере защиты детей-сирот и детей, оставшихся без попечения родителей», до необходимых целевых ориентиров, в 2025 году из консолидированного бюджета Ульяновской области было направлено 3 028,9 млн рублей (по оперативным данным отраслей социальной сферы).</w:t>
      </w:r>
    </w:p>
    <w:p w14:paraId="73AABA52" w14:textId="77777777" w:rsidR="00250BEC" w:rsidRPr="00250BEC" w:rsidRDefault="00250BEC" w:rsidP="00250BEC">
      <w:pPr>
        <w:widowControl w:val="0"/>
        <w:tabs>
          <w:tab w:val="num" w:pos="142"/>
        </w:tabs>
        <w:contextualSpacing/>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lastRenderedPageBreak/>
        <w:t xml:space="preserve">Основным инструментом реализации целей развития страны, обозначенных в </w:t>
      </w:r>
      <w:r w:rsidRPr="00250BEC">
        <w:rPr>
          <w:rFonts w:ascii="PT Astra Serif" w:eastAsia="Times New Roman" w:hAnsi="PT Astra Serif" w:cs="Times New Roman"/>
          <w:szCs w:val="28"/>
          <w:lang w:eastAsia="ru-RU"/>
        </w:rPr>
        <w:t xml:space="preserve">Указе Президента РФ от 07.05.2024 № 309 «О национальных целях развития Российской Федерации на период до 2030 года и на перспективу до 2036 года», </w:t>
      </w:r>
      <w:r w:rsidRPr="00250BEC">
        <w:rPr>
          <w:rFonts w:ascii="PT Astra Serif" w:eastAsia="Calibri" w:hAnsi="PT Astra Serif" w:cs="Times New Roman"/>
          <w:szCs w:val="28"/>
          <w:lang w:eastAsia="ru-RU"/>
        </w:rPr>
        <w:t>являются национальные проекты, на достижение показателей которых в 2025 году было направлено 15 023,0 млн рублей, что на 2 307,6 млн рублей больше, чем за 2024 год.</w:t>
      </w:r>
    </w:p>
    <w:p w14:paraId="77BAC104"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Кроме того, приоритетными направлениями расходов консолидированного бюджета Ульяновской области в 2025 году традиционно оставались расходы на:</w:t>
      </w:r>
    </w:p>
    <w:p w14:paraId="528B9F94"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выплату заработной платы с начислениями работникам бюджетной сферы, включая расходы на оплату труда с начислениями работникам бюджетных и автономных учреждений, – 49 491,8 млн рублей, что на 6 135,2 млн рублей превышает показатели 2024 года и составляет 37,8% от общей суммы расходов;</w:t>
      </w:r>
    </w:p>
    <w:p w14:paraId="5175C49C"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социальное обеспечение населения – 20 398,7 млн рублей, что на 5 427,7 млн рублей превышает показатели 2024 года и составляет 15,6% от общей суммы расходов;</w:t>
      </w:r>
    </w:p>
    <w:p w14:paraId="2E047854"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Times New Roman" w:hAnsi="PT Astra Serif" w:cs="Times New Roman"/>
          <w:szCs w:val="28"/>
          <w:lang w:eastAsia="ru-RU"/>
        </w:rPr>
        <w:t>субсидии бюджетным и автономным учреждениям, некоммерческим организациям, юридическим лицам, индивидуальным предпринимателям, физическим лицам – производителям товаров, работ, услуг за исключением расходов на оплату труда с начислениями работникам бюджетных</w:t>
      </w:r>
      <w:r w:rsidRPr="00250BEC">
        <w:rPr>
          <w:rFonts w:ascii="PT Astra Serif" w:eastAsia="Times New Roman" w:hAnsi="PT Astra Serif" w:cs="Times New Roman"/>
          <w:szCs w:val="28"/>
          <w:lang w:eastAsia="ru-RU"/>
        </w:rPr>
        <w:br/>
        <w:t>и автономных учреждений – 21 068,0 млн рублей, что на 2 330,4 млн рублей меньше показателей 2024 года и составляет 16,1% от общей суммы расходов;</w:t>
      </w:r>
    </w:p>
    <w:p w14:paraId="7C88F85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обязательное медицинское страхование неработающего населения – 7 075,1 млн рублей, что на 767,3 млн рублей превышает показатели 2024 года и составляет 5,4% от общей суммы расходов.</w:t>
      </w:r>
    </w:p>
    <w:p w14:paraId="2DAB3868" w14:textId="77777777" w:rsidR="00250BEC" w:rsidRPr="00250BEC" w:rsidRDefault="00250BEC" w:rsidP="00250BEC">
      <w:pPr>
        <w:widowControl w:val="0"/>
        <w:contextualSpacing/>
        <w:rPr>
          <w:rFonts w:ascii="PT Astra Serif" w:eastAsia="Times New Roman" w:hAnsi="PT Astra Serif" w:cs="Times New Roman"/>
          <w:sz w:val="20"/>
          <w:szCs w:val="20"/>
          <w:lang w:eastAsia="ru-RU"/>
        </w:rPr>
      </w:pPr>
    </w:p>
    <w:p w14:paraId="1C9FC6B9" w14:textId="77777777" w:rsidR="00250BEC" w:rsidRPr="00250BEC" w:rsidRDefault="00250BEC" w:rsidP="00250BEC">
      <w:pPr>
        <w:widowControl w:val="0"/>
        <w:ind w:firstLine="0"/>
        <w:contextualSpacing/>
        <w:jc w:val="center"/>
        <w:rPr>
          <w:rFonts w:ascii="PT Astra Serif" w:eastAsia="Times New Roman" w:hAnsi="PT Astra Serif" w:cs="Times New Roman"/>
          <w:b/>
          <w:sz w:val="20"/>
          <w:szCs w:val="20"/>
          <w:lang w:eastAsia="ru-RU"/>
        </w:rPr>
      </w:pPr>
      <w:r w:rsidRPr="00250BEC">
        <w:rPr>
          <w:rFonts w:ascii="PT Astra Serif" w:eastAsia="PT Astra Serif" w:hAnsi="PT Astra Serif" w:cs="Meiryo"/>
          <w:b/>
          <w:bCs/>
          <w:color w:val="000000"/>
          <w:kern w:val="24"/>
          <w:sz w:val="20"/>
          <w:szCs w:val="20"/>
        </w:rPr>
        <w:t xml:space="preserve">Экономическая структура расходов консолидированного бюджета Ульяновской области </w:t>
      </w:r>
      <w:r w:rsidRPr="00250BEC">
        <w:rPr>
          <w:rFonts w:ascii="PT Astra Serif" w:eastAsia="PT Astra Serif" w:hAnsi="PT Astra Serif" w:cs="Meiryo"/>
          <w:b/>
          <w:bCs/>
          <w:color w:val="000000"/>
          <w:kern w:val="24"/>
          <w:sz w:val="20"/>
          <w:szCs w:val="20"/>
        </w:rPr>
        <w:br/>
        <w:t>за 2025 год (млн рублей</w:t>
      </w:r>
    </w:p>
    <w:p w14:paraId="389771FC" w14:textId="77777777" w:rsidR="00250BEC" w:rsidRPr="00250BEC" w:rsidRDefault="00250BEC" w:rsidP="00250BEC">
      <w:pPr>
        <w:widowControl w:val="0"/>
        <w:ind w:firstLine="0"/>
        <w:contextualSpacing/>
        <w:jc w:val="center"/>
        <w:rPr>
          <w:rFonts w:ascii="PT Astra Serif" w:eastAsia="Times New Roman" w:hAnsi="PT Astra Serif" w:cs="Times New Roman"/>
          <w:b/>
          <w:sz w:val="20"/>
          <w:szCs w:val="20"/>
          <w:lang w:eastAsia="ru-RU"/>
        </w:rPr>
      </w:pPr>
    </w:p>
    <w:p w14:paraId="24FCB507" w14:textId="77777777" w:rsidR="00250BEC" w:rsidRPr="00250BEC" w:rsidRDefault="00250BEC" w:rsidP="00250BEC">
      <w:pPr>
        <w:widowControl w:val="0"/>
        <w:ind w:firstLine="0"/>
        <w:contextualSpacing/>
        <w:jc w:val="center"/>
        <w:rPr>
          <w:rFonts w:ascii="PT Astra Serif" w:eastAsia="Times New Roman" w:hAnsi="PT Astra Serif" w:cs="Times New Roman"/>
          <w:b/>
          <w:bCs/>
          <w:szCs w:val="28"/>
          <w:lang w:eastAsia="ru-RU"/>
        </w:rPr>
      </w:pPr>
      <w:r w:rsidRPr="00250BEC">
        <w:rPr>
          <w:rFonts w:ascii="PT Astra Serif" w:eastAsia="Times New Roman" w:hAnsi="PT Astra Serif" w:cs="Times New Roman"/>
          <w:b/>
          <w:bCs/>
          <w:szCs w:val="28"/>
          <w:lang w:eastAsia="ru-RU"/>
        </w:rPr>
        <w:object w:dxaOrig="7353" w:dyaOrig="4119" w14:anchorId="3BA311C4">
          <v:shape id="_x0000_i1029" type="#_x0000_t75" style="width:456.4pt;height:260.45pt" o:ole="">
            <v:imagedata r:id="rId35" o:title=""/>
          </v:shape>
          <o:OLEObject Type="Embed" ProgID="PowerPoint.Slide.12" ShapeID="_x0000_i1029" DrawAspect="Content" ObjectID="_1836648852" r:id="rId36"/>
        </w:object>
      </w:r>
    </w:p>
    <w:p w14:paraId="0DB99747"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roofErr w:type="spellStart"/>
      <w:r w:rsidRPr="00250BEC">
        <w:rPr>
          <w:rFonts w:ascii="PT Astra Serif" w:eastAsia="Times New Roman" w:hAnsi="PT Astra Serif" w:cs="Times New Roman"/>
          <w:b/>
          <w:szCs w:val="28"/>
          <w:lang w:eastAsia="ru-RU"/>
        </w:rPr>
        <w:lastRenderedPageBreak/>
        <w:t>Приоритизация</w:t>
      </w:r>
      <w:proofErr w:type="spellEnd"/>
      <w:r w:rsidRPr="00250BEC">
        <w:rPr>
          <w:rFonts w:ascii="PT Astra Serif" w:eastAsia="Times New Roman" w:hAnsi="PT Astra Serif" w:cs="Times New Roman"/>
          <w:b/>
          <w:szCs w:val="28"/>
          <w:lang w:eastAsia="ru-RU"/>
        </w:rPr>
        <w:t xml:space="preserve"> бюджетных расходов Ульяновской области</w:t>
      </w:r>
    </w:p>
    <w:p w14:paraId="23ED2815"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
    <w:p w14:paraId="5C276453"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 xml:space="preserve">Задача по </w:t>
      </w:r>
      <w:proofErr w:type="spellStart"/>
      <w:r w:rsidRPr="00250BEC">
        <w:rPr>
          <w:rFonts w:ascii="PT Astra Serif" w:eastAsia="Calibri" w:hAnsi="PT Astra Serif" w:cs="Times New Roman"/>
          <w:szCs w:val="28"/>
          <w:lang w:eastAsia="ru-RU"/>
        </w:rPr>
        <w:t>приоритизации</w:t>
      </w:r>
      <w:proofErr w:type="spellEnd"/>
      <w:r w:rsidRPr="00250BEC">
        <w:rPr>
          <w:rFonts w:ascii="PT Astra Serif" w:eastAsia="Calibri" w:hAnsi="PT Astra Serif" w:cs="Times New Roman"/>
          <w:szCs w:val="28"/>
          <w:lang w:eastAsia="ru-RU"/>
        </w:rPr>
        <w:t xml:space="preserve"> бюджетных расходов осуществлялась в 2025 году путём:</w:t>
      </w:r>
    </w:p>
    <w:p w14:paraId="6E40B4EB" w14:textId="77777777" w:rsidR="00250BEC" w:rsidRPr="00250BEC" w:rsidRDefault="00250BEC" w:rsidP="00250BEC">
      <w:pPr>
        <w:widowControl w:val="0"/>
        <w:tabs>
          <w:tab w:val="left" w:pos="993"/>
        </w:tabs>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развития программно-целевого бюджетирования;</w:t>
      </w:r>
    </w:p>
    <w:p w14:paraId="4369835F" w14:textId="77777777" w:rsidR="00250BEC" w:rsidRPr="00250BEC" w:rsidRDefault="00250BEC" w:rsidP="00250BEC">
      <w:pPr>
        <w:widowControl w:val="0"/>
        <w:tabs>
          <w:tab w:val="left" w:pos="993"/>
        </w:tabs>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оптимизации бюджетных расходов Ульяновской области;</w:t>
      </w:r>
    </w:p>
    <w:p w14:paraId="41E1B1D9" w14:textId="77777777" w:rsidR="00250BEC" w:rsidRPr="00250BEC" w:rsidRDefault="00250BEC" w:rsidP="00250BEC">
      <w:pPr>
        <w:widowControl w:val="0"/>
        <w:tabs>
          <w:tab w:val="left" w:pos="993"/>
        </w:tabs>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мониторинга качества финансового менеджмента главных администраторов средств областного бюджета Ульяновской области.</w:t>
      </w:r>
    </w:p>
    <w:p w14:paraId="0A709F9C" w14:textId="77777777" w:rsidR="00250BEC" w:rsidRPr="00250BEC" w:rsidRDefault="00250BEC" w:rsidP="00250BEC">
      <w:pPr>
        <w:widowControl w:val="0"/>
        <w:tabs>
          <w:tab w:val="left" w:pos="709"/>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качестве инструмента повышения эффективности бюджетных расходов используется программно-целевой метод управления бюджетными средствами, обеспечивающий их концентрацию на достижение важнейших целей социально-экономического развития Ульяновской области </w:t>
      </w:r>
      <w:r w:rsidRPr="00250BEC">
        <w:rPr>
          <w:rFonts w:ascii="PT Astra Serif" w:eastAsia="Times New Roman" w:hAnsi="PT Astra Serif" w:cs="Times New Roman"/>
          <w:szCs w:val="28"/>
          <w:lang w:eastAsia="ru-RU"/>
        </w:rPr>
        <w:br/>
        <w:t>и национальных целей Российской Федерации.</w:t>
      </w:r>
    </w:p>
    <w:p w14:paraId="1DA7EBFB" w14:textId="77777777" w:rsidR="00250BEC" w:rsidRPr="00250BEC" w:rsidRDefault="00250BEC" w:rsidP="00250BEC">
      <w:pPr>
        <w:widowControl w:val="0"/>
        <w:tabs>
          <w:tab w:val="left" w:pos="993"/>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На территории Ульяновской области в отчётном году реализовывались</w:t>
      </w:r>
      <w:r w:rsidRPr="00250BEC">
        <w:rPr>
          <w:rFonts w:ascii="PT Astra Serif" w:eastAsia="Times New Roman" w:hAnsi="PT Astra Serif" w:cs="Times New Roman"/>
          <w:szCs w:val="28"/>
          <w:lang w:eastAsia="ru-RU"/>
        </w:rPr>
        <w:br/>
        <w:t>22 государственные программы в сферах образования, культуры, здравоохранения, агропромышленного комплекса, ветеринарии, туризма, социальной поддержки и защиты населения, жилищно-коммунального хозяйства, строительства и транспорта. Всего на реализацию мероприятий государственных программ в 2025 году было направлено 104 449,7 млн рублей млн рублей, что на 4,3% выше уровня 2024 года (100 154,6 млн рублей) и на 20,5% выше уровня 2021 года (86 699,9 млн рублей).</w:t>
      </w:r>
    </w:p>
    <w:p w14:paraId="4E14BA86" w14:textId="77777777" w:rsidR="00250BEC" w:rsidRPr="00250BEC" w:rsidRDefault="00250BEC" w:rsidP="00250BEC">
      <w:pPr>
        <w:widowControl w:val="0"/>
        <w:rPr>
          <w:rFonts w:ascii="PT Astra Serif" w:eastAsia="Calibri" w:hAnsi="PT Astra Serif" w:cs="Times New Roman"/>
          <w:bCs/>
          <w:szCs w:val="28"/>
          <w:lang w:eastAsia="ru-RU"/>
        </w:rPr>
      </w:pPr>
      <w:r w:rsidRPr="00250BEC">
        <w:rPr>
          <w:rFonts w:ascii="PT Astra Serif" w:eastAsia="Calibri" w:hAnsi="PT Astra Serif" w:cs="Times New Roman"/>
          <w:bCs/>
          <w:szCs w:val="28"/>
          <w:lang w:eastAsia="ru-RU"/>
        </w:rPr>
        <w:t xml:space="preserve">Для решения задачи по увеличению финансовых возможностей региона распоряжением Правительства Ульяновской области от 20.12.2024 № 604-пр </w:t>
      </w:r>
      <w:proofErr w:type="spellStart"/>
      <w:r w:rsidRPr="00250BEC">
        <w:rPr>
          <w:rFonts w:ascii="PT Astra Serif" w:eastAsia="Calibri" w:hAnsi="PT Astra Serif" w:cs="Times New Roman"/>
          <w:bCs/>
          <w:szCs w:val="28"/>
          <w:lang w:eastAsia="ru-RU"/>
        </w:rPr>
        <w:t>утверждёна</w:t>
      </w:r>
      <w:proofErr w:type="spellEnd"/>
      <w:r w:rsidRPr="00250BEC">
        <w:rPr>
          <w:rFonts w:ascii="PT Astra Serif" w:eastAsia="Calibri" w:hAnsi="PT Astra Serif" w:cs="Times New Roman"/>
          <w:bCs/>
          <w:szCs w:val="28"/>
          <w:lang w:eastAsia="ru-RU"/>
        </w:rPr>
        <w:t xml:space="preserve"> Программа оздоровления государственных финансов Ульяновской области на 2025 - 2027 годы, которая включает в себя мероприятия по оптимизации бюджетных расходов.</w:t>
      </w:r>
    </w:p>
    <w:p w14:paraId="0C448551"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Экономический эффект от реализации мероприятий по оптимизации расходов в 2025 году превысил плановые показатели на 825,4 млн рублей</w:t>
      </w:r>
      <w:r w:rsidRPr="00250BEC">
        <w:rPr>
          <w:rFonts w:ascii="PT Astra Serif" w:eastAsia="Calibri" w:hAnsi="PT Astra Serif" w:cs="Times New Roman"/>
          <w:szCs w:val="28"/>
          <w:lang w:eastAsia="ru-RU"/>
        </w:rPr>
        <w:br/>
        <w:t>и составил 2 100,7 млн рублей, в том числе:</w:t>
      </w:r>
    </w:p>
    <w:p w14:paraId="3BBB37B6"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«Повышение качества управления муниципальными финансами и государственным долгом» исполнение составило 1 126,1 млн рублей, что на 78,2 млн рублей превышает плановые показатели (план – 1 047,9 млн рублей);</w:t>
      </w:r>
    </w:p>
    <w:p w14:paraId="18551F4E"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«Совершенствование системы закупок для государственных и муниципальных нужд» исполнение составило 702,4 млн рублей, что на 624,7 млн рублей превышает плановые показатели (план – 77,7 млн рублей);</w:t>
      </w:r>
    </w:p>
    <w:p w14:paraId="149EB32E"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«Оптимизация бюджетной сети и численности работников бюджетной сферы» исполнении составило 184,2 млн рублей, что на 94,1 млн рублей превышает плановые показатели (план – 90,1 млн рублей);</w:t>
      </w:r>
    </w:p>
    <w:p w14:paraId="274C95E6"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«Проекты инициативного бюджетирования» исполнение составило 40,2 млн рублей, что на 26,2 млн рублей превышает плановые показатели (план – 14,0 млн рублей);</w:t>
      </w:r>
    </w:p>
    <w:p w14:paraId="401F5625"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«Оптимизация мер социальной поддержки» исполнение составило 33,3 млн рублей (на уровне плановых значений);</w:t>
      </w:r>
    </w:p>
    <w:p w14:paraId="0D38AF1F"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 xml:space="preserve">по разделу «Снижение задолженности областных государственных </w:t>
      </w:r>
      <w:r w:rsidRPr="00250BEC">
        <w:rPr>
          <w:rFonts w:ascii="PT Astra Serif" w:eastAsia="Calibri" w:hAnsi="PT Astra Serif" w:cs="Times New Roman"/>
          <w:szCs w:val="28"/>
          <w:lang w:eastAsia="ru-RU"/>
        </w:rPr>
        <w:lastRenderedPageBreak/>
        <w:t>учреждений Ульяновской области по страховым взносам во внебюджетные фонды Российской Федерации» исполнение составило 10,0 тыс. рублей (на уровне плановых значений);</w:t>
      </w:r>
    </w:p>
    <w:p w14:paraId="52A2FE65"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«Повышение эффективности расходов в сфере жилищно-коммунального хозяйства» исполнение составило 3,6 млн рублей, что на 2,1 млн рублей превышает плановые показатели (план – 1,5 млн рублей);</w:t>
      </w:r>
    </w:p>
    <w:p w14:paraId="52064321"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по разделу «Оптимизация расходов, направленных на государственное (муниципальное) управление» исполнение составило 0,9 млн рублей (на уровне плановых значений).</w:t>
      </w:r>
    </w:p>
    <w:p w14:paraId="554A2C0B" w14:textId="77777777" w:rsidR="00250BEC" w:rsidRPr="00250BEC" w:rsidRDefault="00250BEC" w:rsidP="00250BEC">
      <w:pPr>
        <w:widowControl w:val="0"/>
        <w:autoSpaceDE w:val="0"/>
        <w:autoSpaceDN w:val="0"/>
        <w:adjustRightInd w:val="0"/>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eastAsia="x-none"/>
        </w:rPr>
        <w:t xml:space="preserve">Кроме того, важным </w:t>
      </w:r>
      <w:r w:rsidRPr="00250BEC">
        <w:rPr>
          <w:rFonts w:ascii="PT Astra Serif" w:eastAsia="Times New Roman" w:hAnsi="PT Astra Serif" w:cs="Times New Roman"/>
          <w:szCs w:val="28"/>
          <w:lang w:val="x-none" w:eastAsia="x-none"/>
        </w:rPr>
        <w:t xml:space="preserve">инструментом, направленным на повышение эффективности бюджетных средств, является мониторинг качества финансового менеджмента главных </w:t>
      </w:r>
      <w:r w:rsidRPr="00250BEC">
        <w:rPr>
          <w:rFonts w:ascii="PT Astra Serif" w:eastAsia="Times New Roman" w:hAnsi="PT Astra Serif" w:cs="Times New Roman"/>
          <w:szCs w:val="28"/>
          <w:lang w:eastAsia="x-none"/>
        </w:rPr>
        <w:t xml:space="preserve">администраторов средств </w:t>
      </w:r>
      <w:r w:rsidRPr="00250BEC">
        <w:rPr>
          <w:rFonts w:ascii="PT Astra Serif" w:eastAsia="Times New Roman" w:hAnsi="PT Astra Serif" w:cs="Times New Roman"/>
          <w:szCs w:val="28"/>
          <w:lang w:val="x-none" w:eastAsia="x-none"/>
        </w:rPr>
        <w:t>областного бюджета Ульяновской области</w:t>
      </w:r>
      <w:r w:rsidRPr="00250BEC">
        <w:rPr>
          <w:rFonts w:ascii="PT Astra Serif" w:eastAsia="Times New Roman" w:hAnsi="PT Astra Serif" w:cs="Times New Roman"/>
          <w:szCs w:val="28"/>
          <w:lang w:eastAsia="x-none"/>
        </w:rPr>
        <w:t>, который позволяет</w:t>
      </w:r>
      <w:r w:rsidRPr="00250BEC">
        <w:rPr>
          <w:rFonts w:ascii="PT Astra Serif" w:eastAsia="Times New Roman" w:hAnsi="PT Astra Serif" w:cs="Times New Roman"/>
          <w:szCs w:val="28"/>
          <w:lang w:val="x-none" w:eastAsia="x-none"/>
        </w:rPr>
        <w:t xml:space="preserve"> </w:t>
      </w:r>
      <w:r w:rsidRPr="00250BEC">
        <w:rPr>
          <w:rFonts w:ascii="PT Astra Serif" w:eastAsia="Times New Roman" w:hAnsi="PT Astra Serif" w:cs="Times New Roman"/>
          <w:szCs w:val="28"/>
          <w:lang w:eastAsia="x-none"/>
        </w:rPr>
        <w:t>определить</w:t>
      </w:r>
      <w:r w:rsidRPr="00250BEC">
        <w:rPr>
          <w:rFonts w:ascii="PT Astra Serif" w:eastAsia="Times New Roman" w:hAnsi="PT Astra Serif" w:cs="Times New Roman"/>
          <w:szCs w:val="28"/>
          <w:lang w:val="x-none" w:eastAsia="x-none"/>
        </w:rPr>
        <w:t xml:space="preserve"> </w:t>
      </w:r>
      <w:r w:rsidRPr="00250BEC">
        <w:rPr>
          <w:rFonts w:ascii="PT Astra Serif" w:eastAsia="Times New Roman" w:hAnsi="PT Astra Serif" w:cs="Times New Roman"/>
          <w:szCs w:val="28"/>
          <w:lang w:eastAsia="x-none"/>
        </w:rPr>
        <w:t>уровень</w:t>
      </w:r>
      <w:r w:rsidRPr="00250BEC">
        <w:rPr>
          <w:rFonts w:ascii="PT Astra Serif" w:eastAsia="Times New Roman" w:hAnsi="PT Astra Serif" w:cs="Times New Roman"/>
          <w:szCs w:val="28"/>
          <w:lang w:val="x-none" w:eastAsia="x-none"/>
        </w:rPr>
        <w:t xml:space="preserve"> качества финансового менеджмента</w:t>
      </w:r>
      <w:r w:rsidRPr="00250BEC">
        <w:rPr>
          <w:rFonts w:ascii="PT Astra Serif" w:eastAsia="Times New Roman" w:hAnsi="PT Astra Serif" w:cs="Times New Roman"/>
          <w:szCs w:val="28"/>
          <w:lang w:eastAsia="x-none"/>
        </w:rPr>
        <w:t>, выявить</w:t>
      </w:r>
      <w:r w:rsidRPr="00250BEC">
        <w:rPr>
          <w:rFonts w:ascii="PT Astra Serif" w:eastAsia="Times New Roman" w:hAnsi="PT Astra Serif" w:cs="Times New Roman"/>
          <w:szCs w:val="28"/>
          <w:lang w:val="x-none" w:eastAsia="x-none"/>
        </w:rPr>
        <w:t xml:space="preserve"> област</w:t>
      </w:r>
      <w:r w:rsidRPr="00250BEC">
        <w:rPr>
          <w:rFonts w:ascii="PT Astra Serif" w:eastAsia="Times New Roman" w:hAnsi="PT Astra Serif" w:cs="Times New Roman"/>
          <w:szCs w:val="28"/>
          <w:lang w:eastAsia="x-none"/>
        </w:rPr>
        <w:t>и</w:t>
      </w:r>
      <w:r w:rsidRPr="00250BEC">
        <w:rPr>
          <w:rFonts w:ascii="PT Astra Serif" w:eastAsia="Times New Roman" w:hAnsi="PT Astra Serif" w:cs="Times New Roman"/>
          <w:szCs w:val="28"/>
          <w:lang w:val="x-none" w:eastAsia="x-none"/>
        </w:rPr>
        <w:t>, требующи</w:t>
      </w:r>
      <w:r w:rsidRPr="00250BEC">
        <w:rPr>
          <w:rFonts w:ascii="PT Astra Serif" w:eastAsia="Times New Roman" w:hAnsi="PT Astra Serif" w:cs="Times New Roman"/>
          <w:szCs w:val="28"/>
          <w:lang w:eastAsia="x-none"/>
        </w:rPr>
        <w:t>е</w:t>
      </w:r>
      <w:r w:rsidRPr="00250BEC">
        <w:rPr>
          <w:rFonts w:ascii="PT Astra Serif" w:eastAsia="Times New Roman" w:hAnsi="PT Astra Serif" w:cs="Times New Roman"/>
          <w:szCs w:val="28"/>
          <w:lang w:val="x-none" w:eastAsia="x-none"/>
        </w:rPr>
        <w:t xml:space="preserve"> совершенствования</w:t>
      </w:r>
      <w:r w:rsidRPr="00250BEC">
        <w:rPr>
          <w:rFonts w:ascii="PT Astra Serif" w:eastAsia="Times New Roman" w:hAnsi="PT Astra Serif" w:cs="Times New Roman"/>
          <w:szCs w:val="28"/>
          <w:lang w:eastAsia="x-none"/>
        </w:rPr>
        <w:t xml:space="preserve"> и</w:t>
      </w:r>
      <w:r w:rsidRPr="00250BEC">
        <w:rPr>
          <w:rFonts w:ascii="PT Astra Serif" w:eastAsia="Times New Roman" w:hAnsi="PT Astra Serif" w:cs="Times New Roman"/>
          <w:szCs w:val="28"/>
          <w:lang w:val="x-none" w:eastAsia="x-none"/>
        </w:rPr>
        <w:t xml:space="preserve"> устранения выявленных проблем.</w:t>
      </w:r>
    </w:p>
    <w:p w14:paraId="198880C8" w14:textId="77777777" w:rsidR="00250BEC" w:rsidRPr="00250BEC" w:rsidRDefault="00250BEC" w:rsidP="00250BEC">
      <w:pPr>
        <w:widowControl w:val="0"/>
        <w:contextualSpacing/>
        <w:rPr>
          <w:rFonts w:ascii="PT Astra Serif" w:eastAsia="Times New Roman" w:hAnsi="PT Astra Serif" w:cs="Times New Roman"/>
          <w:b/>
          <w:bCs/>
          <w:szCs w:val="28"/>
          <w:lang w:eastAsia="ru-RU"/>
        </w:rPr>
      </w:pPr>
    </w:p>
    <w:p w14:paraId="24C149E1"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Снижение уровня долговой нагрузки</w:t>
      </w:r>
    </w:p>
    <w:p w14:paraId="263C12AF"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
    <w:p w14:paraId="69A58429" w14:textId="77777777" w:rsidR="00250BEC" w:rsidRPr="00250BEC" w:rsidRDefault="00250BEC" w:rsidP="00250BEC">
      <w:pPr>
        <w:widowControl w:val="0"/>
        <w:contextualSpacing/>
        <w:rPr>
          <w:rFonts w:ascii="PT Astra Serif" w:eastAsia="Times New Roman" w:hAnsi="PT Astra Serif" w:cs="Times New Roman"/>
          <w:spacing w:val="-4"/>
          <w:szCs w:val="28"/>
          <w:lang w:eastAsia="ru-RU"/>
        </w:rPr>
      </w:pPr>
      <w:r w:rsidRPr="00250BEC">
        <w:rPr>
          <w:rFonts w:ascii="PT Astra Serif" w:eastAsia="Times New Roman" w:hAnsi="PT Astra Serif" w:cs="Times New Roman"/>
          <w:szCs w:val="28"/>
          <w:lang w:eastAsia="ru-RU"/>
        </w:rPr>
        <w:t>По итогам 2025 года государственный долг Ульяновской области снизился на 4 813,9 млн рублей или на 10,6% и составил 45 575,8 млн рублей. Снижение</w:t>
      </w:r>
      <w:r w:rsidRPr="00250BEC">
        <w:rPr>
          <w:rFonts w:ascii="PT Astra Serif" w:eastAsia="Times New Roman" w:hAnsi="PT Astra Serif" w:cs="Times New Roman"/>
          <w:spacing w:val="-4"/>
          <w:szCs w:val="28"/>
          <w:lang w:eastAsia="ru-RU"/>
        </w:rPr>
        <w:t xml:space="preserve"> связано со </w:t>
      </w:r>
      <w:r w:rsidRPr="00250BEC">
        <w:rPr>
          <w:rFonts w:ascii="PT Astra Serif" w:eastAsia="Times New Roman" w:hAnsi="PT Astra Serif" w:cs="Times New Roman"/>
          <w:spacing w:val="-6"/>
          <w:szCs w:val="28"/>
          <w:lang w:eastAsia="ru-RU"/>
        </w:rPr>
        <w:t>списанием части 2/3</w:t>
      </w:r>
      <w:r w:rsidRPr="00250BEC">
        <w:rPr>
          <w:rFonts w:ascii="PT Astra Serif" w:eastAsia="Times New Roman" w:hAnsi="PT Astra Serif" w:cs="Times New Roman"/>
          <w:i/>
          <w:spacing w:val="-6"/>
          <w:szCs w:val="28"/>
          <w:lang w:eastAsia="ru-RU"/>
        </w:rPr>
        <w:t xml:space="preserve"> </w:t>
      </w:r>
      <w:r w:rsidRPr="00250BEC">
        <w:rPr>
          <w:rFonts w:ascii="PT Astra Serif" w:eastAsia="Times New Roman" w:hAnsi="PT Astra Serif" w:cs="Times New Roman"/>
          <w:spacing w:val="-6"/>
          <w:szCs w:val="28"/>
          <w:lang w:eastAsia="ru-RU"/>
        </w:rPr>
        <w:t xml:space="preserve">задолженности по бюджетным кредитам в размере 7 463,8 млн рублей. </w:t>
      </w:r>
      <w:r w:rsidRPr="00250BEC">
        <w:rPr>
          <w:rFonts w:ascii="PT Astra Serif" w:eastAsia="Times New Roman" w:hAnsi="PT Astra Serif" w:cs="Times New Roman"/>
          <w:spacing w:val="-4"/>
          <w:szCs w:val="28"/>
          <w:lang w:eastAsia="ru-RU"/>
        </w:rPr>
        <w:t xml:space="preserve">Без учёта </w:t>
      </w:r>
      <w:r w:rsidRPr="00250BEC">
        <w:rPr>
          <w:rFonts w:ascii="PT Astra Serif" w:eastAsia="Times New Roman" w:hAnsi="PT Astra Serif" w:cs="Times New Roman"/>
          <w:bCs/>
          <w:iCs/>
          <w:spacing w:val="-4"/>
          <w:szCs w:val="28"/>
          <w:lang w:eastAsia="ru-RU"/>
        </w:rPr>
        <w:t xml:space="preserve">инфраструктурного меню </w:t>
      </w:r>
      <w:r w:rsidRPr="00250BEC">
        <w:rPr>
          <w:rFonts w:ascii="PT Astra Serif" w:eastAsia="Times New Roman" w:hAnsi="PT Astra Serif" w:cs="Times New Roman"/>
          <w:spacing w:val="-4"/>
          <w:szCs w:val="28"/>
          <w:lang w:eastAsia="ru-RU"/>
        </w:rPr>
        <w:t>государственный долг составил 42 598,35 млн рублей (или 48,3% от объёма налоговых и неналоговых доходов).</w:t>
      </w:r>
    </w:p>
    <w:p w14:paraId="0DCC08C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Рыночный долг за 2025 год вырос на 2 832,4 млн рублей в связи</w:t>
      </w:r>
      <w:r w:rsidRPr="00250BEC">
        <w:rPr>
          <w:rFonts w:ascii="PT Astra Serif" w:eastAsia="Times New Roman" w:hAnsi="PT Astra Serif" w:cs="Times New Roman"/>
          <w:szCs w:val="28"/>
          <w:lang w:eastAsia="ru-RU"/>
        </w:rPr>
        <w:br/>
        <w:t xml:space="preserve">с дефицитом средств на СВО. </w:t>
      </w:r>
      <w:r w:rsidRPr="00250BEC">
        <w:rPr>
          <w:rFonts w:ascii="PT Astra Serif" w:eastAsia="Times New Roman" w:hAnsi="PT Astra Serif" w:cs="Times New Roman"/>
          <w:spacing w:val="-6"/>
          <w:szCs w:val="28"/>
          <w:lang w:eastAsia="ru-RU"/>
        </w:rPr>
        <w:t>Доля рыночного долга в собственных доходах составила 33,3%.</w:t>
      </w:r>
      <w:r w:rsidRPr="00250BEC">
        <w:rPr>
          <w:rFonts w:ascii="PT Astra Serif" w:eastAsia="Times New Roman" w:hAnsi="PT Astra Serif" w:cs="Times New Roman"/>
          <w:szCs w:val="28"/>
          <w:lang w:eastAsia="ru-RU"/>
        </w:rPr>
        <w:t xml:space="preserve"> Средневзвешенная ставка по рыночному долгу по итогам 2025 года сложилась на уровне 15,22% годовых.</w:t>
      </w:r>
    </w:p>
    <w:p w14:paraId="677901F2" w14:textId="77777777" w:rsidR="00250BEC" w:rsidRPr="00250BEC" w:rsidRDefault="00250BEC" w:rsidP="00250BEC">
      <w:pPr>
        <w:widowControl w:val="0"/>
        <w:contextualSpacing/>
        <w:rPr>
          <w:rFonts w:ascii="PT Astra Serif" w:eastAsia="Times New Roman" w:hAnsi="PT Astra Serif" w:cs="Times New Roman"/>
          <w:spacing w:val="-4"/>
          <w:szCs w:val="28"/>
          <w:lang w:eastAsia="ru-RU"/>
        </w:rPr>
      </w:pPr>
      <w:r w:rsidRPr="00250BEC">
        <w:rPr>
          <w:rFonts w:ascii="PT Astra Serif" w:eastAsia="Times New Roman" w:hAnsi="PT Astra Serif" w:cs="Times New Roman"/>
          <w:szCs w:val="28"/>
          <w:lang w:eastAsia="ru-RU"/>
        </w:rPr>
        <w:t xml:space="preserve">Размер долга муниципальных образований Ульяновской области снизился на 104,1 млн рублей и составил 3 978,8 млн рублей </w:t>
      </w:r>
      <w:r w:rsidRPr="00250BEC">
        <w:rPr>
          <w:rFonts w:ascii="PT Astra Serif" w:eastAsia="Times New Roman" w:hAnsi="PT Astra Serif" w:cs="Times New Roman"/>
          <w:i/>
          <w:szCs w:val="28"/>
          <w:lang w:eastAsia="ru-RU"/>
        </w:rPr>
        <w:t>(за счёт погашения бюджетных кредитов муниципальными образованиями «город Димитровград» в сумме 102,2 млн рублей и «Ульяновский район» – в сумме 1,9 млн рублей)</w:t>
      </w:r>
      <w:r w:rsidRPr="00250BEC">
        <w:rPr>
          <w:rFonts w:ascii="PT Astra Serif" w:eastAsia="Times New Roman" w:hAnsi="PT Astra Serif" w:cs="Times New Roman"/>
          <w:szCs w:val="28"/>
          <w:lang w:eastAsia="ru-RU"/>
        </w:rPr>
        <w:t>. Доля бюджетных кредитов составила 13,5% в общем объёме муниципального долга.</w:t>
      </w:r>
    </w:p>
    <w:p w14:paraId="284C8A5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Политика управления государственным долгом в 2025 году была направлена на обеспечение платёжеспособности Ульяновской области </w:t>
      </w:r>
      <w:r w:rsidRPr="00250BEC">
        <w:rPr>
          <w:rFonts w:ascii="PT Astra Serif" w:eastAsia="Times New Roman" w:hAnsi="PT Astra Serif" w:cs="Times New Roman"/>
          <w:szCs w:val="28"/>
          <w:lang w:eastAsia="ru-RU"/>
        </w:rPr>
        <w:br/>
        <w:t xml:space="preserve">и соответствие параметров областного бюджета ограничениям, установленным Бюджетным </w:t>
      </w:r>
      <w:hyperlink r:id="rId37" w:history="1">
        <w:r w:rsidRPr="00250BEC">
          <w:rPr>
            <w:rFonts w:ascii="PT Astra Serif" w:eastAsia="Times New Roman" w:hAnsi="PT Astra Serif" w:cs="Times New Roman"/>
            <w:szCs w:val="28"/>
            <w:lang w:eastAsia="ru-RU"/>
          </w:rPr>
          <w:t>кодексом</w:t>
        </w:r>
      </w:hyperlink>
      <w:r w:rsidRPr="00250BEC">
        <w:rPr>
          <w:rFonts w:ascii="PT Astra Serif" w:eastAsia="Times New Roman" w:hAnsi="PT Astra Serif" w:cs="Times New Roman"/>
          <w:szCs w:val="28"/>
          <w:lang w:eastAsia="ru-RU"/>
        </w:rPr>
        <w:t xml:space="preserve"> Российской Федерации. Продолжился тренд на постепенное сокращение уровня долговой нагрузки Ульяновской области. По итогам 2025 года показатель долговой нагрузки составил 51,7% (без </w:t>
      </w:r>
      <w:r w:rsidRPr="00250BEC">
        <w:rPr>
          <w:rFonts w:ascii="PT Astra Serif" w:eastAsia="Times New Roman" w:hAnsi="PT Astra Serif" w:cs="Times New Roman"/>
          <w:spacing w:val="-4"/>
          <w:szCs w:val="28"/>
          <w:lang w:eastAsia="ru-RU"/>
        </w:rPr>
        <w:t xml:space="preserve">учёта </w:t>
      </w:r>
      <w:r w:rsidRPr="00250BEC">
        <w:rPr>
          <w:rFonts w:ascii="PT Astra Serif" w:eastAsia="Times New Roman" w:hAnsi="PT Astra Serif" w:cs="Times New Roman"/>
          <w:bCs/>
          <w:iCs/>
          <w:spacing w:val="-4"/>
          <w:szCs w:val="28"/>
          <w:lang w:eastAsia="ru-RU"/>
        </w:rPr>
        <w:t>инфраструктурного меню – 48,3%).</w:t>
      </w:r>
    </w:p>
    <w:p w14:paraId="1B63F4E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Списание задолженности по бюджетным кредитам повлияло на структуру государственного долга Ульяновской области. При этом структура сохранила сбалансированность и финансово безопасные характеристики:</w:t>
      </w:r>
    </w:p>
    <w:p w14:paraId="64B674A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государственные ценные бумаги – 20 011,4 млн рублей или 43,9% </w:t>
      </w:r>
      <w:r w:rsidRPr="00250BEC">
        <w:rPr>
          <w:rFonts w:ascii="PT Astra Serif" w:eastAsia="Times New Roman" w:hAnsi="PT Astra Serif" w:cs="Times New Roman"/>
          <w:szCs w:val="28"/>
          <w:lang w:eastAsia="ru-RU"/>
        </w:rPr>
        <w:lastRenderedPageBreak/>
        <w:t>(увеличение доли составило 7,1%);</w:t>
      </w:r>
    </w:p>
    <w:p w14:paraId="46A6938C"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бюджетные кредиты из федерального бюджета</w:t>
      </w:r>
      <w:r w:rsidRPr="00250BEC">
        <w:rPr>
          <w:rFonts w:ascii="PT Astra Serif" w:eastAsia="Times New Roman" w:hAnsi="PT Astra Serif" w:cs="Times New Roman"/>
          <w:b/>
          <w:szCs w:val="28"/>
          <w:lang w:eastAsia="ru-RU"/>
        </w:rPr>
        <w:t xml:space="preserve"> </w:t>
      </w:r>
      <w:r w:rsidRPr="00250BEC">
        <w:rPr>
          <w:rFonts w:ascii="PT Astra Serif" w:eastAsia="Times New Roman" w:hAnsi="PT Astra Serif" w:cs="Times New Roman"/>
          <w:szCs w:val="28"/>
          <w:lang w:eastAsia="ru-RU"/>
        </w:rPr>
        <w:t>занимают 16 184,4 млн рублей или 35,5% в общем объёме государственного долга Ульяновской области (сокращение доли составило 11,8%);</w:t>
      </w:r>
    </w:p>
    <w:p w14:paraId="7F772A0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банковские кредиты – 9 380,0 млн рублей или 20,6% (увеличение доли составило 4,7%).</w:t>
      </w:r>
    </w:p>
    <w:p w14:paraId="1993B239" w14:textId="77777777" w:rsidR="00250BEC" w:rsidRPr="00250BEC" w:rsidRDefault="00250BEC" w:rsidP="00250BEC">
      <w:pPr>
        <w:widowControl w:val="0"/>
        <w:ind w:firstLine="0"/>
        <w:contextualSpacing/>
        <w:jc w:val="center"/>
        <w:rPr>
          <w:rFonts w:ascii="PT Astra Serif" w:eastAsia="Times New Roman" w:hAnsi="PT Astra Serif" w:cs="Times New Roman"/>
          <w:szCs w:val="28"/>
          <w:lang w:eastAsia="ru-RU"/>
        </w:rPr>
      </w:pPr>
      <w:r w:rsidRPr="00250BEC">
        <w:rPr>
          <w:rFonts w:ascii="PT Astra Serif" w:hAnsi="PT Astra Serif"/>
          <w:szCs w:val="28"/>
        </w:rPr>
        <w:object w:dxaOrig="7160" w:dyaOrig="4009" w14:anchorId="79ED58DA">
          <v:shape id="_x0000_i1030" type="#_x0000_t75" style="width:392.55pt;height:207.85pt" o:ole="">
            <v:imagedata r:id="rId38" o:title=""/>
          </v:shape>
          <o:OLEObject Type="Embed" ProgID="PowerPoint.Slide.12" ShapeID="_x0000_i1030" DrawAspect="Content" ObjectID="_1836648853" r:id="rId39"/>
        </w:object>
      </w:r>
    </w:p>
    <w:p w14:paraId="5228F55F"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2025 году </w:t>
      </w:r>
      <w:r w:rsidRPr="00250BEC">
        <w:rPr>
          <w:rFonts w:ascii="PT Astra Serif" w:eastAsia="Calibri" w:hAnsi="PT Astra Serif" w:cs="PT Astra Serif"/>
          <w:szCs w:val="28"/>
          <w:lang w:eastAsia="ru-RU"/>
        </w:rPr>
        <w:t xml:space="preserve">Ульяновская область впервые использовала возможность списания задолженности по федеральным бюджетным кредитам, региону уже списано 7 463,8 млн рублей. </w:t>
      </w:r>
      <w:r w:rsidRPr="00250BEC">
        <w:rPr>
          <w:rFonts w:ascii="PT Astra Serif" w:eastAsia="Times New Roman" w:hAnsi="PT Astra Serif" w:cs="Times New Roman"/>
          <w:szCs w:val="28"/>
          <w:lang w:eastAsia="ru-RU"/>
        </w:rPr>
        <w:t xml:space="preserve">Высвобождаемые средства направляются на поддержку участников СВО, инфраструктурные проекты в сфере ЖКХ, переселение из аварийного жилья, </w:t>
      </w:r>
      <w:proofErr w:type="spellStart"/>
      <w:r w:rsidRPr="00250BEC">
        <w:rPr>
          <w:rFonts w:ascii="PT Astra Serif" w:eastAsia="Times New Roman" w:hAnsi="PT Astra Serif" w:cs="Times New Roman"/>
          <w:szCs w:val="28"/>
          <w:lang w:eastAsia="ru-RU"/>
        </w:rPr>
        <w:t>докапитализацию</w:t>
      </w:r>
      <w:proofErr w:type="spellEnd"/>
      <w:r w:rsidRPr="00250BEC">
        <w:rPr>
          <w:rFonts w:ascii="PT Astra Serif" w:eastAsia="Times New Roman" w:hAnsi="PT Astra Serif" w:cs="Times New Roman"/>
          <w:szCs w:val="28"/>
          <w:lang w:eastAsia="ru-RU"/>
        </w:rPr>
        <w:t xml:space="preserve"> фонда развития промышленности.</w:t>
      </w:r>
    </w:p>
    <w:p w14:paraId="085A0DFD" w14:textId="77777777" w:rsidR="00250BEC" w:rsidRPr="00250BEC" w:rsidRDefault="00250BEC" w:rsidP="00250BEC">
      <w:pPr>
        <w:widowControl w:val="0"/>
        <w:tabs>
          <w:tab w:val="left" w:pos="426"/>
        </w:tabs>
        <w:contextualSpacing/>
        <w:rPr>
          <w:rFonts w:ascii="PT Astra Serif" w:eastAsia="Times New Roman" w:hAnsi="PT Astra Serif" w:cs="Times New Roman"/>
          <w:spacing w:val="-6"/>
          <w:szCs w:val="28"/>
          <w:lang w:eastAsia="ru-RU"/>
        </w:rPr>
      </w:pPr>
      <w:r w:rsidRPr="00250BEC">
        <w:rPr>
          <w:rFonts w:ascii="PT Astra Serif" w:eastAsia="Times New Roman" w:hAnsi="PT Astra Serif" w:cs="Times New Roman"/>
          <w:spacing w:val="-6"/>
          <w:szCs w:val="28"/>
          <w:lang w:eastAsia="ru-RU"/>
        </w:rPr>
        <w:t>Благодаря работе, проведённой с Министерством финансов Российской Федерации, были получены казначейские кредиты на кассовые разрывы в сумме 2 793,3 млн рублей на весь год, а также был продлён срок предоставления данных кредитов (до 19.12.2025).</w:t>
      </w:r>
    </w:p>
    <w:p w14:paraId="01D7598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Привлечение коммерческих кредитов составило 68 400,0 млн рублей</w:t>
      </w:r>
      <w:r w:rsidRPr="00250BEC">
        <w:rPr>
          <w:rFonts w:ascii="PT Astra Serif" w:eastAsia="Times New Roman" w:hAnsi="PT Astra Serif" w:cs="Times New Roman"/>
          <w:szCs w:val="28"/>
          <w:lang w:eastAsia="ru-RU"/>
        </w:rPr>
        <w:br/>
        <w:t>с учётом оборотов по возобновляемым кредитным линиям в объёме 59 020,0 млн рублей.</w:t>
      </w:r>
    </w:p>
    <w:p w14:paraId="3D92A035"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При этом, в 2025 году долговые обязательства Ульяновской области были погашены в общей сумме 83 393,4 млн рублей, в том числе:</w:t>
      </w:r>
    </w:p>
    <w:p w14:paraId="3D18D70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кредиты банков с учётом оборотов по возобновляемым кредитным линиям в сумме 67 020,0 млн рублей;</w:t>
      </w:r>
    </w:p>
    <w:p w14:paraId="7CFD830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бюджетные кредиты в сумме 11 814,3 млн рублей, в том числе краткосрочные бюджетные кредиты, полученные от Управления Федерального казначейства по Ульяновской области – 2 793,3 млн рублей, списание две трети задолженности по бюджетным кредитам – 7 463,8 млн рублей;</w:t>
      </w:r>
    </w:p>
    <w:p w14:paraId="2499785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государственные ценные бумаги – 4 559,0 млн рублей.</w:t>
      </w:r>
    </w:p>
    <w:p w14:paraId="2EA9992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Все долговые обязательства, срок погашения которых истекал в 2025 году, были погашены своевременно и в полном объёме.</w:t>
      </w:r>
    </w:p>
    <w:p w14:paraId="3B659CA7"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Эффективная реализация долговой политики Ульяновской области, </w:t>
      </w:r>
      <w:r w:rsidRPr="00250BEC">
        <w:rPr>
          <w:rFonts w:ascii="PT Astra Serif" w:eastAsia="Times New Roman" w:hAnsi="PT Astra Serif" w:cs="Times New Roman"/>
          <w:szCs w:val="28"/>
          <w:lang w:eastAsia="ru-RU"/>
        </w:rPr>
        <w:lastRenderedPageBreak/>
        <w:t>использование различных механизмов бюджетных и рыночных заимствований, работа с федеральным центром по привлечению денежных средств на кассовый разрыв позволили снизить расходы на обслуживание государственного долга на 812,9 млн рублей.</w:t>
      </w:r>
    </w:p>
    <w:p w14:paraId="44377594"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Министерство финансов Ульяновской области добилось снижения стоимости привлекаемых коммерческих кредитов, как в результате снижения ключевой ставки Банка России, так и снижения утверждённого государственными контрактами спреда к ключевой ставке Банка России. При изменении конъюнктуры рынка проводились повторные аукционы для улучшения условий кредитования и снижения расходов областного бюджета. </w:t>
      </w:r>
    </w:p>
    <w:p w14:paraId="1EA69079"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Результатом работы с Минфином России, стало продление на 5 месяцев (до 19 декабря 2025 года) срока предоставления краткосрочного бюджетного кредита, предоставляемого Федеральным казначейством под 0,1% годовых (изначально кредит был предоставлен по июль 2025 года).</w:t>
      </w:r>
    </w:p>
    <w:p w14:paraId="77014666"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Расходы на обслуживание государственного долга по итогам 2025 года сложились в сумме 4 187,1 млн рублей. Отношение расходов на обслуживание государственного долга к годовому объёму расходов областного бюджета, за исключением субвенций, составило 3,8%.</w:t>
      </w:r>
    </w:p>
    <w:p w14:paraId="06F6AC1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Кроме того, в 2025 году в областной бюджет Ульяновской области был привлечён казначейский инфраструктурный кредит в сумме 1 374,8 млн рублей (</w:t>
      </w:r>
      <w:r w:rsidRPr="00250BEC">
        <w:rPr>
          <w:rFonts w:ascii="PT Astra Serif" w:eastAsia="Times New Roman" w:hAnsi="PT Astra Serif" w:cs="Times New Roman"/>
          <w:szCs w:val="28"/>
          <w:u w:val="single"/>
          <w:lang w:eastAsia="ru-RU"/>
        </w:rPr>
        <w:t>справочно:</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в 2022 - 2024 годах средства инфраструктурного бюджетного кредита региону были перечислены в сумме 1 785,3 млн рублей</w:t>
      </w:r>
      <w:r w:rsidRPr="00250BEC">
        <w:rPr>
          <w:rFonts w:ascii="PT Astra Serif" w:eastAsia="Times New Roman" w:hAnsi="PT Astra Serif" w:cs="Times New Roman"/>
          <w:szCs w:val="28"/>
          <w:lang w:eastAsia="ru-RU"/>
        </w:rPr>
        <w:t>). Общий лимит бюджетного кредита, одобренный Ульяновской области на финансовое обеспечение реализации инфраструктурных проектов, составляет 5 786,8 млн рублей.</w:t>
      </w:r>
    </w:p>
    <w:p w14:paraId="4034E41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рамках лимита будет реализовано 9 проектов:</w:t>
      </w:r>
    </w:p>
    <w:p w14:paraId="481E47B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1) Ульяновской областью уже реализуется проект «Объекты инфраструктуры ИП, ПТ, ОЭЗ, ТОР, ИНТЦ (строительство производственно-складского здания на территории промышленной зоны «Заволжье», площадь 7500 кв. м; строительство сетей хозяйственно-питьевого водоснабжения индустриально-промышленного парка «ДААЗ» города Димитровграда; строительство индустриального парка (IV этап) портовой особой экономической зоны на территории муниципального образования «Чердаклинский район» Ульяновской области, площадь 18931 кв. м)», на который из федерального бюджета поступило в 2022 году - 926,5 млн рублей, в 2023 – 704,2 млн рублей. В 2026 году на реализацию данного проекта будет предоставлен казначейский инфраструктурный кредит в размере 214,6 млн рублей.</w:t>
      </w:r>
    </w:p>
    <w:p w14:paraId="4CB28575"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Ожидаемый экономический эффект в консолидированном бюджете Ульяновской области от реализации проекта составит 4 459,03 млн рублей. Также в результате реализации проекта будет создано 930 новых высокопроизводительных рабочих мест;</w:t>
      </w:r>
    </w:p>
    <w:p w14:paraId="77B6C00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2) Ульяновской областью также реализуется проект «Строительство поликлиники и обеспечение транспортной доступности в целях развития жилищного строительства в Засвияжском районе города Ульяновска», на </w:t>
      </w:r>
      <w:r w:rsidRPr="00250BEC">
        <w:rPr>
          <w:rFonts w:ascii="PT Astra Serif" w:eastAsia="Times New Roman" w:hAnsi="PT Astra Serif" w:cs="Times New Roman"/>
          <w:szCs w:val="28"/>
          <w:lang w:eastAsia="ru-RU"/>
        </w:rPr>
        <w:lastRenderedPageBreak/>
        <w:t>который из федерального бюджета в 2024 году предоставлены средства инфраструктурного бюджетного кредита в сумме 154,6 млн рублей,</w:t>
      </w:r>
      <w:r w:rsidRPr="00250BEC">
        <w:rPr>
          <w:rFonts w:ascii="PT Astra Serif" w:eastAsia="Times New Roman" w:hAnsi="PT Astra Serif" w:cs="Times New Roman"/>
          <w:szCs w:val="28"/>
          <w:lang w:eastAsia="ru-RU"/>
        </w:rPr>
        <w:br/>
        <w:t>в 2025 году – в сумме 640,8 млн рублей. В 2026 году на реализацию данного проекта будет предоставлен казначейский инфраструктурный кредит</w:t>
      </w:r>
      <w:r w:rsidRPr="00250BEC">
        <w:rPr>
          <w:rFonts w:ascii="PT Astra Serif" w:eastAsia="Times New Roman" w:hAnsi="PT Astra Serif" w:cs="Times New Roman"/>
          <w:szCs w:val="28"/>
          <w:lang w:eastAsia="ru-RU"/>
        </w:rPr>
        <w:br/>
        <w:t>в размере 392,5 млн рублей, в том числе на приобретение подвижного состава общественного транспорта – 192,5 млн рублей.</w:t>
      </w:r>
    </w:p>
    <w:p w14:paraId="38F0D2C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Ожидаемый экономический эффект в консолидированном бюджете Ульяновской области от реализации проекта составит 1 529,92 млн рублей, по итогам реализации проекта будет создано 468 новых рабочих мест.</w:t>
      </w:r>
    </w:p>
    <w:p w14:paraId="09D33C9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С 2025 года регионом реализуются 7 инфраструктурных проектов </w:t>
      </w:r>
      <w:r w:rsidRPr="00250BEC">
        <w:rPr>
          <w:rFonts w:ascii="PT Astra Serif" w:eastAsia="Times New Roman" w:hAnsi="PT Astra Serif" w:cs="Times New Roman"/>
          <w:szCs w:val="28"/>
          <w:lang w:eastAsia="ru-RU"/>
        </w:rPr>
        <w:br/>
        <w:t>в сфере ЖКХ, лимит казначейского инфраструктурного кредита на реализацию которых предусмотрен региону на период до 2030 года в сумме 2 453,5 млн рублей. В 2025 году на указанные проекты Ульяновской области предоставлено 433,97 млн рублей. В 2026 году планируется привлечение 124,6 млн рублей;</w:t>
      </w:r>
    </w:p>
    <w:p w14:paraId="07C74E76"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3) модернизация системы водоснабжения </w:t>
      </w:r>
      <w:proofErr w:type="spellStart"/>
      <w:r w:rsidRPr="00250BEC">
        <w:rPr>
          <w:rFonts w:ascii="PT Astra Serif" w:eastAsia="Times New Roman" w:hAnsi="PT Astra Serif" w:cs="Times New Roman"/>
          <w:szCs w:val="28"/>
          <w:lang w:eastAsia="ru-RU"/>
        </w:rPr>
        <w:t>р.п</w:t>
      </w:r>
      <w:proofErr w:type="spellEnd"/>
      <w:r w:rsidRPr="00250BEC">
        <w:rPr>
          <w:rFonts w:ascii="PT Astra Serif" w:eastAsia="Times New Roman" w:hAnsi="PT Astra Serif" w:cs="Times New Roman"/>
          <w:szCs w:val="28"/>
          <w:lang w:eastAsia="ru-RU"/>
        </w:rPr>
        <w:t>. Чердаклы Чердаклинского района Ульяновской области - 274,3 млн рублей, в том числе в 2025 году – 140,9 млн рублей, в 2026 году – 48,28 млн рублей;</w:t>
      </w:r>
    </w:p>
    <w:p w14:paraId="0419B8CC"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4) модернизация системы водоснабжения </w:t>
      </w:r>
      <w:proofErr w:type="spellStart"/>
      <w:r w:rsidRPr="00250BEC">
        <w:rPr>
          <w:rFonts w:ascii="PT Astra Serif" w:eastAsia="Times New Roman" w:hAnsi="PT Astra Serif" w:cs="Times New Roman"/>
          <w:szCs w:val="28"/>
          <w:lang w:eastAsia="ru-RU"/>
        </w:rPr>
        <w:t>р.п</w:t>
      </w:r>
      <w:proofErr w:type="spellEnd"/>
      <w:r w:rsidRPr="00250BEC">
        <w:rPr>
          <w:rFonts w:ascii="PT Astra Serif" w:eastAsia="Times New Roman" w:hAnsi="PT Astra Serif" w:cs="Times New Roman"/>
          <w:szCs w:val="28"/>
          <w:lang w:eastAsia="ru-RU"/>
        </w:rPr>
        <w:t>. Николаевка Николаевского района Ульяновской области – 100,0 млн рублей, в том числе в 2025 году – 30,0 млн рублей, в 2026 году – 30,0 млн рублей;</w:t>
      </w:r>
    </w:p>
    <w:p w14:paraId="69D318D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5) реконструкция Архангельского грунтового водозабора – 350,0 млн рублей, в том числе в 2025 году – 150,3 млн рублей;</w:t>
      </w:r>
    </w:p>
    <w:p w14:paraId="626DBD4F"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6) реконструкция системы водоотведения города Ульяновска – 152,0 млн рублей, в том числе в 2025 году – 76,0 млн рублей, в 2026 году – 25,0 млн рублей;</w:t>
      </w:r>
    </w:p>
    <w:p w14:paraId="2704768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7) реконструкция системы канализации г. Инза – 60,0 млн рублей, </w:t>
      </w:r>
      <w:r w:rsidRPr="00250BEC">
        <w:rPr>
          <w:rFonts w:ascii="PT Astra Serif" w:eastAsia="Times New Roman" w:hAnsi="PT Astra Serif" w:cs="Times New Roman"/>
          <w:szCs w:val="28"/>
          <w:lang w:eastAsia="ru-RU"/>
        </w:rPr>
        <w:br/>
        <w:t>в 2025 году – 18,0 млн рублей;</w:t>
      </w:r>
    </w:p>
    <w:p w14:paraId="714442C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8) модернизация Радищевского группового водовода – 20,0 млн рублей, в том числе в 2025 году – 3,7 млн рублей, в 2026 году – 8,68 млн рублей;</w:t>
      </w:r>
    </w:p>
    <w:p w14:paraId="62C1CFE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9) реконструкция системы водоснабжения города Новоульяновска – 50,0 млн рублей, в том числе в 2025 году – 15,0 млн рублей, в 2026 году – 12,6 млн рублей.</w:t>
      </w:r>
    </w:p>
    <w:p w14:paraId="405209C4"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 xml:space="preserve">В 2025 году Ульяновская область вошла в группу субъектов Российской Федерации со средним уровнем долговой устойчивости, а </w:t>
      </w:r>
      <w:r w:rsidRPr="00250BEC">
        <w:rPr>
          <w:rFonts w:ascii="PT Astra Serif" w:eastAsia="Calibri" w:hAnsi="PT Astra Serif" w:cs="Arial"/>
          <w:szCs w:val="28"/>
          <w:shd w:val="clear" w:color="auto" w:fill="FFFFFF"/>
        </w:rPr>
        <w:t xml:space="preserve">Рейтинговое агентство «Эксперт РА» подтвердило </w:t>
      </w:r>
      <w:hyperlink r:id="rId40" w:history="1">
        <w:r w:rsidRPr="00250BEC">
          <w:rPr>
            <w:rFonts w:ascii="PT Astra Serif" w:eastAsia="Calibri" w:hAnsi="PT Astra Serif" w:cs="Arial"/>
            <w:szCs w:val="28"/>
            <w:shd w:val="clear" w:color="auto" w:fill="FFFFFF"/>
          </w:rPr>
          <w:t>рейтинг</w:t>
        </w:r>
      </w:hyperlink>
      <w:r w:rsidRPr="00250BEC">
        <w:rPr>
          <w:rFonts w:ascii="PT Astra Serif" w:eastAsia="Calibri" w:hAnsi="PT Astra Serif" w:cs="Arial"/>
          <w:szCs w:val="28"/>
          <w:shd w:val="clear" w:color="auto" w:fill="FFFFFF"/>
        </w:rPr>
        <w:t xml:space="preserve"> кредитоспособности </w:t>
      </w:r>
      <w:hyperlink r:id="rId41" w:history="1">
        <w:r w:rsidRPr="00250BEC">
          <w:rPr>
            <w:rFonts w:ascii="PT Astra Serif" w:eastAsia="Calibri" w:hAnsi="PT Astra Serif" w:cs="Arial"/>
            <w:bCs/>
            <w:szCs w:val="28"/>
            <w:shd w:val="clear" w:color="auto" w:fill="FFFFFF"/>
          </w:rPr>
          <w:t>Ульяновской области</w:t>
        </w:r>
      </w:hyperlink>
      <w:r w:rsidRPr="00250BEC">
        <w:rPr>
          <w:rFonts w:ascii="PT Astra Serif" w:eastAsia="Calibri" w:hAnsi="PT Astra Serif" w:cs="Arial"/>
          <w:szCs w:val="28"/>
          <w:shd w:val="clear" w:color="auto" w:fill="FFFFFF"/>
        </w:rPr>
        <w:t xml:space="preserve"> на уровне </w:t>
      </w:r>
      <w:proofErr w:type="spellStart"/>
      <w:r w:rsidRPr="00250BEC">
        <w:rPr>
          <w:rFonts w:ascii="PT Astra Serif" w:eastAsia="Calibri" w:hAnsi="PT Astra Serif" w:cs="Arial"/>
          <w:szCs w:val="28"/>
          <w:shd w:val="clear" w:color="auto" w:fill="FFFFFF"/>
        </w:rPr>
        <w:t>ruВВВ</w:t>
      </w:r>
      <w:proofErr w:type="spellEnd"/>
      <w:r w:rsidRPr="00250BEC">
        <w:rPr>
          <w:rFonts w:ascii="PT Astra Serif" w:eastAsia="Calibri" w:hAnsi="PT Astra Serif" w:cs="Arial"/>
          <w:szCs w:val="28"/>
          <w:shd w:val="clear" w:color="auto" w:fill="FFFFFF"/>
        </w:rPr>
        <w:t>, прогноз по рейтингу стабильный.</w:t>
      </w:r>
    </w:p>
    <w:p w14:paraId="264D822A" w14:textId="77777777" w:rsidR="00250BEC" w:rsidRPr="00250BEC" w:rsidRDefault="00250BEC" w:rsidP="00250BEC">
      <w:pPr>
        <w:widowControl w:val="0"/>
        <w:contextualSpacing/>
        <w:rPr>
          <w:rFonts w:ascii="PT Astra Serif" w:eastAsia="Times New Roman" w:hAnsi="PT Astra Serif" w:cs="Times New Roman"/>
          <w:b/>
          <w:szCs w:val="28"/>
          <w:u w:val="single"/>
          <w:lang w:eastAsia="ru-RU"/>
        </w:rPr>
      </w:pPr>
    </w:p>
    <w:p w14:paraId="0687568F" w14:textId="77777777" w:rsidR="00250BEC" w:rsidRPr="00250BEC" w:rsidRDefault="00250BEC" w:rsidP="00250BEC">
      <w:pPr>
        <w:widowControl w:val="0"/>
        <w:tabs>
          <w:tab w:val="left" w:pos="0"/>
          <w:tab w:val="left" w:pos="1134"/>
        </w:tabs>
        <w:ind w:firstLine="0"/>
        <w:jc w:val="center"/>
        <w:rPr>
          <w:rFonts w:ascii="PT Astra Serif" w:eastAsia="Times New Roman" w:hAnsi="PT Astra Serif" w:cs="Times New Roman"/>
          <w:b/>
          <w:szCs w:val="28"/>
          <w:lang w:val="x-none" w:eastAsia="x-none"/>
        </w:rPr>
      </w:pPr>
      <w:r w:rsidRPr="00250BEC">
        <w:rPr>
          <w:rFonts w:ascii="PT Astra Serif" w:eastAsia="Times New Roman" w:hAnsi="PT Astra Serif" w:cs="Times New Roman"/>
          <w:b/>
          <w:szCs w:val="28"/>
          <w:lang w:val="x-none" w:eastAsia="x-none"/>
        </w:rPr>
        <w:t>Укрепление экосистемы финансовой культуры в регионе и развитие инициативного бюджетирования</w:t>
      </w:r>
    </w:p>
    <w:p w14:paraId="11106280" w14:textId="77777777" w:rsidR="00250BEC" w:rsidRPr="00250BEC" w:rsidRDefault="00250BEC" w:rsidP="00250BEC">
      <w:pPr>
        <w:widowControl w:val="0"/>
        <w:tabs>
          <w:tab w:val="left" w:pos="0"/>
          <w:tab w:val="left" w:pos="1134"/>
        </w:tabs>
        <w:ind w:firstLine="0"/>
        <w:jc w:val="center"/>
        <w:rPr>
          <w:rFonts w:ascii="PT Astra Serif" w:eastAsia="Times New Roman" w:hAnsi="PT Astra Serif" w:cs="Times New Roman"/>
          <w:b/>
          <w:szCs w:val="28"/>
          <w:lang w:eastAsia="x-none"/>
        </w:rPr>
      </w:pPr>
    </w:p>
    <w:p w14:paraId="3C9F84F8" w14:textId="77777777" w:rsidR="00250BEC" w:rsidRPr="00250BEC" w:rsidRDefault="00250BEC" w:rsidP="00250BEC">
      <w:pPr>
        <w:widowControl w:val="0"/>
        <w:tabs>
          <w:tab w:val="left" w:pos="1875"/>
        </w:tabs>
        <w:rPr>
          <w:rFonts w:ascii="PT Astra Serif" w:eastAsia="Times New Roman" w:hAnsi="PT Astra Serif" w:cs="Times New Roman"/>
          <w:bCs/>
          <w:szCs w:val="28"/>
          <w:lang w:eastAsia="ru-RU"/>
        </w:rPr>
      </w:pPr>
      <w:r w:rsidRPr="00250BEC">
        <w:rPr>
          <w:rFonts w:ascii="PT Astra Serif" w:eastAsia="Times New Roman" w:hAnsi="PT Astra Serif" w:cs="Times New Roman"/>
          <w:szCs w:val="28"/>
          <w:lang w:eastAsia="ru-RU"/>
        </w:rPr>
        <w:t xml:space="preserve">Тема финансовой грамотности становится всё более популярной среди жителей нашего региона, поэтому </w:t>
      </w:r>
      <w:r w:rsidRPr="00250BEC">
        <w:rPr>
          <w:rFonts w:ascii="PT Astra Serif" w:eastAsia="Times New Roman" w:hAnsi="PT Astra Serif" w:cs="Times New Roman"/>
          <w:bCs/>
          <w:szCs w:val="28"/>
          <w:lang w:eastAsia="ru-RU"/>
        </w:rPr>
        <w:t xml:space="preserve">важно учитывать запросы и специфику различных групп населения и целевых аудиторий, обеспечивая тем самым </w:t>
      </w:r>
      <w:proofErr w:type="spellStart"/>
      <w:r w:rsidRPr="00250BEC">
        <w:rPr>
          <w:rFonts w:ascii="PT Astra Serif" w:eastAsia="Times New Roman" w:hAnsi="PT Astra Serif" w:cs="Times New Roman"/>
          <w:bCs/>
          <w:szCs w:val="28"/>
          <w:lang w:eastAsia="ru-RU"/>
        </w:rPr>
        <w:t>клиентоцентричность</w:t>
      </w:r>
      <w:proofErr w:type="spellEnd"/>
      <w:r w:rsidRPr="00250BEC">
        <w:rPr>
          <w:rFonts w:ascii="PT Astra Serif" w:eastAsia="Times New Roman" w:hAnsi="PT Astra Serif" w:cs="Times New Roman"/>
          <w:bCs/>
          <w:szCs w:val="28"/>
          <w:lang w:eastAsia="ru-RU"/>
        </w:rPr>
        <w:t xml:space="preserve"> подходов информирования и обучения.</w:t>
      </w:r>
    </w:p>
    <w:p w14:paraId="4EBCE7F9" w14:textId="77777777" w:rsidR="00250BEC" w:rsidRPr="00250BEC" w:rsidRDefault="00250BEC" w:rsidP="00250BEC">
      <w:pPr>
        <w:widowControl w:val="0"/>
        <w:tabs>
          <w:tab w:val="left" w:pos="1875"/>
        </w:tabs>
        <w:rPr>
          <w:rFonts w:ascii="PT Astra Serif" w:eastAsia="Times New Roman" w:hAnsi="PT Astra Serif" w:cs="Times New Roman"/>
          <w:bCs/>
          <w:szCs w:val="28"/>
          <w:lang w:eastAsia="ru-RU"/>
        </w:rPr>
      </w:pPr>
      <w:r w:rsidRPr="00250BEC">
        <w:rPr>
          <w:rFonts w:ascii="PT Astra Serif" w:eastAsia="Times New Roman" w:hAnsi="PT Astra Serif" w:cs="Times New Roman"/>
          <w:szCs w:val="28"/>
          <w:lang w:eastAsia="ru-RU"/>
        </w:rPr>
        <w:lastRenderedPageBreak/>
        <w:t>В настоящее время сформирована экосистема финансовой грамотности, которая содержит следующие элементы:</w:t>
      </w:r>
    </w:p>
    <w:p w14:paraId="401C190B" w14:textId="77777777" w:rsidR="00250BEC" w:rsidRPr="00250BEC" w:rsidRDefault="00250BEC" w:rsidP="00250BEC">
      <w:pPr>
        <w:widowControl w:val="0"/>
        <w:tabs>
          <w:tab w:val="left" w:pos="1875"/>
        </w:tabs>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1) р</w:t>
      </w:r>
      <w:r w:rsidRPr="00250BEC">
        <w:rPr>
          <w:rFonts w:ascii="PT Astra Serif" w:eastAsia="Times New Roman" w:hAnsi="PT Astra Serif" w:cs="Times New Roman"/>
          <w:szCs w:val="28"/>
          <w:lang w:eastAsia="ru-RU"/>
        </w:rPr>
        <w:t>азвитие финансовой и налоговой культуры:</w:t>
      </w:r>
    </w:p>
    <w:p w14:paraId="10F98FD1"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внедрение в систему образования;</w:t>
      </w:r>
    </w:p>
    <w:p w14:paraId="510F1014"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вовлечение и объединение единомышленников (межведомственное взаимодействие);</w:t>
      </w:r>
    </w:p>
    <w:p w14:paraId="49E8B039"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информационное пространство (СМИ, информационные площадки, просветительские мероприятия);</w:t>
      </w:r>
    </w:p>
    <w:p w14:paraId="7EBD5631"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ресурсная база (волонтёры, консультанты-методисты);</w:t>
      </w:r>
    </w:p>
    <w:p w14:paraId="40A08DB0"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формирование положительного имиджа налогоплательщика (налоговая культура населения);</w:t>
      </w:r>
    </w:p>
    <w:p w14:paraId="6A686463"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 реализация инициативного бюджетирования:</w:t>
      </w:r>
    </w:p>
    <w:p w14:paraId="41E026CC"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народный бюджет;</w:t>
      </w:r>
    </w:p>
    <w:p w14:paraId="4F3D2B1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расширение практик инициативного бюджетирования;</w:t>
      </w:r>
    </w:p>
    <w:p w14:paraId="78ABCA8D"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реализация Проекта поддержки местных инициатив.</w:t>
      </w:r>
    </w:p>
    <w:p w14:paraId="71868D50"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3) включение в Стратегию развития финансового рынка до 2030 года:</w:t>
      </w:r>
    </w:p>
    <w:p w14:paraId="51E82D46"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выпуск «народных» облигаций.</w:t>
      </w:r>
    </w:p>
    <w:p w14:paraId="531DAFF8"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Работа по формированию финансовой культуры граждан в 2025 году проводилась по различным направлениям.</w:t>
      </w:r>
    </w:p>
    <w:p w14:paraId="34F49942"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1. В рамках ежемесячной акции «Финансовая грамотность – первый шаг. Финансовая культура – наше будущее» проведено 8 346 мероприятий</w:t>
      </w:r>
      <w:r w:rsidRPr="00250BEC">
        <w:rPr>
          <w:rFonts w:ascii="PT Astra Serif" w:eastAsia="Times New Roman" w:hAnsi="PT Astra Serif" w:cs="Times New Roman"/>
          <w:szCs w:val="28"/>
          <w:lang w:eastAsia="ru-RU"/>
        </w:rPr>
        <w:br/>
        <w:t>в которых приняло участие 213 565 жителей.</w:t>
      </w:r>
    </w:p>
    <w:p w14:paraId="26A83C7D"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 Ульяновская область активно принимала участие во Всероссийской просветительской эстафете «Мои финансы». По итогам проведения данных этапов организовано 3 374 мероприятий, участие в которых приняло</w:t>
      </w:r>
      <w:r w:rsidRPr="00250BEC">
        <w:rPr>
          <w:rFonts w:ascii="PT Astra Serif" w:eastAsia="Times New Roman" w:hAnsi="PT Astra Serif" w:cs="Times New Roman"/>
          <w:szCs w:val="28"/>
          <w:lang w:eastAsia="ru-RU"/>
        </w:rPr>
        <w:br/>
        <w:t>72 910 жителей Ульяновской области.</w:t>
      </w:r>
    </w:p>
    <w:p w14:paraId="1F255424"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3. Ульяновская область приняла участие во II Всероссийском фестивале сбережений и инвестиций. Организатором Фестиваля выступил Финансовый университет при Правительстве Российской Федерации, а главными партнерами Фестиваля стали Министерство финансов Российской Федерации и Научно-исследовательский финансовый институт Минфина России. Фестиваль проходил в три этапа: муниципальный, региональный </w:t>
      </w:r>
      <w:r w:rsidRPr="00250BEC">
        <w:rPr>
          <w:rFonts w:ascii="PT Astra Serif" w:eastAsia="Times New Roman" w:hAnsi="PT Astra Serif" w:cs="Times New Roman"/>
          <w:szCs w:val="28"/>
          <w:lang w:eastAsia="ru-RU"/>
        </w:rPr>
        <w:br/>
        <w:t xml:space="preserve">и федеральный. Муниципальный этап прошёл на территории региона с 12 мая по 15 июня, в нём приняло участие 185 семей из 23 муниципальных образований нашей области. В региональном этапе, который состоялся 21 июня, приняли участие 22 семьи. В федеральном этапе, который прошёл </w:t>
      </w:r>
      <w:r w:rsidRPr="00250BEC">
        <w:rPr>
          <w:rFonts w:ascii="PT Astra Serif" w:eastAsia="Times New Roman" w:hAnsi="PT Astra Serif" w:cs="Times New Roman"/>
          <w:szCs w:val="28"/>
          <w:lang w:eastAsia="ru-RU"/>
        </w:rPr>
        <w:br/>
        <w:t xml:space="preserve">с 6 по 7 сентября 2025 года в Москве, Ульяновскую область представила семья </w:t>
      </w:r>
      <w:proofErr w:type="spellStart"/>
      <w:r w:rsidRPr="00250BEC">
        <w:rPr>
          <w:rFonts w:ascii="PT Astra Serif" w:eastAsia="Times New Roman" w:hAnsi="PT Astra Serif" w:cs="Times New Roman"/>
          <w:szCs w:val="28"/>
          <w:lang w:eastAsia="ru-RU"/>
        </w:rPr>
        <w:t>Пензяковых</w:t>
      </w:r>
      <w:proofErr w:type="spellEnd"/>
      <w:r w:rsidRPr="00250BEC">
        <w:rPr>
          <w:rFonts w:ascii="PT Astra Serif" w:eastAsia="Times New Roman" w:hAnsi="PT Astra Serif" w:cs="Times New Roman"/>
          <w:szCs w:val="28"/>
          <w:lang w:eastAsia="ru-RU"/>
        </w:rPr>
        <w:t xml:space="preserve"> (Инзенский район), которые стали победителями федерального этапа Фестиваля в номинации «Самая бережливая семья».</w:t>
      </w:r>
    </w:p>
    <w:p w14:paraId="76199C8D"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4. В рамках работы по продвижению на территории Ульяновской области программы долгосрочных сбережений 19 - 20 июня 2025 года состоялись очные мероприятия с экспертами Министерства финансов Российской Федерации и саморегулируемой организации «Национальная ассоциация негосударственных пенсионных фондов». Эксперты встретились с трудовыми коллективами ООО «Ульяновский механический завод», </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 xml:space="preserve">ООО «Ульяновский моторный завод», а также провели встречу </w:t>
      </w:r>
      <w:r w:rsidRPr="00250BEC">
        <w:rPr>
          <w:rFonts w:ascii="PT Astra Serif" w:eastAsia="Times New Roman" w:hAnsi="PT Astra Serif" w:cs="Times New Roman"/>
          <w:szCs w:val="28"/>
          <w:lang w:eastAsia="ru-RU"/>
        </w:rPr>
        <w:br/>
        <w:t xml:space="preserve">с руководителями профсоюзов и отделов кадров крупных предприятий региона. Кроме того, состоялись радио – и телетрансляции по продвижению программы долгосрочных сбережений в следующих средствах массовой информации: в эфире радио «2x2», в эфире передачи «Тема дня» на ГТРК «Волга», в рубрике «Гость в студии» на </w:t>
      </w:r>
      <w:proofErr w:type="spellStart"/>
      <w:r w:rsidRPr="00250BEC">
        <w:rPr>
          <w:rFonts w:ascii="PT Astra Serif" w:eastAsia="Times New Roman" w:hAnsi="PT Astra Serif" w:cs="Times New Roman"/>
          <w:szCs w:val="28"/>
          <w:lang w:eastAsia="ru-RU"/>
        </w:rPr>
        <w:t>УлПравда</w:t>
      </w:r>
      <w:proofErr w:type="spellEnd"/>
      <w:r w:rsidRPr="00250BEC">
        <w:rPr>
          <w:rFonts w:ascii="PT Astra Serif" w:eastAsia="Times New Roman" w:hAnsi="PT Astra Serif" w:cs="Times New Roman"/>
          <w:szCs w:val="28"/>
          <w:lang w:eastAsia="ru-RU"/>
        </w:rPr>
        <w:t xml:space="preserve"> ТВ.</w:t>
      </w:r>
    </w:p>
    <w:p w14:paraId="4F97C542"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5. Также на территории Ульяновской области состоялся региональный этап IV Всероссийского чемпионата по финансовой грамотности среди лиц пенсионного возраста. Организатором Чемпионата выступил Российский экономический университет имени Г.В. Плеханова. Участниками чемпионата стали 47 пенсионеров из разных уголков Ульяновской области.</w:t>
      </w:r>
    </w:p>
    <w:p w14:paraId="0C774E85"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6. Ульяновская область второй год участвовала во Всероссийском конкурсе «Столица финансовой культуры», организованном Министерством финансов Российской Федерации и Центробанком России.</w:t>
      </w:r>
    </w:p>
    <w:p w14:paraId="580BFA1D"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Цель конкурса - выявить регионы-лидеры в повышении финансовой грамотности населения и внедрении соответствующих практик.</w:t>
      </w:r>
    </w:p>
    <w:p w14:paraId="5E871468"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итогам 2024 года Ульяновская область вошла в ТОП-12 субъектов России по уровню развития региональной инфраструктуры финансового просвещения. По итогам 2025 года Ульяновская область также вышла в финал конкурса.</w:t>
      </w:r>
    </w:p>
    <w:p w14:paraId="7F26CCDE"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2025 году была продолжена работа по оказанию содействия </w:t>
      </w:r>
      <w:r w:rsidRPr="00250BEC">
        <w:rPr>
          <w:rFonts w:ascii="PT Astra Serif" w:eastAsia="Times New Roman" w:hAnsi="PT Astra Serif" w:cs="Times New Roman"/>
          <w:szCs w:val="28"/>
          <w:lang w:eastAsia="ru-RU"/>
        </w:rPr>
        <w:br/>
        <w:t>в организации дистанционного обучения на базе федеральных методических центров повышения финансовой грамотности населения.</w:t>
      </w:r>
    </w:p>
    <w:p w14:paraId="0E8E60DB"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Федеральном методическом центре финансовой грамотности населения РЭУ им. Г.В. Плеханова обучено 32 консультанта по программе «Формы и методы организации массовой работы по финансовому просвещению лиц </w:t>
      </w:r>
      <w:proofErr w:type="spellStart"/>
      <w:r w:rsidRPr="00250BEC">
        <w:rPr>
          <w:rFonts w:ascii="PT Astra Serif" w:eastAsia="Times New Roman" w:hAnsi="PT Astra Serif" w:cs="Times New Roman"/>
          <w:szCs w:val="28"/>
          <w:lang w:eastAsia="ru-RU"/>
        </w:rPr>
        <w:t>предпенсионного</w:t>
      </w:r>
      <w:proofErr w:type="spellEnd"/>
      <w:r w:rsidRPr="00250BEC">
        <w:rPr>
          <w:rFonts w:ascii="PT Astra Serif" w:eastAsia="Times New Roman" w:hAnsi="PT Astra Serif" w:cs="Times New Roman"/>
          <w:szCs w:val="28"/>
          <w:lang w:eastAsia="ru-RU"/>
        </w:rPr>
        <w:t xml:space="preserve"> и пенсионного возраста.</w:t>
      </w:r>
    </w:p>
    <w:p w14:paraId="07265CF2" w14:textId="77777777" w:rsidR="00250BEC" w:rsidRPr="00250BEC" w:rsidRDefault="00250BEC" w:rsidP="00250BEC">
      <w:pPr>
        <w:widowControl w:val="0"/>
        <w:tabs>
          <w:tab w:val="left" w:pos="1875"/>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На базе Института финансовой грамотности ФГОБУ ВО «Финансовый университет при Правительстве Российской Федерации» 20 консультантов прошли обучение по программе «Управление финансами </w:t>
      </w:r>
      <w:r w:rsidRPr="00250BEC">
        <w:rPr>
          <w:rFonts w:ascii="PT Astra Serif" w:eastAsia="Times New Roman" w:hAnsi="PT Astra Serif" w:cs="Times New Roman"/>
          <w:szCs w:val="28"/>
          <w:lang w:eastAsia="ru-RU"/>
        </w:rPr>
        <w:br/>
        <w:t>в предпринимательской деятельности» и 2 консультанта повысили квалификацию по программе «Финансовое просвещение в трудовых коллективах».</w:t>
      </w:r>
    </w:p>
    <w:p w14:paraId="65C869E8"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7. В части противодействия финансовому мошенничеству применён комплексный подход в информировании населения нашего региона. Работа проводится совместно с УМВД России по Ульяновской области, Ульяновским отделением ПАО Сбербанк.</w:t>
      </w:r>
    </w:p>
    <w:p w14:paraId="5493D9BF"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8. Отдельное внимание в 2025 году было уделено работе со взрослым населением, так как в современном мире финансовая нестабильность влияет на уровень стресса и производительность сотрудников, а число совершенных мошенничеств бьёт рекорды. Данная работа проводится, в том числе при содействии Областного союза «Федерации профсоюзов</w:t>
      </w:r>
      <w:r w:rsidRPr="00250BEC">
        <w:rPr>
          <w:rFonts w:ascii="PT Astra Serif" w:eastAsia="Times New Roman" w:hAnsi="PT Astra Serif" w:cs="Times New Roman"/>
          <w:spacing w:val="-20"/>
          <w:szCs w:val="28"/>
          <w:lang w:eastAsia="ru-RU"/>
        </w:rPr>
        <w:t xml:space="preserve"> </w:t>
      </w:r>
      <w:r w:rsidRPr="00250BEC">
        <w:rPr>
          <w:rFonts w:ascii="PT Astra Serif" w:eastAsia="Times New Roman" w:hAnsi="PT Astra Serif" w:cs="Times New Roman"/>
          <w:szCs w:val="28"/>
          <w:lang w:eastAsia="ru-RU"/>
        </w:rPr>
        <w:t>Ульяновской области».</w:t>
      </w:r>
    </w:p>
    <w:p w14:paraId="471566E1" w14:textId="77777777" w:rsidR="00250BEC" w:rsidRPr="00250BEC" w:rsidRDefault="00250BEC" w:rsidP="00250BEC">
      <w:pPr>
        <w:widowControl w:val="0"/>
        <w:tabs>
          <w:tab w:val="left" w:pos="113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9. Развитие волонтерской деятельности. Центром развития инициативного бюджетирования и финансовой грамотности в октябре 2025 </w:t>
      </w:r>
      <w:r w:rsidRPr="00250BEC">
        <w:rPr>
          <w:rFonts w:ascii="PT Astra Serif" w:eastAsia="Times New Roman" w:hAnsi="PT Astra Serif" w:cs="Times New Roman"/>
          <w:szCs w:val="28"/>
          <w:lang w:eastAsia="ru-RU"/>
        </w:rPr>
        <w:lastRenderedPageBreak/>
        <w:t>года для будущих волонтёров финансового просвещения Ресурсного центра финансовой культуры «</w:t>
      </w:r>
      <w:proofErr w:type="spellStart"/>
      <w:r w:rsidRPr="00250BEC">
        <w:rPr>
          <w:rFonts w:ascii="PT Astra Serif" w:eastAsia="Times New Roman" w:hAnsi="PT Astra Serif" w:cs="Times New Roman"/>
          <w:szCs w:val="28"/>
          <w:lang w:eastAsia="ru-RU"/>
        </w:rPr>
        <w:t>Финграм</w:t>
      </w:r>
      <w:proofErr w:type="spellEnd"/>
      <w:r w:rsidRPr="00250BEC">
        <w:rPr>
          <w:rFonts w:ascii="PT Astra Serif" w:eastAsia="Times New Roman" w:hAnsi="PT Astra Serif" w:cs="Times New Roman"/>
          <w:szCs w:val="28"/>
          <w:lang w:eastAsia="ru-RU"/>
        </w:rPr>
        <w:t>», начавшего свою работу при поддержке Фонда президентских грантов, организована серия обучающих семинаров по основным темам финансового просвещения и подготовлено еще 30 волонтеров финансового просвещения.</w:t>
      </w:r>
    </w:p>
    <w:p w14:paraId="1B188E32" w14:textId="77777777" w:rsidR="00250BEC" w:rsidRPr="00250BEC" w:rsidRDefault="00250BEC" w:rsidP="00250BEC">
      <w:pPr>
        <w:widowControl w:val="0"/>
        <w:tabs>
          <w:tab w:val="left" w:pos="709"/>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регионе продолжена работа по интеграции инициативного бюджетирования и финансового просвещения на базе Центра развития инициативного бюджетирования и финансовой грамотности Министерства финансов Ульяновской области, демонстрируя высокие показатели охвата населения, инновационные подходы и признание на федеральном уровне.</w:t>
      </w:r>
    </w:p>
    <w:p w14:paraId="1813E072" w14:textId="77777777" w:rsidR="00250BEC" w:rsidRPr="00250BEC" w:rsidRDefault="00250BEC" w:rsidP="00250BEC">
      <w:pPr>
        <w:widowControl w:val="0"/>
        <w:tabs>
          <w:tab w:val="left" w:pos="709"/>
        </w:tabs>
        <w:rPr>
          <w:rFonts w:ascii="PT Astra Serif" w:eastAsia="Times New Roman" w:hAnsi="PT Astra Serif" w:cs="Times New Roman"/>
          <w:szCs w:val="28"/>
          <w:lang w:eastAsia="ru-RU"/>
        </w:rPr>
      </w:pPr>
      <w:r w:rsidRPr="00250BEC">
        <w:rPr>
          <w:rFonts w:ascii="PT Astra Serif" w:eastAsia="Times New Roman" w:hAnsi="PT Astra Serif" w:cs="Times New Roman"/>
          <w:bCs/>
          <w:spacing w:val="-4"/>
          <w:szCs w:val="28"/>
          <w:lang w:eastAsia="ru-RU"/>
        </w:rPr>
        <w:t xml:space="preserve">В 2025 году реализовано 148 инициатив муниципальных образований Ульяновской области на общую сумму 275,3 млн рублей, из них </w:t>
      </w:r>
      <w:proofErr w:type="spellStart"/>
      <w:r w:rsidRPr="00250BEC">
        <w:rPr>
          <w:rFonts w:ascii="PT Astra Serif" w:eastAsia="Times New Roman" w:hAnsi="PT Astra Serif" w:cs="Times New Roman"/>
          <w:bCs/>
          <w:spacing w:val="-4"/>
          <w:szCs w:val="28"/>
          <w:lang w:eastAsia="ru-RU"/>
        </w:rPr>
        <w:t>софинансирование</w:t>
      </w:r>
      <w:proofErr w:type="spellEnd"/>
      <w:r w:rsidRPr="00250BEC">
        <w:rPr>
          <w:rFonts w:ascii="PT Astra Serif" w:eastAsia="Times New Roman" w:hAnsi="PT Astra Serif" w:cs="Times New Roman"/>
          <w:bCs/>
          <w:spacing w:val="-4"/>
          <w:szCs w:val="28"/>
          <w:lang w:eastAsia="ru-RU"/>
        </w:rPr>
        <w:t xml:space="preserve"> за счёт средств областного бюджета Ульяновской области – 196,3 млн рублей.</w:t>
      </w:r>
    </w:p>
    <w:p w14:paraId="4D962571" w14:textId="77777777" w:rsidR="00250BEC" w:rsidRPr="00250BEC" w:rsidRDefault="00250BEC" w:rsidP="00250BEC">
      <w:pPr>
        <w:widowControl w:val="0"/>
        <w:tabs>
          <w:tab w:val="left" w:pos="709"/>
        </w:tabs>
        <w:rPr>
          <w:rFonts w:ascii="PT Astra Serif" w:eastAsia="Times New Roman" w:hAnsi="PT Astra Serif" w:cs="Times New Roman"/>
          <w:szCs w:val="28"/>
          <w:lang w:eastAsia="ru-RU"/>
        </w:rPr>
      </w:pPr>
      <w:r w:rsidRPr="00250BEC">
        <w:rPr>
          <w:rFonts w:ascii="PT Astra Serif" w:eastAsia="Times New Roman" w:hAnsi="PT Astra Serif" w:cs="Times New Roman"/>
          <w:szCs w:val="24"/>
          <w:lang w:eastAsia="ru-RU"/>
        </w:rPr>
        <w:t>Доля населения Ульяновской области, получившего пользу в результате реализации проектов развития, в общей численности населения Ульяновской области - 22,8%</w:t>
      </w:r>
      <w:r w:rsidRPr="00250BEC">
        <w:rPr>
          <w:rFonts w:ascii="PT Astra Serif" w:eastAsia="Times New Roman" w:hAnsi="PT Astra Serif" w:cs="Times New Roman"/>
          <w:bCs/>
          <w:szCs w:val="28"/>
          <w:lang w:eastAsia="ru-RU"/>
        </w:rPr>
        <w:t>.</w:t>
      </w:r>
    </w:p>
    <w:p w14:paraId="14274A74" w14:textId="77777777" w:rsidR="00250BEC" w:rsidRPr="00250BEC" w:rsidRDefault="00250BEC" w:rsidP="00250BEC">
      <w:pPr>
        <w:widowControl w:val="0"/>
        <w:tabs>
          <w:tab w:val="left" w:pos="0"/>
          <w:tab w:val="left" w:pos="1276"/>
        </w:tabs>
        <w:rPr>
          <w:rFonts w:ascii="PT Astra Serif" w:eastAsia="Times New Roman" w:hAnsi="PT Astra Serif" w:cs="Arial"/>
          <w:b/>
          <w:color w:val="1A1A1A"/>
          <w:szCs w:val="28"/>
          <w:lang w:eastAsia="x-none"/>
        </w:rPr>
      </w:pPr>
      <w:r w:rsidRPr="00250BEC">
        <w:rPr>
          <w:rFonts w:ascii="PT Astra Serif" w:eastAsia="Times New Roman" w:hAnsi="PT Astra Serif" w:cs="Arial"/>
          <w:b/>
          <w:color w:val="1A1A1A"/>
          <w:szCs w:val="28"/>
          <w:lang w:eastAsia="x-none"/>
        </w:rPr>
        <w:t>Нововведения 2025 года:</w:t>
      </w:r>
    </w:p>
    <w:p w14:paraId="425FF4EB" w14:textId="77777777" w:rsidR="00250BEC" w:rsidRPr="00250BEC" w:rsidRDefault="00250BEC" w:rsidP="00250BEC">
      <w:pPr>
        <w:widowControl w:val="0"/>
        <w:tabs>
          <w:tab w:val="left" w:pos="0"/>
          <w:tab w:val="left" w:pos="1276"/>
        </w:tabs>
        <w:rPr>
          <w:rFonts w:ascii="PT Astra Serif" w:eastAsia="Times New Roman" w:hAnsi="PT Astra Serif" w:cs="Times New Roman"/>
          <w:szCs w:val="28"/>
          <w:lang w:eastAsia="x-none"/>
        </w:rPr>
      </w:pPr>
      <w:r w:rsidRPr="00250BEC">
        <w:rPr>
          <w:rFonts w:ascii="PT Astra Serif" w:eastAsia="Times New Roman" w:hAnsi="PT Astra Serif" w:cs="Arial"/>
          <w:color w:val="1A1A1A"/>
          <w:szCs w:val="28"/>
          <w:lang w:eastAsia="x-none"/>
        </w:rPr>
        <w:t xml:space="preserve">в рамках программы поддержки местных инициатив было выделено </w:t>
      </w:r>
      <w:r w:rsidRPr="00250BEC">
        <w:rPr>
          <w:rFonts w:ascii="PT Astra Serif" w:eastAsia="Times New Roman" w:hAnsi="PT Astra Serif" w:cs="Arial"/>
          <w:color w:val="1A1A1A"/>
          <w:szCs w:val="28"/>
          <w:lang w:val="x-none" w:eastAsia="x-none"/>
        </w:rPr>
        <w:t>ново</w:t>
      </w:r>
      <w:r w:rsidRPr="00250BEC">
        <w:rPr>
          <w:rFonts w:ascii="PT Astra Serif" w:eastAsia="Times New Roman" w:hAnsi="PT Astra Serif" w:cs="Arial"/>
          <w:color w:val="1A1A1A"/>
          <w:szCs w:val="28"/>
          <w:lang w:eastAsia="x-none"/>
        </w:rPr>
        <w:t>е</w:t>
      </w:r>
      <w:r w:rsidRPr="00250BEC">
        <w:rPr>
          <w:rFonts w:ascii="PT Astra Serif" w:eastAsia="Times New Roman" w:hAnsi="PT Astra Serif" w:cs="Arial"/>
          <w:color w:val="1A1A1A"/>
          <w:szCs w:val="28"/>
          <w:lang w:val="x-none" w:eastAsia="x-none"/>
        </w:rPr>
        <w:t xml:space="preserve"> </w:t>
      </w:r>
      <w:r w:rsidRPr="00250BEC">
        <w:rPr>
          <w:rFonts w:ascii="PT Astra Serif" w:eastAsia="Times New Roman" w:hAnsi="PT Astra Serif" w:cs="Times New Roman"/>
          <w:szCs w:val="28"/>
          <w:lang w:val="x-none" w:eastAsia="x-none"/>
        </w:rPr>
        <w:t>направлени</w:t>
      </w:r>
      <w:r w:rsidRPr="00250BEC">
        <w:rPr>
          <w:rFonts w:ascii="PT Astra Serif" w:eastAsia="Times New Roman" w:hAnsi="PT Astra Serif" w:cs="Times New Roman"/>
          <w:szCs w:val="28"/>
          <w:lang w:eastAsia="x-none"/>
        </w:rPr>
        <w:t xml:space="preserve">е </w:t>
      </w:r>
      <w:r w:rsidRPr="00250BEC">
        <w:rPr>
          <w:rFonts w:ascii="PT Astra Serif" w:eastAsia="Times New Roman" w:hAnsi="PT Astra Serif" w:cs="Times New Roman"/>
          <w:szCs w:val="28"/>
          <w:lang w:val="x-none" w:eastAsia="x-none"/>
        </w:rPr>
        <w:t>«инициативы в сфере дорожной деятельности», источником финансового обеспечения которого является дорожный фонд Ульяновской области. По данному направлению администрации муниципальны</w:t>
      </w:r>
      <w:r w:rsidRPr="00250BEC">
        <w:rPr>
          <w:rFonts w:ascii="PT Astra Serif" w:eastAsia="Times New Roman" w:hAnsi="PT Astra Serif" w:cs="Times New Roman"/>
          <w:szCs w:val="28"/>
          <w:lang w:eastAsia="x-none"/>
        </w:rPr>
        <w:t>х</w:t>
      </w:r>
      <w:r w:rsidRPr="00250BEC">
        <w:rPr>
          <w:rFonts w:ascii="PT Astra Serif" w:eastAsia="Times New Roman" w:hAnsi="PT Astra Serif" w:cs="Times New Roman"/>
          <w:szCs w:val="28"/>
          <w:lang w:val="x-none" w:eastAsia="x-none"/>
        </w:rPr>
        <w:t xml:space="preserve"> район</w:t>
      </w:r>
      <w:r w:rsidRPr="00250BEC">
        <w:rPr>
          <w:rFonts w:ascii="PT Astra Serif" w:eastAsia="Times New Roman" w:hAnsi="PT Astra Serif" w:cs="Times New Roman"/>
          <w:szCs w:val="28"/>
          <w:lang w:eastAsia="x-none"/>
        </w:rPr>
        <w:t>ов</w:t>
      </w:r>
      <w:r w:rsidRPr="00250BEC">
        <w:rPr>
          <w:rFonts w:ascii="PT Astra Serif" w:eastAsia="Times New Roman" w:hAnsi="PT Astra Serif" w:cs="Times New Roman"/>
          <w:szCs w:val="28"/>
          <w:lang w:val="x-none" w:eastAsia="x-none"/>
        </w:rPr>
        <w:t xml:space="preserve"> и муниципальных округов могут получить</w:t>
      </w:r>
      <w:r w:rsidRPr="00250BEC">
        <w:rPr>
          <w:rFonts w:ascii="PT Astra Serif" w:eastAsia="Times New Roman" w:hAnsi="PT Astra Serif" w:cs="Times New Roman"/>
          <w:szCs w:val="28"/>
          <w:lang w:eastAsia="x-none"/>
        </w:rPr>
        <w:t xml:space="preserve"> </w:t>
      </w:r>
      <w:r w:rsidRPr="00250BEC">
        <w:rPr>
          <w:rFonts w:ascii="PT Astra Serif" w:eastAsia="Times New Roman" w:hAnsi="PT Astra Serif" w:cs="Times New Roman"/>
          <w:szCs w:val="28"/>
          <w:lang w:val="x-none" w:eastAsia="x-none"/>
        </w:rPr>
        <w:t>до 10 миллионов рублей на реализацию проектов</w:t>
      </w:r>
      <w:r w:rsidRPr="00250BEC">
        <w:rPr>
          <w:rFonts w:ascii="PT Astra Serif" w:eastAsia="Times New Roman" w:hAnsi="PT Astra Serif" w:cs="Times New Roman"/>
          <w:szCs w:val="28"/>
          <w:lang w:eastAsia="x-none"/>
        </w:rPr>
        <w:t>;</w:t>
      </w:r>
    </w:p>
    <w:p w14:paraId="7643BEB9" w14:textId="77777777" w:rsidR="00250BEC" w:rsidRPr="00250BEC" w:rsidRDefault="00250BEC" w:rsidP="00250BEC">
      <w:pPr>
        <w:widowControl w:val="0"/>
        <w:tabs>
          <w:tab w:val="left" w:pos="0"/>
          <w:tab w:val="left" w:pos="1276"/>
        </w:tabs>
        <w:rPr>
          <w:rFonts w:ascii="PT Astra Serif" w:eastAsia="Times New Roman" w:hAnsi="PT Astra Serif" w:cs="Arial"/>
          <w:color w:val="1A1A1A"/>
          <w:szCs w:val="28"/>
          <w:lang w:eastAsia="x-none"/>
        </w:rPr>
      </w:pPr>
      <w:r w:rsidRPr="00250BEC">
        <w:rPr>
          <w:rFonts w:ascii="PT Astra Serif" w:eastAsia="Times New Roman" w:hAnsi="PT Astra Serif" w:cs="Arial"/>
          <w:color w:val="1A1A1A"/>
          <w:szCs w:val="28"/>
          <w:lang w:eastAsia="x-none"/>
        </w:rPr>
        <w:t xml:space="preserve">запущен чат-бот на платформе </w:t>
      </w:r>
      <w:proofErr w:type="spellStart"/>
      <w:r w:rsidRPr="00250BEC">
        <w:rPr>
          <w:rFonts w:ascii="PT Astra Serif" w:eastAsia="Times New Roman" w:hAnsi="PT Astra Serif" w:cs="Arial"/>
          <w:color w:val="1A1A1A"/>
          <w:szCs w:val="28"/>
          <w:lang w:eastAsia="x-none"/>
        </w:rPr>
        <w:t>Telegram</w:t>
      </w:r>
      <w:proofErr w:type="spellEnd"/>
      <w:r w:rsidRPr="00250BEC">
        <w:rPr>
          <w:rFonts w:ascii="PT Astra Serif" w:eastAsia="Times New Roman" w:hAnsi="PT Astra Serif" w:cs="Arial"/>
          <w:color w:val="1A1A1A"/>
          <w:szCs w:val="28"/>
          <w:lang w:eastAsia="x-none"/>
        </w:rPr>
        <w:t>, с помощью которого можно быстро найти ответы на самые популярные вопросы, касающиеся разработки и реализации проектов. Бот разработан как для победителей конкурсного отбора, так и для тех, кто еще не участвовал в проекте.</w:t>
      </w:r>
    </w:p>
    <w:p w14:paraId="1FF8B9DE" w14:textId="77777777" w:rsidR="00250BEC" w:rsidRPr="00250BEC" w:rsidRDefault="00250BEC" w:rsidP="00250BEC">
      <w:pPr>
        <w:widowControl w:val="0"/>
        <w:autoSpaceDE w:val="0"/>
        <w:autoSpaceDN w:val="0"/>
        <w:adjustRightInd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Докладе о лучших практиках развития инициативного бюджетирования в субъектах Российской Федерации и муниципальных образованиях за 2024 год Ульяновская область отмечена в числе лучших</w:t>
      </w:r>
      <w:r w:rsidRPr="00250BEC">
        <w:rPr>
          <w:rFonts w:ascii="PT Astra Serif" w:eastAsia="Times New Roman" w:hAnsi="PT Astra Serif" w:cs="Times New Roman"/>
          <w:szCs w:val="28"/>
          <w:lang w:eastAsia="ru-RU"/>
        </w:rPr>
        <w:br/>
        <w:t>в номинации «Инновационный подход в развитии инициативного бюджетирования».</w:t>
      </w:r>
    </w:p>
    <w:p w14:paraId="23FF3A77"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С 10 по 11 апреля 2025 года в г. Ульяновске при поддержке Научно-исследовательского финансового института Министерства финансов Российской Федерации и Союза Финансистов России проведена Всероссийская конференция «Финансирование и </w:t>
      </w:r>
      <w:proofErr w:type="spellStart"/>
      <w:r w:rsidRPr="00250BEC">
        <w:rPr>
          <w:rFonts w:ascii="PT Astra Serif" w:eastAsia="Times New Roman" w:hAnsi="PT Astra Serif" w:cs="Times New Roman"/>
          <w:szCs w:val="28"/>
          <w:lang w:eastAsia="ru-RU"/>
        </w:rPr>
        <w:t>софинансирование</w:t>
      </w:r>
      <w:proofErr w:type="spellEnd"/>
      <w:r w:rsidRPr="00250BEC">
        <w:rPr>
          <w:rFonts w:ascii="PT Astra Serif" w:eastAsia="Times New Roman" w:hAnsi="PT Astra Serif" w:cs="Times New Roman"/>
          <w:szCs w:val="28"/>
          <w:lang w:eastAsia="ru-RU"/>
        </w:rPr>
        <w:t xml:space="preserve"> инициативного бюджетирования в Российской Федерации».</w:t>
      </w:r>
    </w:p>
    <w:p w14:paraId="11729F48"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Конференция стала площадкой для обсуждения актуальных вопросов </w:t>
      </w:r>
      <w:r w:rsidRPr="00250BEC">
        <w:rPr>
          <w:rFonts w:ascii="PT Astra Serif" w:eastAsia="Times New Roman" w:hAnsi="PT Astra Serif" w:cs="Times New Roman"/>
          <w:szCs w:val="28"/>
          <w:lang w:eastAsia="ru-RU"/>
        </w:rPr>
        <w:br/>
        <w:t xml:space="preserve">в сфере финансирования и </w:t>
      </w:r>
      <w:proofErr w:type="spellStart"/>
      <w:r w:rsidRPr="00250BEC">
        <w:rPr>
          <w:rFonts w:ascii="PT Astra Serif" w:eastAsia="Times New Roman" w:hAnsi="PT Astra Serif" w:cs="Times New Roman"/>
          <w:szCs w:val="28"/>
          <w:lang w:eastAsia="ru-RU"/>
        </w:rPr>
        <w:t>софинансирования</w:t>
      </w:r>
      <w:proofErr w:type="spellEnd"/>
      <w:r w:rsidRPr="00250BEC">
        <w:rPr>
          <w:rFonts w:ascii="PT Astra Serif" w:eastAsia="Times New Roman" w:hAnsi="PT Astra Serif" w:cs="Times New Roman"/>
          <w:szCs w:val="28"/>
          <w:lang w:eastAsia="ru-RU"/>
        </w:rPr>
        <w:t xml:space="preserve"> практик инициативного бюджетирования в Российской Федерации, государственных, муниципальных программ как инструмента финансирования инициативного бюджетирования, представления моделей сферы общественного инвестирования, применения цифровых, платформенных, банковских решений в области взаимодействия с гражданами.</w:t>
      </w:r>
    </w:p>
    <w:p w14:paraId="75553B89"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lastRenderedPageBreak/>
        <w:t xml:space="preserve">В Конференции приняли участие около 150 человек из более 20 регионов России: представители федеральных и региональных органов государственной власти, органов местного самоуправления, научного </w:t>
      </w:r>
      <w:r w:rsidRPr="00250BEC">
        <w:rPr>
          <w:rFonts w:ascii="PT Astra Serif" w:eastAsia="Times New Roman" w:hAnsi="PT Astra Serif" w:cs="Times New Roman"/>
          <w:szCs w:val="28"/>
          <w:lang w:eastAsia="ru-RU"/>
        </w:rPr>
        <w:br/>
        <w:t>и экспертного сообществ, финансовых институтов, объединений, реализующих различные модели инициативного бюджетирования на территории России, главы администраций муниципальных образований, кураторы инициативного бюджетирования в муниципальных образованиях Ульяновской области.</w:t>
      </w:r>
    </w:p>
    <w:p w14:paraId="61D9E151" w14:textId="77777777" w:rsidR="00250BEC" w:rsidRPr="00250BEC" w:rsidRDefault="00250BEC" w:rsidP="00250BEC">
      <w:pPr>
        <w:widowControl w:val="0"/>
        <w:contextualSpacing/>
        <w:rPr>
          <w:rFonts w:ascii="PT Astra Serif" w:eastAsia="Times New Roman" w:hAnsi="PT Astra Serif" w:cs="Times New Roman"/>
          <w:szCs w:val="28"/>
          <w:lang w:eastAsia="ru-RU"/>
        </w:rPr>
      </w:pPr>
    </w:p>
    <w:p w14:paraId="7EA5C5A7"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 xml:space="preserve">Повышение эффективности финансовых взаимоотношений </w:t>
      </w:r>
      <w:r w:rsidRPr="00250BEC">
        <w:rPr>
          <w:rFonts w:ascii="PT Astra Serif" w:eastAsia="Times New Roman" w:hAnsi="PT Astra Serif" w:cs="Times New Roman"/>
          <w:b/>
          <w:szCs w:val="28"/>
          <w:lang w:eastAsia="ru-RU"/>
        </w:rPr>
        <w:br/>
        <w:t>с бюджетами муниципальных образований</w:t>
      </w:r>
    </w:p>
    <w:p w14:paraId="389C80B8"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
    <w:p w14:paraId="6702DFCB"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рамках решения задач по обеспечению сбалансированности</w:t>
      </w:r>
      <w:r w:rsidRPr="00250BEC">
        <w:rPr>
          <w:rFonts w:ascii="PT Astra Serif" w:eastAsia="Times New Roman" w:hAnsi="PT Astra Serif" w:cs="Times New Roman"/>
          <w:szCs w:val="28"/>
          <w:lang w:eastAsia="ru-RU"/>
        </w:rPr>
        <w:br/>
        <w:t>и устойчивости бюджетов муниципальных образований Ульяновской области и совершенствованию межбюджетных отношений 31,3% расходов областного бюджета Ульяновской области в 2025 году было направлено на оказание финансовой помощи бюджетам муниципальных образований Ульяновской области.</w:t>
      </w:r>
    </w:p>
    <w:p w14:paraId="74505D7D"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object w:dxaOrig="7051" w:dyaOrig="3949" w14:anchorId="21769C6E">
          <v:shape id="_x0000_i1031" type="#_x0000_t75" style="width:366.9pt;height:204.75pt" o:ole="">
            <v:imagedata r:id="rId42" o:title=""/>
          </v:shape>
          <o:OLEObject Type="Embed" ProgID="PowerPoint.Slide.12" ShapeID="_x0000_i1031" DrawAspect="Content" ObjectID="_1836648854" r:id="rId43"/>
        </w:object>
      </w:r>
    </w:p>
    <w:p w14:paraId="4A1F7015" w14:textId="77777777" w:rsidR="00250BEC" w:rsidRPr="00250BEC" w:rsidRDefault="00250BEC" w:rsidP="00250BEC">
      <w:pPr>
        <w:widowControl w:val="0"/>
        <w:tabs>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Объём межбюджетных трансфертов бюджетам муниципальных образований Ульяновской области за 2025 год составил 35 643,8 млн рублей, что на 5,7% или на 1 931,8 млн рублей больше уровня 2024 года (33 712,0 млн рублей).</w:t>
      </w:r>
    </w:p>
    <w:p w14:paraId="331BB038" w14:textId="77777777" w:rsidR="00250BEC" w:rsidRPr="00250BEC" w:rsidRDefault="00250BEC" w:rsidP="00250BEC">
      <w:pPr>
        <w:widowControl w:val="0"/>
        <w:tabs>
          <w:tab w:val="left" w:pos="284"/>
          <w:tab w:val="left" w:pos="709"/>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Дотации бюджетам муниципальных образований Ульяновской области были перечислены в общей сумме 4 569,5 млн рублей, что на 0,7% или на 32,2 млн рублей больше уровня 2024 года. Из них дотации на выравнивание бюджетной обеспеченности перечислены в сумме 4 176,9 млн рублей или </w:t>
      </w:r>
      <w:r w:rsidRPr="00250BEC">
        <w:rPr>
          <w:rFonts w:ascii="PT Astra Serif" w:eastAsia="Times New Roman" w:hAnsi="PT Astra Serif" w:cs="Times New Roman"/>
          <w:szCs w:val="28"/>
          <w:lang w:eastAsia="ru-RU"/>
        </w:rPr>
        <w:br/>
        <w:t xml:space="preserve">с ростом к уровню 2024 года на 20,0%, что позволило сократить дифференциацию уровня расчётной бюджетной обеспеченности муниципальных образований Ульяновской области в 3,4 раза. Дотации на сбалансированность местных бюджетов были перечислены за 2025 год </w:t>
      </w:r>
      <w:r w:rsidRPr="00250BEC">
        <w:rPr>
          <w:rFonts w:ascii="PT Astra Serif" w:eastAsia="Times New Roman" w:hAnsi="PT Astra Serif" w:cs="Times New Roman"/>
          <w:szCs w:val="28"/>
          <w:lang w:eastAsia="ru-RU"/>
        </w:rPr>
        <w:br/>
        <w:t>в сумме 300,0 млн рублей, что на 450,0 млн рублей меньше уровня 2024 года.</w:t>
      </w:r>
    </w:p>
    <w:p w14:paraId="48441EF9" w14:textId="77777777" w:rsidR="00250BEC" w:rsidRPr="00250BEC" w:rsidRDefault="00250BEC" w:rsidP="00250BEC">
      <w:pPr>
        <w:widowControl w:val="0"/>
        <w:tabs>
          <w:tab w:val="left" w:pos="284"/>
          <w:tab w:val="left" w:pos="709"/>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тоже время, муниципалитетам были перечислены иные </w:t>
      </w:r>
      <w:r w:rsidRPr="00250BEC">
        <w:rPr>
          <w:rFonts w:ascii="PT Astra Serif" w:eastAsia="Times New Roman" w:hAnsi="PT Astra Serif" w:cs="Times New Roman"/>
          <w:szCs w:val="28"/>
          <w:lang w:eastAsia="ru-RU"/>
        </w:rPr>
        <w:lastRenderedPageBreak/>
        <w:t>межбюджетные трансферты из резервного фонда Ульяновской области</w:t>
      </w:r>
      <w:r w:rsidRPr="00250BEC">
        <w:rPr>
          <w:rFonts w:ascii="PT Astra Serif" w:eastAsia="Times New Roman" w:hAnsi="PT Astra Serif" w:cs="Times New Roman"/>
          <w:szCs w:val="28"/>
          <w:lang w:eastAsia="ru-RU"/>
        </w:rPr>
        <w:br/>
        <w:t>в сумме 166,7 млн рублей. Это позволило выплатить заработную плату работникам муниципальных учреждений в полном объёме.</w:t>
      </w:r>
    </w:p>
    <w:p w14:paraId="78650CFF" w14:textId="77777777" w:rsidR="00250BEC" w:rsidRPr="00250BEC" w:rsidRDefault="00250BEC" w:rsidP="00250BEC">
      <w:pPr>
        <w:widowControl w:val="0"/>
        <w:tabs>
          <w:tab w:val="left" w:pos="284"/>
          <w:tab w:val="left" w:pos="709"/>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состоянию на 01.01.2026, как и в предыдущие годы, отсутствует кредиторская задолженность по выплате заработной платы работникам муниципальных учреждений.</w:t>
      </w:r>
    </w:p>
    <w:p w14:paraId="57B08AF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Распределение дотаций на выравнивание бюджетной обеспеченности на 2025 год осуществлялось в соответствии с методикой, утверждённой Законом Ульяновской области от 04.10.2011 № 142-ЗО «О межбюджетных отношениях в Ульяновской области».</w:t>
      </w:r>
    </w:p>
    <w:p w14:paraId="2AD04182" w14:textId="77777777" w:rsidR="00250BEC" w:rsidRPr="00250BEC" w:rsidRDefault="00250BEC" w:rsidP="00250BEC">
      <w:pPr>
        <w:widowControl w:val="0"/>
        <w:tabs>
          <w:tab w:val="left" w:pos="284"/>
          <w:tab w:val="left" w:pos="709"/>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Субсидии бюджетам муниципальных образований Ульяновской области были перечислены в сумме 10 783,0 млн рублей, что на 819,7 млн рублей меньше, чем в 2024 году.</w:t>
      </w:r>
    </w:p>
    <w:p w14:paraId="126DE3E8" w14:textId="77777777" w:rsidR="00250BEC" w:rsidRPr="00250BEC" w:rsidRDefault="00250BEC" w:rsidP="00250BEC">
      <w:pPr>
        <w:widowControl w:val="0"/>
        <w:tabs>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Субвенции на осуществление переданных государственных полномочий в 2025 году были перечислены бюджетам муниципальных образований Ульяновской области в общей сумме 18 512,7 млн рублей, что на 2 345,3 млн рублей или на 14,5% больше уровня 2024 года.</w:t>
      </w:r>
    </w:p>
    <w:p w14:paraId="1CCD004B"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Иные межбюджетные трансферты перечислены бюджетам муниципальных образований Ульяновской области в сумме 1 778,6 млн рублей, что на 374,0 млн рублей или на 26,6% больше уровня 2024 года,</w:t>
      </w:r>
      <w:r w:rsidRPr="00250BEC">
        <w:rPr>
          <w:rFonts w:ascii="PT Astra Serif" w:eastAsia="Times New Roman" w:hAnsi="PT Astra Serif" w:cs="Times New Roman"/>
          <w:szCs w:val="28"/>
          <w:lang w:eastAsia="ru-RU"/>
        </w:rPr>
        <w:br/>
        <w:t xml:space="preserve">в том числе впервые из областного бюджета было выделено 300,0 млн рублей </w:t>
      </w:r>
      <w:r w:rsidRPr="00250BEC">
        <w:rPr>
          <w:rFonts w:ascii="PT Astra Serif" w:eastAsia="Times New Roman" w:hAnsi="PT Astra Serif" w:cs="Times New Roman"/>
          <w:bCs/>
          <w:szCs w:val="28"/>
          <w:lang w:eastAsia="ru-RU"/>
        </w:rPr>
        <w:t>муниципальным образованиям, выполнившим ряд серьёзных условий (отсутствие кредиторской задолженности по казённым учреждениям, отсутствие роста задолженности по бюджетным учреждениям), на погашение просроченной кредиторской задолженности по страховым взносам. Это позволило п</w:t>
      </w:r>
      <w:r w:rsidRPr="00250BEC">
        <w:rPr>
          <w:rFonts w:ascii="PT Astra Serif" w:eastAsia="Times New Roman" w:hAnsi="PT Astra Serif" w:cs="Times New Roman"/>
          <w:szCs w:val="28"/>
          <w:lang w:eastAsia="ru-RU"/>
        </w:rPr>
        <w:t>олностью погасить задолженность по страховым взносам</w:t>
      </w:r>
      <w:r w:rsidRPr="00250BEC">
        <w:rPr>
          <w:rFonts w:ascii="PT Astra Serif" w:eastAsia="Times New Roman" w:hAnsi="PT Astra Serif" w:cs="Times New Roman"/>
          <w:szCs w:val="28"/>
          <w:lang w:eastAsia="ru-RU"/>
        </w:rPr>
        <w:br/>
        <w:t xml:space="preserve">в 2025 году Николаевскому, </w:t>
      </w:r>
      <w:proofErr w:type="spellStart"/>
      <w:r w:rsidRPr="00250BEC">
        <w:rPr>
          <w:rFonts w:ascii="PT Astra Serif" w:eastAsia="Times New Roman" w:hAnsi="PT Astra Serif" w:cs="Times New Roman"/>
          <w:szCs w:val="28"/>
          <w:lang w:eastAsia="ru-RU"/>
        </w:rPr>
        <w:t>Тереньгульскому</w:t>
      </w:r>
      <w:proofErr w:type="spellEnd"/>
      <w:r w:rsidRPr="00250BEC">
        <w:rPr>
          <w:rFonts w:ascii="PT Astra Serif" w:eastAsia="Times New Roman" w:hAnsi="PT Astra Serif" w:cs="Times New Roman"/>
          <w:szCs w:val="28"/>
          <w:lang w:eastAsia="ru-RU"/>
        </w:rPr>
        <w:t xml:space="preserve">, </w:t>
      </w:r>
      <w:proofErr w:type="spellStart"/>
      <w:r w:rsidRPr="00250BEC">
        <w:rPr>
          <w:rFonts w:ascii="PT Astra Serif" w:eastAsia="Times New Roman" w:hAnsi="PT Astra Serif" w:cs="Times New Roman"/>
          <w:szCs w:val="28"/>
          <w:lang w:eastAsia="ru-RU"/>
        </w:rPr>
        <w:t>Цильнинскому</w:t>
      </w:r>
      <w:proofErr w:type="spellEnd"/>
      <w:r w:rsidRPr="00250BEC">
        <w:rPr>
          <w:rFonts w:ascii="PT Astra Serif" w:eastAsia="Times New Roman" w:hAnsi="PT Astra Serif" w:cs="Times New Roman"/>
          <w:szCs w:val="28"/>
          <w:lang w:eastAsia="ru-RU"/>
        </w:rPr>
        <w:t xml:space="preserve"> районам</w:t>
      </w:r>
      <w:r w:rsidRPr="00250BEC">
        <w:rPr>
          <w:rFonts w:ascii="PT Astra Serif" w:eastAsia="Times New Roman" w:hAnsi="PT Astra Serif" w:cs="Times New Roman"/>
          <w:szCs w:val="28"/>
          <w:lang w:eastAsia="ru-RU"/>
        </w:rPr>
        <w:br/>
        <w:t>и Павловскому муниципальному округу на общую сумму 47,8 млн рублей.</w:t>
      </w:r>
    </w:p>
    <w:p w14:paraId="7F90FBE2" w14:textId="77777777" w:rsidR="00250BEC" w:rsidRPr="00250BEC" w:rsidRDefault="00250BEC" w:rsidP="00250BEC">
      <w:pPr>
        <w:widowControl w:val="0"/>
        <w:tabs>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2025 году из областного бюджета Ульяновской области были выделены межбюджетные трансферты стимулирующего характера на общую сумму 50,0 млн рублей.</w:t>
      </w:r>
    </w:p>
    <w:p w14:paraId="781C079B" w14:textId="77777777" w:rsidR="00250BEC" w:rsidRPr="00250BEC" w:rsidRDefault="00250BEC" w:rsidP="00250BEC">
      <w:pPr>
        <w:widowControl w:val="0"/>
        <w:tabs>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 учётом финансовой помощи, выделенной из областного бюджета Ульяновской области, расходы бюджетов муниципальных образований Ульяновской области за 2025 год составили 53 033,9 млн рублей или 96,3% от годового плана и были направлены на финансовое обеспечение первоочередных расходов и решение вопросов местного значения в рамках реализации государственных и муниципальных программ. Общий объём расходов местных бюджетов по сравнению с 2024 годом вырос на 7,4% или на 3</w:t>
      </w:r>
      <w:r w:rsidRPr="00250BEC">
        <w:rPr>
          <w:rFonts w:ascii="PT Astra Serif" w:eastAsia="Times New Roman" w:hAnsi="PT Astra Serif" w:cs="Times New Roman"/>
          <w:szCs w:val="28"/>
          <w:lang w:val="en-US" w:eastAsia="ru-RU"/>
        </w:rPr>
        <w:t> </w:t>
      </w:r>
      <w:r w:rsidRPr="00250BEC">
        <w:rPr>
          <w:rFonts w:ascii="PT Astra Serif" w:eastAsia="Times New Roman" w:hAnsi="PT Astra Serif" w:cs="Times New Roman"/>
          <w:szCs w:val="28"/>
          <w:lang w:eastAsia="ru-RU"/>
        </w:rPr>
        <w:t>631,1 млн рублей.</w:t>
      </w:r>
    </w:p>
    <w:p w14:paraId="665CC4E9" w14:textId="77777777" w:rsidR="00250BEC" w:rsidRPr="00250BEC" w:rsidRDefault="00250BEC" w:rsidP="00250BEC">
      <w:pPr>
        <w:widowControl w:val="0"/>
        <w:tabs>
          <w:tab w:val="left" w:pos="0"/>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итогам 2025 года в 19 муниципальных образованиях Ульяновской области сложился профицит в общей сумме 866,1 млн рублей. Наибольший профицит сложился в трёх муниципальных образованиях:</w:t>
      </w:r>
    </w:p>
    <w:p w14:paraId="0FFB0560" w14:textId="77777777" w:rsidR="00250BEC" w:rsidRPr="00250BEC" w:rsidRDefault="00250BEC" w:rsidP="00250BEC">
      <w:pPr>
        <w:widowControl w:val="0"/>
        <w:tabs>
          <w:tab w:val="left" w:pos="0"/>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Павловский район – 255,5 млн рублей;</w:t>
      </w:r>
    </w:p>
    <w:p w14:paraId="2C09E87A" w14:textId="77777777" w:rsidR="00250BEC" w:rsidRPr="00250BEC" w:rsidRDefault="00250BEC" w:rsidP="00250BEC">
      <w:pPr>
        <w:widowControl w:val="0"/>
        <w:tabs>
          <w:tab w:val="left" w:pos="0"/>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город Ульяновск – 224,6 млн рублей;</w:t>
      </w:r>
    </w:p>
    <w:p w14:paraId="1328576E" w14:textId="77777777" w:rsidR="00250BEC" w:rsidRPr="00250BEC" w:rsidRDefault="00250BEC" w:rsidP="00250BEC">
      <w:pPr>
        <w:widowControl w:val="0"/>
        <w:tabs>
          <w:tab w:val="left" w:pos="0"/>
          <w:tab w:val="left" w:pos="284"/>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Чердаклинский район – 174,8 млн рублей.</w:t>
      </w:r>
    </w:p>
    <w:p w14:paraId="0DAED8E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lastRenderedPageBreak/>
        <w:t>С дефицитом 2025 год завершили 5 муниципальных образований Ульяновской области:</w:t>
      </w:r>
    </w:p>
    <w:p w14:paraId="07C3C36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Барышский район – 9,0 млн рублей;</w:t>
      </w:r>
    </w:p>
    <w:p w14:paraId="7C2C03B5"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Вешкаймский район – 2,7 млн рублей;</w:t>
      </w:r>
    </w:p>
    <w:p w14:paraId="3F9726EC"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Карсунский район – 7,1 млн рублей;</w:t>
      </w:r>
    </w:p>
    <w:p w14:paraId="24BD026E"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Мелекесский район – 18,2 млн рублей;</w:t>
      </w:r>
    </w:p>
    <w:p w14:paraId="0212EF8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Сенгилеевский район – 1,2 млн рублей.</w:t>
      </w:r>
    </w:p>
    <w:p w14:paraId="2B7B14E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отчётном году Министерством финансов Ульяновской области продолжена работа по контролю за мероприятиями, направленными на обеспечение сбалансированности бюджетов муниципальных образований:</w:t>
      </w:r>
    </w:p>
    <w:p w14:paraId="2BDD06F5" w14:textId="77777777" w:rsidR="00250BEC" w:rsidRPr="00250BEC" w:rsidRDefault="00250BEC" w:rsidP="00250BEC">
      <w:pPr>
        <w:widowControl w:val="0"/>
        <w:tabs>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рассмотрение проектов решений о внесении изменений в местные бюджеты;</w:t>
      </w:r>
    </w:p>
    <w:p w14:paraId="5960C237" w14:textId="77777777" w:rsidR="00250BEC" w:rsidRPr="00250BEC" w:rsidRDefault="00250BEC" w:rsidP="00250BEC">
      <w:pPr>
        <w:widowControl w:val="0"/>
        <w:tabs>
          <w:tab w:val="left" w:pos="709"/>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недопущение сокращения лимитов бюджетных обязательств на заработную плату и оплату коммунальных услуг;</w:t>
      </w:r>
    </w:p>
    <w:p w14:paraId="70079051" w14:textId="77777777" w:rsidR="00250BEC" w:rsidRPr="00250BEC" w:rsidRDefault="00250BEC" w:rsidP="00250BEC">
      <w:pPr>
        <w:widowControl w:val="0"/>
        <w:tabs>
          <w:tab w:val="left" w:pos="709"/>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направление не менее 70 % дополнительных доходов и остатков прошлого года на покрытие недостатка по первоочередным расходам по </w:t>
      </w:r>
      <w:r w:rsidRPr="00250BEC">
        <w:rPr>
          <w:rFonts w:ascii="PT Astra Serif" w:eastAsia="Times New Roman" w:hAnsi="PT Astra Serif" w:cs="Times New Roman"/>
          <w:szCs w:val="28"/>
          <w:lang w:eastAsia="ru-RU"/>
        </w:rPr>
        <w:br/>
        <w:t>15-ти муниципальным образованиям (Базарносызганский, Вешкаймский, Инзенский, Майнский, Мелекесский, Новомалыклинский, Новоспасский, Радищевский, Сенгилеевский, Старокулаткинский, Старомайнский, Тереньгульский, Ульяновский, Цильнинский районы и город Новоульяновск).</w:t>
      </w:r>
    </w:p>
    <w:p w14:paraId="6D38798C"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val="x-none" w:eastAsia="x-none"/>
        </w:rPr>
        <w:t xml:space="preserve">В 2025 году в перечень основных обязательств соглашений о мерах </w:t>
      </w:r>
      <w:r w:rsidRPr="00250BEC">
        <w:rPr>
          <w:rFonts w:ascii="PT Astra Serif" w:eastAsia="Times New Roman" w:hAnsi="PT Astra Serif" w:cs="Times New Roman"/>
          <w:szCs w:val="28"/>
          <w:lang w:eastAsia="x-none"/>
        </w:rPr>
        <w:t xml:space="preserve">по </w:t>
      </w:r>
      <w:r w:rsidRPr="00250BEC">
        <w:rPr>
          <w:rFonts w:ascii="PT Astra Serif" w:eastAsia="Times New Roman" w:hAnsi="PT Astra Serif" w:cs="Times New Roman"/>
          <w:szCs w:val="28"/>
          <w:lang w:val="x-none" w:eastAsia="x-none"/>
        </w:rPr>
        <w:t>социально-экономическо</w:t>
      </w:r>
      <w:r w:rsidRPr="00250BEC">
        <w:rPr>
          <w:rFonts w:ascii="PT Astra Serif" w:eastAsia="Times New Roman" w:hAnsi="PT Astra Serif" w:cs="Times New Roman"/>
          <w:szCs w:val="28"/>
          <w:lang w:eastAsia="x-none"/>
        </w:rPr>
        <w:t>му</w:t>
      </w:r>
      <w:r w:rsidRPr="00250BEC">
        <w:rPr>
          <w:rFonts w:ascii="PT Astra Serif" w:eastAsia="Times New Roman" w:hAnsi="PT Astra Serif" w:cs="Times New Roman"/>
          <w:szCs w:val="28"/>
          <w:lang w:val="x-none" w:eastAsia="x-none"/>
        </w:rPr>
        <w:t xml:space="preserve"> развитию и оздоровлению муниципальных финансов дополнительно включили обязательство по обеспечению прироста в 2025 году объёма налоговых и неналоговых доходов бюджета муниципального образования по сравнению с объёмом налоговых</w:t>
      </w:r>
      <w:r w:rsidRPr="00250BEC">
        <w:rPr>
          <w:rFonts w:ascii="PT Astra Serif" w:eastAsia="Times New Roman" w:hAnsi="PT Astra Serif" w:cs="Times New Roman"/>
          <w:szCs w:val="28"/>
          <w:lang w:eastAsia="x-none"/>
        </w:rPr>
        <w:br/>
      </w:r>
      <w:r w:rsidRPr="00250BEC">
        <w:rPr>
          <w:rFonts w:ascii="PT Astra Serif" w:eastAsia="Times New Roman" w:hAnsi="PT Astra Serif" w:cs="Times New Roman"/>
          <w:szCs w:val="28"/>
          <w:lang w:val="x-none" w:eastAsia="x-none"/>
        </w:rPr>
        <w:t>и неналоговых доходов бюджета муниципального образования в 2024 году выше темпа среднего значения такого прироста по муниципальным образованиям Ульяновской области.</w:t>
      </w:r>
    </w:p>
    <w:p w14:paraId="2A9BCF18"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val="x-none" w:eastAsia="x-none"/>
        </w:rPr>
        <w:t>Также сохранили обязательства:</w:t>
      </w:r>
    </w:p>
    <w:p w14:paraId="3664A077"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eastAsia="x-none"/>
        </w:rPr>
        <w:t xml:space="preserve">по </w:t>
      </w:r>
      <w:r w:rsidRPr="00250BEC">
        <w:rPr>
          <w:rFonts w:ascii="PT Astra Serif" w:eastAsia="Times New Roman" w:hAnsi="PT Astra Serif" w:cs="Times New Roman"/>
          <w:szCs w:val="28"/>
          <w:lang w:val="x-none" w:eastAsia="x-none"/>
        </w:rPr>
        <w:t>согласованию с Министерством финансов Ульяновской области проектов решений о бюджете на очередной финансовый год;</w:t>
      </w:r>
    </w:p>
    <w:p w14:paraId="4D6CB96A"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eastAsia="x-none"/>
        </w:rPr>
        <w:t xml:space="preserve">по </w:t>
      </w:r>
      <w:r w:rsidRPr="00250BEC">
        <w:rPr>
          <w:rFonts w:ascii="PT Astra Serif" w:eastAsia="Times New Roman" w:hAnsi="PT Astra Serif" w:cs="Times New Roman"/>
          <w:szCs w:val="28"/>
          <w:lang w:val="x-none" w:eastAsia="x-none"/>
        </w:rPr>
        <w:t>недопущению сокращения лимитов на заработную плату</w:t>
      </w:r>
      <w:r w:rsidRPr="00250BEC">
        <w:rPr>
          <w:rFonts w:ascii="PT Astra Serif" w:eastAsia="Times New Roman" w:hAnsi="PT Astra Serif" w:cs="Times New Roman"/>
          <w:szCs w:val="28"/>
          <w:lang w:val="x-none" w:eastAsia="x-none"/>
        </w:rPr>
        <w:br/>
        <w:t>и начисления;</w:t>
      </w:r>
    </w:p>
    <w:p w14:paraId="5F11FC96"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eastAsia="x-none"/>
        </w:rPr>
        <w:t xml:space="preserve">по </w:t>
      </w:r>
      <w:r w:rsidRPr="00250BEC">
        <w:rPr>
          <w:rFonts w:ascii="PT Astra Serif" w:eastAsia="Times New Roman" w:hAnsi="PT Astra Serif" w:cs="Times New Roman"/>
          <w:szCs w:val="28"/>
          <w:lang w:val="x-none" w:eastAsia="x-none"/>
        </w:rPr>
        <w:t>обеспечению в первоочередном порядке расходов на заработную плату и начисления, в том числе за счёт дополнительных доходов и остатков;</w:t>
      </w:r>
    </w:p>
    <w:p w14:paraId="5013E19B"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val="x-none" w:eastAsia="x-none"/>
        </w:rPr>
        <w:t>при наличии просроченной задолженности по страховым взносам бюджетных (автономных) учреждений заключение соглашений с УФК</w:t>
      </w:r>
      <w:r w:rsidRPr="00250BEC">
        <w:rPr>
          <w:rFonts w:ascii="PT Astra Serif" w:eastAsia="Times New Roman" w:hAnsi="PT Astra Serif" w:cs="Times New Roman"/>
          <w:szCs w:val="28"/>
          <w:lang w:val="x-none" w:eastAsia="x-none"/>
        </w:rPr>
        <w:br/>
        <w:t>о применении режима первоочередных расходов. Данное обязательство было включено в Соглашения 10-ти муниципальных образований, допустивших наибольший прирост объёма просроченной кредиторской задолженности</w:t>
      </w:r>
      <w:r w:rsidRPr="00250BEC">
        <w:rPr>
          <w:rFonts w:ascii="PT Astra Serif" w:eastAsia="Times New Roman" w:hAnsi="PT Astra Serif" w:cs="Times New Roman"/>
          <w:szCs w:val="28"/>
          <w:lang w:eastAsia="x-none"/>
        </w:rPr>
        <w:t xml:space="preserve"> </w:t>
      </w:r>
      <w:r w:rsidRPr="00250BEC">
        <w:rPr>
          <w:rFonts w:ascii="PT Astra Serif" w:eastAsia="Times New Roman" w:hAnsi="PT Astra Serif" w:cs="Times New Roman"/>
          <w:szCs w:val="28"/>
          <w:lang w:val="x-none" w:eastAsia="x-none"/>
        </w:rPr>
        <w:t>по страховым взносам по бюджетным (автономным) учреждениям</w:t>
      </w:r>
      <w:r w:rsidRPr="00250BEC">
        <w:rPr>
          <w:rFonts w:ascii="PT Astra Serif" w:eastAsia="Times New Roman" w:hAnsi="PT Astra Serif" w:cs="Times New Roman"/>
          <w:szCs w:val="28"/>
          <w:lang w:eastAsia="x-none"/>
        </w:rPr>
        <w:t xml:space="preserve"> </w:t>
      </w:r>
      <w:r w:rsidRPr="00250BEC">
        <w:rPr>
          <w:rFonts w:ascii="PT Astra Serif" w:eastAsia="Times New Roman" w:hAnsi="PT Astra Serif" w:cs="Times New Roman"/>
          <w:szCs w:val="28"/>
          <w:lang w:val="x-none" w:eastAsia="x-none"/>
        </w:rPr>
        <w:t>за предыдущий год (Базарносызганский, Вешкаймский, Инзенский, Майнский, Новоспасский, Радищевский, Сенгилеевский, Старокулаткинский, Тереньгульский и Ульяновский районы), однако не исполнено ни одним</w:t>
      </w:r>
      <w:r w:rsidRPr="00250BEC">
        <w:rPr>
          <w:rFonts w:ascii="PT Astra Serif" w:eastAsia="Times New Roman" w:hAnsi="PT Astra Serif" w:cs="Times New Roman"/>
          <w:szCs w:val="28"/>
          <w:lang w:eastAsia="x-none"/>
        </w:rPr>
        <w:t xml:space="preserve"> </w:t>
      </w:r>
      <w:r w:rsidRPr="00250BEC">
        <w:rPr>
          <w:rFonts w:ascii="PT Astra Serif" w:eastAsia="Times New Roman" w:hAnsi="PT Astra Serif" w:cs="Times New Roman"/>
          <w:szCs w:val="28"/>
          <w:lang w:val="x-none" w:eastAsia="x-none"/>
        </w:rPr>
        <w:t>из них.</w:t>
      </w:r>
    </w:p>
    <w:p w14:paraId="25C2CC5B" w14:textId="77777777" w:rsidR="00250BEC" w:rsidRPr="00250BEC" w:rsidRDefault="00250BEC" w:rsidP="00250BEC">
      <w:pPr>
        <w:widowControl w:val="0"/>
        <w:tabs>
          <w:tab w:val="left" w:pos="1134"/>
        </w:tabs>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val="x-none" w:eastAsia="x-none"/>
        </w:rPr>
        <w:lastRenderedPageBreak/>
        <w:t>В связи с этим, по итогам 2025 года к лицам, действия (бездействие) которых привели к нарушению принятых обязательств, главами администраций муниципальных районов и городских округов должны быть применены меры дисциплинарного взыскания</w:t>
      </w:r>
      <w:r w:rsidRPr="00250BEC">
        <w:rPr>
          <w:rFonts w:ascii="PT Astra Serif" w:eastAsia="Calibri" w:hAnsi="PT Astra Serif" w:cs="PT Astra Serif"/>
          <w:szCs w:val="28"/>
          <w:lang w:val="x-none"/>
        </w:rPr>
        <w:t>.</w:t>
      </w:r>
    </w:p>
    <w:p w14:paraId="3D2678C1"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В целях повышения качества мониторинга планирования и исполнения местных бюджетов с 2024 года осуществляется работа по приведению</w:t>
      </w:r>
      <w:r w:rsidRPr="00250BEC">
        <w:rPr>
          <w:rFonts w:ascii="PT Astra Serif" w:eastAsia="Times New Roman" w:hAnsi="PT Astra Serif" w:cs="Times New Roman"/>
          <w:color w:val="000000"/>
          <w:szCs w:val="28"/>
          <w:lang w:eastAsia="ru-RU"/>
        </w:rPr>
        <w:br/>
        <w:t>к единообразию ведения бюджетного процесса в муниципалитетах,</w:t>
      </w:r>
      <w:r w:rsidRPr="00250BEC">
        <w:rPr>
          <w:rFonts w:ascii="PT Astra Serif" w:eastAsia="Times New Roman" w:hAnsi="PT Astra Serif" w:cs="Times New Roman"/>
          <w:color w:val="000000"/>
          <w:szCs w:val="28"/>
          <w:lang w:eastAsia="ru-RU"/>
        </w:rPr>
        <w:br/>
        <w:t>в частности к единой бюджетной классификации по всем муниципальным образованиям. Это позволяет получать актуальную и достоверную информацию о ходе исполнения местных бюджетов, не привлекая трудовые ресурсы финансовых органов муниципальных районов и городов.</w:t>
      </w:r>
    </w:p>
    <w:p w14:paraId="07F358B6" w14:textId="77777777" w:rsidR="00250BEC" w:rsidRPr="00250BEC" w:rsidRDefault="00250BEC" w:rsidP="00250BEC">
      <w:pPr>
        <w:widowControl w:val="0"/>
        <w:contextualSpacing/>
        <w:rPr>
          <w:rFonts w:ascii="PT Astra Serif" w:eastAsia="Times New Roman" w:hAnsi="PT Astra Serif" w:cs="Times New Roman"/>
          <w:b/>
          <w:szCs w:val="28"/>
          <w:u w:val="single"/>
          <w:lang w:eastAsia="ru-RU"/>
        </w:rPr>
      </w:pPr>
    </w:p>
    <w:p w14:paraId="1D9EF45E" w14:textId="77777777" w:rsidR="00250BEC" w:rsidRPr="00250BEC" w:rsidRDefault="00250BEC" w:rsidP="00250BEC">
      <w:pPr>
        <w:widowControl w:val="0"/>
        <w:tabs>
          <w:tab w:val="left" w:pos="1134"/>
        </w:tabs>
        <w:ind w:firstLine="0"/>
        <w:contextualSpacing/>
        <w:jc w:val="center"/>
        <w:rPr>
          <w:rFonts w:ascii="PT Astra Serif" w:eastAsia="Times New Roman" w:hAnsi="PT Astra Serif" w:cs="Times New Roman"/>
          <w:b/>
          <w:szCs w:val="28"/>
          <w:lang w:eastAsia="x-none"/>
        </w:rPr>
      </w:pPr>
      <w:r w:rsidRPr="00250BEC">
        <w:rPr>
          <w:rFonts w:ascii="PT Astra Serif" w:eastAsia="Times New Roman" w:hAnsi="PT Astra Serif" w:cs="Times New Roman"/>
          <w:b/>
          <w:szCs w:val="28"/>
          <w:lang w:eastAsia="x-none"/>
        </w:rPr>
        <w:t>Совершенствование кассового исполнения областного бюджета Ульяновской области и централизация бухгалтерского учёта</w:t>
      </w:r>
    </w:p>
    <w:p w14:paraId="7611811A" w14:textId="77777777" w:rsidR="00250BEC" w:rsidRPr="00250BEC" w:rsidRDefault="00250BEC" w:rsidP="00250BEC">
      <w:pPr>
        <w:widowControl w:val="0"/>
        <w:tabs>
          <w:tab w:val="left" w:pos="1134"/>
        </w:tabs>
        <w:ind w:firstLine="0"/>
        <w:contextualSpacing/>
        <w:jc w:val="center"/>
        <w:rPr>
          <w:rFonts w:ascii="PT Astra Serif" w:eastAsia="Times New Roman" w:hAnsi="PT Astra Serif" w:cs="Times New Roman"/>
          <w:b/>
          <w:szCs w:val="28"/>
          <w:lang w:eastAsia="x-none"/>
        </w:rPr>
      </w:pPr>
    </w:p>
    <w:p w14:paraId="1892C32D"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Кассовое исполнение областного бюджета осуществляется специалистами ОГКУ «Областное казначейство». В рамках исполнения своих полномочий специалистами ОГКУ «Областное казначейство» осуществляется учёт и регистрация бюджетных обязательств, принимаемых на основании заключаемых государственными учреждениями соглашений, контрактов, договоров, иных нормативных правовых актов и их исполнение на основании заявок на оплату расходу, предоставляемых учреждениями.</w:t>
      </w:r>
    </w:p>
    <w:p w14:paraId="51564B38"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Специалистами ОГКУ «Областное казначейство» в рамках санкционирования расходов осуществляется предварительный контроль расходования бюджетных средств в соответствии с бюджетным законодательством Российской Федерации, осуществляется проведение платежей бюджетных и автономных учреждений, а также иных юридических лиц, получающих субсидии из областного бюджета.</w:t>
      </w:r>
    </w:p>
    <w:p w14:paraId="7690942F"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По состоянию на 01.01.2026 в ОГКУ «Областное казначейство» обслуживается 458 учреждений, для которых открыто 910 лицевых счётов.</w:t>
      </w:r>
      <w:r w:rsidRPr="00250BEC">
        <w:rPr>
          <w:rFonts w:ascii="PT Astra Serif" w:eastAsia="Calibri" w:hAnsi="PT Astra Serif" w:cs="Times New Roman"/>
          <w:color w:val="000000"/>
          <w:szCs w:val="28"/>
          <w:lang w:eastAsia="ru-RU"/>
        </w:rPr>
        <w:br/>
        <w:t>В 2025 году при осуществлении расходов зарегистрировано более 42 тысяч бюджетных обязательств, произведена обработка более 543 тысяч платёжных документов на общую сумму более 149,4 млрд. рублей.</w:t>
      </w:r>
    </w:p>
    <w:p w14:paraId="2391BE0C"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В рамках реализации Концепции централизации бюджетного (бухгалтерского) учёта и составления отчётности исполнительных органов Ульяновской области и государственных казённых учреждений Ульяновской области, утверждённой Губернатором Ульяновской области, продолжено развитие государственной информационной системы «Управление финансово-хозяйственной деятельностью исполнительных органов государственной власти Ульяновской области и государственных Учреждений Ульяновской области».</w:t>
      </w:r>
    </w:p>
    <w:p w14:paraId="29348649"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 xml:space="preserve">Централизованная автоматизированная система (далее по тексту - ЦАС) – это принципиально новая цифровая платформа, предусматривающая систему алгоритмизированных взаимоотношений исполнительных органов Ульяновской области и государственных учреждений Ульяновской области, </w:t>
      </w:r>
      <w:r w:rsidRPr="00250BEC">
        <w:rPr>
          <w:rFonts w:ascii="PT Astra Serif" w:eastAsia="Calibri" w:hAnsi="PT Astra Serif" w:cs="Times New Roman"/>
          <w:color w:val="000000"/>
          <w:szCs w:val="28"/>
          <w:lang w:eastAsia="ru-RU"/>
        </w:rPr>
        <w:lastRenderedPageBreak/>
        <w:t>объединенных единой информационной средой, приводящей</w:t>
      </w:r>
      <w:r w:rsidRPr="00250BEC">
        <w:rPr>
          <w:rFonts w:ascii="PT Astra Serif" w:eastAsia="Calibri" w:hAnsi="PT Astra Serif" w:cs="Times New Roman"/>
          <w:color w:val="000000"/>
          <w:szCs w:val="28"/>
          <w:lang w:eastAsia="ru-RU"/>
        </w:rPr>
        <w:br/>
        <w:t>к снижению транзакционных издержек и повышению эффективности процессов.</w:t>
      </w:r>
    </w:p>
    <w:p w14:paraId="5F1073A3" w14:textId="77777777" w:rsidR="00250BEC" w:rsidRPr="00250BEC" w:rsidRDefault="00250BEC" w:rsidP="00250BEC">
      <w:pPr>
        <w:widowControl w:val="0"/>
        <w:contextualSpacing/>
        <w:rPr>
          <w:rFonts w:ascii="PT Astra Serif" w:eastAsia="Calibri" w:hAnsi="PT Astra Serif" w:cs="Times New Roman"/>
          <w:color w:val="000000"/>
          <w:szCs w:val="28"/>
          <w:lang w:eastAsia="ru-RU"/>
        </w:rPr>
      </w:pPr>
      <w:r w:rsidRPr="00250BEC">
        <w:rPr>
          <w:rFonts w:ascii="PT Astra Serif" w:eastAsia="Calibri" w:hAnsi="PT Astra Serif" w:cs="Times New Roman"/>
          <w:color w:val="000000"/>
          <w:szCs w:val="28"/>
          <w:lang w:eastAsia="ru-RU"/>
        </w:rPr>
        <w:t>В ЦАС осуществляется бухгалтерский учёт 22 исполнительных органов Ульяновской области и 255 государственных учреждений. Кроме того, общим центром обслуживания, созданным на базе ОГКУ «Областное казначейство», осуществляется учёт 16 исполнительных органов Ульяновской области, 16 учреждений (14 казённых и 2 автономных), включая функции главных распорядителей бюджетных средств по своду отчётности 58 подведомственных бюджетных (автономных) учреждений.</w:t>
      </w:r>
    </w:p>
    <w:p w14:paraId="15311B3F"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Calibri" w:hAnsi="PT Astra Serif" w:cs="Times New Roman"/>
          <w:color w:val="000000"/>
          <w:szCs w:val="28"/>
          <w:lang w:eastAsia="ru-RU"/>
        </w:rPr>
        <w:t xml:space="preserve">Несмотря на то, что функционально бухгалтерский учёт централизован только в части исполнительных органов и казённых учреждений, большое внимание уделяется технологической централизации. Важным фактором является то, что все учреждения региона работают на платформе, которая своевременно и централизованно обновляется и все её функции соответствуют действующему законодательству. С учётом внесённых изменений </w:t>
      </w:r>
      <w:r w:rsidRPr="00250BEC">
        <w:rPr>
          <w:rFonts w:ascii="PT Astra Serif" w:eastAsia="Calibri" w:hAnsi="PT Astra Serif" w:cs="Times New Roman"/>
          <w:color w:val="000000"/>
          <w:szCs w:val="28"/>
          <w:lang w:eastAsia="ru-RU"/>
        </w:rPr>
        <w:br/>
        <w:t>в федеральное законодательство в 2025 году была продолжена работа по внедрению электронного документооборота в процессы бухгалтерского учёта с использованием подсистемы обработки документов с разделением ролей пользователей и обеспечена оптимизация процессов учёта финансово-хозяйственной деятельности.</w:t>
      </w:r>
    </w:p>
    <w:p w14:paraId="17EEEA0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color w:val="000000"/>
          <w:szCs w:val="28"/>
          <w:lang w:eastAsia="ru-RU"/>
        </w:rPr>
        <w:t xml:space="preserve">На 01.01.2026 в ЦАС УФХД в рамках исполнения нормативных правовых актов, регулирующих бухгалтерский учёт, </w:t>
      </w:r>
      <w:r w:rsidRPr="00250BEC">
        <w:rPr>
          <w:rFonts w:ascii="PT Astra Serif" w:eastAsia="Times New Roman" w:hAnsi="PT Astra Serif" w:cs="Times New Roman"/>
          <w:szCs w:val="28"/>
          <w:lang w:eastAsia="ru-RU"/>
        </w:rPr>
        <w:t xml:space="preserve">реализовано </w:t>
      </w:r>
      <w:r w:rsidRPr="00250BEC">
        <w:rPr>
          <w:rFonts w:ascii="PT Astra Serif" w:eastAsia="Times New Roman" w:hAnsi="PT Astra Serif" w:cs="Times New Roman"/>
          <w:szCs w:val="28"/>
          <w:lang w:eastAsia="ru-RU"/>
        </w:rPr>
        <w:br/>
        <w:t xml:space="preserve">в электронном виде 64 унифицированных формы первичных учётных документов, которые в полном объёме применяются в </w:t>
      </w:r>
      <w:r w:rsidRPr="00250BEC">
        <w:rPr>
          <w:rFonts w:ascii="PT Astra Serif" w:eastAsia="Times New Roman" w:hAnsi="PT Astra Serif" w:cs="Times New Roman"/>
          <w:color w:val="000000"/>
          <w:szCs w:val="28"/>
          <w:lang w:eastAsia="ru-RU"/>
        </w:rPr>
        <w:t xml:space="preserve">32 учреждениях, учёт которых ведётся в общем центре обслуживания на базе ОГКУ «Областное казначейство». </w:t>
      </w:r>
      <w:r w:rsidRPr="00250BEC">
        <w:rPr>
          <w:rFonts w:ascii="PT Astra Serif" w:eastAsia="Times New Roman" w:hAnsi="PT Astra Serif" w:cs="Times New Roman"/>
          <w:szCs w:val="28"/>
          <w:lang w:eastAsia="ru-RU"/>
        </w:rPr>
        <w:t xml:space="preserve">Учреждения, которые ведут учёт самостоятельно, подключаются к электронному документообороту на основании письменных обращений по мере их готовности. На 01.01.2026 электронные формы документов применяются уже в 108 учреждениях. </w:t>
      </w:r>
    </w:p>
    <w:p w14:paraId="4393B89F"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Общее количество пользователей ЦАС УФХД на начало 2025 года составляло 7 116 пользователя, на конец отчётного периода было уже 9 779 пользователей, что на 27,0% больше, чем в предыдущем году. В течение 2025 года в рамках сопровождения ЦАС УФХД поступило 10 887 обращений, которые отработаны в полном объёме сотрудниками ОГКУ «Областное казначейство».</w:t>
      </w:r>
    </w:p>
    <w:p w14:paraId="151E9590" w14:textId="77777777" w:rsidR="00250BEC" w:rsidRPr="00250BEC" w:rsidRDefault="00250BEC" w:rsidP="00250BEC">
      <w:pPr>
        <w:widowControl w:val="0"/>
        <w:contextualSpacing/>
        <w:rPr>
          <w:rFonts w:eastAsia="Times New Roman" w:cs="Times New Roman"/>
          <w:szCs w:val="28"/>
          <w:lang w:eastAsia="ru-RU"/>
        </w:rPr>
      </w:pPr>
    </w:p>
    <w:p w14:paraId="515C7B12"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Повышение прозрачности и открытости бюджетного процесса</w:t>
      </w:r>
      <w:r w:rsidRPr="00250BEC">
        <w:rPr>
          <w:rFonts w:ascii="PT Astra Serif" w:eastAsia="Times New Roman" w:hAnsi="PT Astra Serif" w:cs="Times New Roman"/>
          <w:b/>
          <w:szCs w:val="28"/>
          <w:lang w:eastAsia="ru-RU"/>
        </w:rPr>
        <w:br/>
        <w:t>и вовлечение граждан в управление общественными финансами</w:t>
      </w:r>
    </w:p>
    <w:p w14:paraId="63EA3F7F"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
    <w:p w14:paraId="2C92E2CC"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 xml:space="preserve">Повышение открытости и прозрачности информации в сфере управления общественными финансами, расширение возможности непосредственного участия гражданского общества в процессах разработки </w:t>
      </w:r>
      <w:r w:rsidRPr="00250BEC">
        <w:rPr>
          <w:rFonts w:ascii="PT Astra Serif" w:eastAsia="Calibri" w:hAnsi="PT Astra Serif" w:cs="Times New Roman"/>
          <w:bCs/>
          <w:iCs/>
          <w:szCs w:val="28"/>
          <w:lang w:eastAsia="ru-RU"/>
        </w:rPr>
        <w:br/>
        <w:t xml:space="preserve">и экспертизы решений, принимаемых органами государственной власти Ульяновской области, развитие механизмов общественного контроля в сфере </w:t>
      </w:r>
      <w:r w:rsidRPr="00250BEC">
        <w:rPr>
          <w:rFonts w:ascii="PT Astra Serif" w:eastAsia="Calibri" w:hAnsi="PT Astra Serif" w:cs="Times New Roman"/>
          <w:bCs/>
          <w:iCs/>
          <w:szCs w:val="28"/>
          <w:lang w:eastAsia="ru-RU"/>
        </w:rPr>
        <w:lastRenderedPageBreak/>
        <w:t>управления общественными финансами – одни из основных задач Министерства финансов Ульяновской области.</w:t>
      </w:r>
    </w:p>
    <w:p w14:paraId="1A138906"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В 2025 году была продолжена работа по повышению уровня прозрачности и открытости бюджета и бюджетного процесса для общества</w:t>
      </w:r>
      <w:r w:rsidRPr="00250BEC">
        <w:rPr>
          <w:rFonts w:ascii="PT Astra Serif" w:eastAsia="Calibri" w:hAnsi="PT Astra Serif" w:cs="Times New Roman"/>
          <w:bCs/>
          <w:iCs/>
          <w:szCs w:val="28"/>
          <w:lang w:eastAsia="ru-RU"/>
        </w:rPr>
        <w:br/>
        <w:t>и по организации взаимодействия с общественностью.</w:t>
      </w:r>
    </w:p>
    <w:p w14:paraId="7A7C67A5"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Работа по повышению открытости бюджетных данных на территории Ульяновской области проводится с учётом требований, предъявляемых Министерством финансов Российской Федерации и ФГБУ «Научно-исследовательский финансовый институт» при составлении рейтинга по уровню открытости бюджетных данных.</w:t>
      </w:r>
    </w:p>
    <w:p w14:paraId="11A11530"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Результаты оценки, выполненные в соответствии с Методикой, позволяют увидеть, какая информация и в каком объеме представляется для общества на каждом этапе бюджетного процесса, насколько она актуальна, доступна и полезна, а также насколько активно общественность участвует</w:t>
      </w:r>
      <w:r w:rsidRPr="00250BEC">
        <w:rPr>
          <w:rFonts w:ascii="PT Astra Serif" w:eastAsia="Calibri" w:hAnsi="PT Astra Serif" w:cs="Times New Roman"/>
          <w:bCs/>
          <w:iCs/>
          <w:szCs w:val="28"/>
          <w:lang w:eastAsia="ru-RU"/>
        </w:rPr>
        <w:br/>
        <w:t>в обсуждении бюджетных вопросов.</w:t>
      </w:r>
    </w:p>
    <w:p w14:paraId="6BB689CF" w14:textId="77777777" w:rsidR="00250BEC" w:rsidRPr="00250BEC" w:rsidRDefault="00250BEC" w:rsidP="00250BEC">
      <w:pPr>
        <w:widowControl w:val="0"/>
        <w:contextualSpacing/>
        <w:rPr>
          <w:rFonts w:ascii="PT Astra Serif" w:eastAsia="Times New Roman" w:hAnsi="PT Astra Serif" w:cs="Times New Roman"/>
          <w:szCs w:val="28"/>
          <w:lang w:val="x-none" w:eastAsia="x-none"/>
        </w:rPr>
      </w:pPr>
      <w:r w:rsidRPr="00250BEC">
        <w:rPr>
          <w:rFonts w:ascii="PT Astra Serif" w:eastAsia="Times New Roman" w:hAnsi="PT Astra Serif" w:cs="Times New Roman"/>
          <w:szCs w:val="28"/>
          <w:lang w:val="x-none" w:eastAsia="x-none"/>
        </w:rPr>
        <w:t>Результаты рейтинга демонстрируют уровень прозрачности бюджетов различных субъектов Р</w:t>
      </w:r>
      <w:r w:rsidRPr="00250BEC">
        <w:rPr>
          <w:rFonts w:ascii="PT Astra Serif" w:eastAsia="Times New Roman" w:hAnsi="PT Astra Serif" w:cs="Times New Roman"/>
          <w:szCs w:val="28"/>
          <w:lang w:eastAsia="x-none"/>
        </w:rPr>
        <w:t>оссийской Федерации</w:t>
      </w:r>
      <w:r w:rsidRPr="00250BEC">
        <w:rPr>
          <w:rFonts w:ascii="PT Astra Serif" w:eastAsia="Times New Roman" w:hAnsi="PT Astra Serif" w:cs="Times New Roman"/>
          <w:szCs w:val="28"/>
          <w:lang w:val="x-none" w:eastAsia="x-none"/>
        </w:rPr>
        <w:t xml:space="preserve"> для граждан и</w:t>
      </w:r>
      <w:r w:rsidRPr="00250BEC">
        <w:rPr>
          <w:rFonts w:ascii="PT Astra Serif" w:eastAsia="Times New Roman" w:hAnsi="PT Astra Serif" w:cs="Times New Roman"/>
          <w:szCs w:val="28"/>
          <w:lang w:eastAsia="x-none"/>
        </w:rPr>
        <w:t xml:space="preserve"> </w:t>
      </w:r>
      <w:r w:rsidRPr="00250BEC">
        <w:rPr>
          <w:rFonts w:ascii="PT Astra Serif" w:eastAsia="Times New Roman" w:hAnsi="PT Astra Serif" w:cs="Times New Roman"/>
          <w:szCs w:val="28"/>
          <w:lang w:val="x-none" w:eastAsia="x-none"/>
        </w:rPr>
        <w:t>учитываются Министерством финансов</w:t>
      </w:r>
      <w:r w:rsidRPr="00250BEC">
        <w:rPr>
          <w:rFonts w:ascii="PT Astra Serif" w:eastAsia="Times New Roman" w:hAnsi="PT Astra Serif" w:cs="Times New Roman"/>
          <w:szCs w:val="28"/>
          <w:lang w:eastAsia="x-none"/>
        </w:rPr>
        <w:t xml:space="preserve"> Российской Федерации</w:t>
      </w:r>
      <w:r w:rsidRPr="00250BEC">
        <w:rPr>
          <w:rFonts w:ascii="PT Astra Serif" w:eastAsia="Times New Roman" w:hAnsi="PT Astra Serif" w:cs="Times New Roman"/>
          <w:szCs w:val="28"/>
          <w:lang w:val="x-none" w:eastAsia="x-none"/>
        </w:rPr>
        <w:t xml:space="preserve"> при определении качества управления региональными финансами.</w:t>
      </w:r>
    </w:p>
    <w:p w14:paraId="54D1ACF4" w14:textId="77777777" w:rsidR="00250BEC" w:rsidRPr="00250BEC" w:rsidRDefault="00250BEC" w:rsidP="00250BEC">
      <w:pPr>
        <w:widowControl w:val="0"/>
        <w:tabs>
          <w:tab w:val="left" w:pos="567"/>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4"/>
          <w:lang w:eastAsia="ru-RU"/>
        </w:rPr>
        <w:t>Благодаря своевременной публикации информации на портале «Открытый бюджет</w:t>
      </w:r>
      <w:r w:rsidRPr="00250BEC">
        <w:rPr>
          <w:rFonts w:ascii="PT Astra Serif" w:eastAsia="Times New Roman" w:hAnsi="PT Astra Serif" w:cs="Times New Roman"/>
          <w:szCs w:val="28"/>
          <w:lang w:eastAsia="ru-RU"/>
        </w:rPr>
        <w:t xml:space="preserve">» Ульяновская область вошла в группу регионов </w:t>
      </w:r>
      <w:r w:rsidRPr="00250BEC">
        <w:rPr>
          <w:rFonts w:ascii="PT Astra Serif" w:eastAsia="Times New Roman" w:hAnsi="PT Astra Serif" w:cs="Times New Roman"/>
          <w:szCs w:val="28"/>
          <w:lang w:eastAsia="ru-RU"/>
        </w:rPr>
        <w:br/>
        <w:t>с очень высоким уровнем открытости бюджетных данных за 2025 год.</w:t>
      </w:r>
    </w:p>
    <w:p w14:paraId="0AE4F611" w14:textId="77777777" w:rsidR="00250BEC" w:rsidRPr="00250BEC" w:rsidRDefault="00250BEC" w:rsidP="00250BEC">
      <w:pPr>
        <w:widowControl w:val="0"/>
        <w:tabs>
          <w:tab w:val="left" w:pos="567"/>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По итогам мониторинга 2025 года по 4 разделам Ульяновская область занимает следующие позиции:</w:t>
      </w:r>
    </w:p>
    <w:p w14:paraId="0CC0B376"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с очень высоким уровнем открытости бюджетных данных по разделам:</w:t>
      </w:r>
    </w:p>
    <w:p w14:paraId="57B15BB4"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«Публичные сведения о деятельности государственных учреждений</w:t>
      </w:r>
      <w:r w:rsidRPr="00250BEC">
        <w:rPr>
          <w:rFonts w:ascii="PT Astra Serif" w:eastAsia="Calibri" w:hAnsi="PT Astra Serif" w:cs="Times New Roman"/>
          <w:b/>
          <w:bCs/>
          <w:iCs/>
          <w:szCs w:val="28"/>
          <w:lang w:eastAsia="ru-RU"/>
        </w:rPr>
        <w:t>»</w:t>
      </w:r>
      <w:r w:rsidRPr="00250BEC">
        <w:rPr>
          <w:rFonts w:ascii="PT Astra Serif" w:eastAsia="Calibri" w:hAnsi="PT Astra Serif" w:cs="Times New Roman"/>
          <w:bCs/>
          <w:iCs/>
          <w:szCs w:val="28"/>
          <w:lang w:eastAsia="ru-RU"/>
        </w:rPr>
        <w:t>;</w:t>
      </w:r>
    </w:p>
    <w:p w14:paraId="4A17FE2D"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«Годовой отчёт об исполнении бюджета</w:t>
      </w:r>
      <w:r w:rsidRPr="00250BEC">
        <w:rPr>
          <w:rFonts w:ascii="PT Astra Serif" w:eastAsia="Calibri" w:hAnsi="PT Astra Serif" w:cs="Times New Roman"/>
          <w:b/>
          <w:bCs/>
          <w:iCs/>
          <w:szCs w:val="28"/>
          <w:lang w:eastAsia="ru-RU"/>
        </w:rPr>
        <w:t>»</w:t>
      </w:r>
      <w:r w:rsidRPr="00250BEC">
        <w:rPr>
          <w:rFonts w:ascii="PT Astra Serif" w:eastAsia="Calibri" w:hAnsi="PT Astra Serif" w:cs="Times New Roman"/>
          <w:bCs/>
          <w:iCs/>
          <w:szCs w:val="28"/>
          <w:lang w:eastAsia="ru-RU"/>
        </w:rPr>
        <w:t>;</w:t>
      </w:r>
    </w:p>
    <w:p w14:paraId="157EF2DF"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«Стимулирование органов местного самоуправления к повышению открытости бюджетных данных»;</w:t>
      </w:r>
    </w:p>
    <w:p w14:paraId="4238056A"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с высоким уровнем открытости бюджетных данных по разделу «Первоначально утверждённый бюджет».</w:t>
      </w:r>
    </w:p>
    <w:p w14:paraId="7A349A62"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В целях повышения рейтинга Ульяновской области по уровню открытости бюджетных данных Министерством финансов Ульяновской области на Портале «Открытый бюджет Ульяновской области» в 2025 году осуществлялась публикация информации по бюджету и бюджетному процессу, по направлениям и результатам расходования бюджетных средств.</w:t>
      </w:r>
    </w:p>
    <w:p w14:paraId="4F138A80"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Для удобства жителей в разделе «Бюджет для граждан» доступны брошюры «Бюджеты для граждан» за 2016 - 2025 годы, «Путеводитель</w:t>
      </w:r>
      <w:r w:rsidRPr="00250BEC">
        <w:rPr>
          <w:rFonts w:ascii="PT Astra Serif" w:eastAsia="Calibri" w:hAnsi="PT Astra Serif" w:cs="Times New Roman"/>
          <w:bCs/>
          <w:iCs/>
          <w:szCs w:val="28"/>
          <w:lang w:eastAsia="ru-RU"/>
        </w:rPr>
        <w:br/>
        <w:t>по бюджету 2025 - 2027», «Путеводитель по бюджету 2026 - 2028», которые можно скачать или посмотреть онлайн.</w:t>
      </w:r>
    </w:p>
    <w:p w14:paraId="3BB535BB"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В 2025 году была продолжена работа по взаимодействию</w:t>
      </w:r>
      <w:r w:rsidRPr="00250BEC">
        <w:rPr>
          <w:rFonts w:ascii="PT Astra Serif" w:eastAsia="Calibri" w:hAnsi="PT Astra Serif" w:cs="Times New Roman"/>
          <w:bCs/>
          <w:iCs/>
          <w:szCs w:val="28"/>
          <w:lang w:eastAsia="ru-RU"/>
        </w:rPr>
        <w:br/>
        <w:t>с Общественным советом при Министерстве финансов Ульяновской области.</w:t>
      </w:r>
    </w:p>
    <w:p w14:paraId="31DB099F"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Calibri" w:hAnsi="PT Astra Serif" w:cs="Times New Roman"/>
          <w:bCs/>
          <w:iCs/>
          <w:szCs w:val="28"/>
          <w:lang w:eastAsia="ru-RU"/>
        </w:rPr>
        <w:t>В течение 2025 года было проведено 6 заседаний Общественного совета, на которых было рассмотрено</w:t>
      </w:r>
      <w:r w:rsidRPr="00250BEC">
        <w:rPr>
          <w:rFonts w:ascii="PT Astra Serif" w:eastAsia="Times New Roman" w:hAnsi="PT Astra Serif" w:cs="Times New Roman"/>
          <w:szCs w:val="28"/>
          <w:lang w:eastAsia="ru-RU"/>
        </w:rPr>
        <w:t xml:space="preserve"> более 13 вопросов.</w:t>
      </w:r>
    </w:p>
    <w:p w14:paraId="3B0CE590"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Times New Roman" w:hAnsi="PT Astra Serif" w:cs="Times New Roman"/>
          <w:szCs w:val="28"/>
          <w:lang w:eastAsia="ru-RU"/>
        </w:rPr>
        <w:t>Также в 2025 году ч</w:t>
      </w:r>
      <w:r w:rsidRPr="00250BEC">
        <w:rPr>
          <w:rFonts w:ascii="PT Astra Serif" w:eastAsia="Calibri" w:hAnsi="PT Astra Serif" w:cs="Times New Roman"/>
          <w:bCs/>
          <w:iCs/>
          <w:szCs w:val="28"/>
          <w:lang w:eastAsia="ru-RU"/>
        </w:rPr>
        <w:t xml:space="preserve">ленами Общественного совета проведена экспертиза </w:t>
      </w:r>
      <w:r w:rsidRPr="00250BEC">
        <w:rPr>
          <w:rFonts w:ascii="PT Astra Serif" w:eastAsia="Calibri" w:hAnsi="PT Astra Serif" w:cs="Times New Roman"/>
          <w:bCs/>
          <w:iCs/>
          <w:szCs w:val="28"/>
          <w:lang w:eastAsia="ru-RU"/>
        </w:rPr>
        <w:lastRenderedPageBreak/>
        <w:t>15 нормативных правовых актов, разработанных Министерством финансов Ульяновской области, по результатам которой подготовлены положительные заключения.</w:t>
      </w:r>
    </w:p>
    <w:p w14:paraId="78CFA61E" w14:textId="77777777" w:rsidR="00250BEC" w:rsidRPr="00250BEC" w:rsidRDefault="00250BEC" w:rsidP="00250BEC">
      <w:pPr>
        <w:widowControl w:val="0"/>
        <w:contextualSpacing/>
        <w:rPr>
          <w:rFonts w:ascii="PT Astra Serif" w:eastAsia="Calibri" w:hAnsi="PT Astra Serif" w:cs="Times New Roman"/>
          <w:bCs/>
          <w:iCs/>
          <w:szCs w:val="28"/>
          <w:lang w:eastAsia="ru-RU"/>
        </w:rPr>
      </w:pPr>
      <w:r w:rsidRPr="00250BEC">
        <w:rPr>
          <w:rFonts w:ascii="PT Astra Serif" w:eastAsia="Calibri" w:hAnsi="PT Astra Serif" w:cs="Times New Roman"/>
          <w:bCs/>
          <w:iCs/>
          <w:szCs w:val="28"/>
          <w:lang w:eastAsia="ru-RU"/>
        </w:rPr>
        <w:t xml:space="preserve">Несмотря на достигнутые за последние годы положительные результаты в сфере повышения уровня прозрачности и открытости бюджета </w:t>
      </w:r>
      <w:r w:rsidRPr="00250BEC">
        <w:rPr>
          <w:rFonts w:ascii="PT Astra Serif" w:eastAsia="Calibri" w:hAnsi="PT Astra Serif" w:cs="Times New Roman"/>
          <w:bCs/>
          <w:iCs/>
          <w:szCs w:val="28"/>
          <w:lang w:eastAsia="ru-RU"/>
        </w:rPr>
        <w:br/>
        <w:t>и бюджетного процесса для общества, мы продолжаем трудиться в этом направлении, что способствует повышению информационной открытости бюджетной политики и формированию устойчивых обратных связей между властью и обществом.</w:t>
      </w:r>
    </w:p>
    <w:p w14:paraId="5124C0D0" w14:textId="77777777" w:rsidR="00250BEC" w:rsidRPr="00250BEC" w:rsidRDefault="00250BEC" w:rsidP="00250BEC">
      <w:pPr>
        <w:widowControl w:val="0"/>
        <w:contextualSpacing/>
        <w:rPr>
          <w:rFonts w:ascii="PT Astra Serif" w:eastAsia="Calibri" w:hAnsi="PT Astra Serif" w:cs="Times New Roman"/>
          <w:bCs/>
          <w:iCs/>
          <w:szCs w:val="28"/>
          <w:lang w:eastAsia="ru-RU"/>
        </w:rPr>
      </w:pPr>
    </w:p>
    <w:p w14:paraId="0A05C568"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Цифровизация бюджетного процесса</w:t>
      </w:r>
    </w:p>
    <w:p w14:paraId="1A72D218" w14:textId="77777777" w:rsidR="00250BEC" w:rsidRPr="00250BEC" w:rsidRDefault="00250BEC" w:rsidP="00250BEC">
      <w:pPr>
        <w:widowControl w:val="0"/>
        <w:ind w:firstLine="0"/>
        <w:contextualSpacing/>
        <w:jc w:val="center"/>
        <w:rPr>
          <w:rFonts w:ascii="PT Astra Serif" w:eastAsia="Times New Roman" w:hAnsi="PT Astra Serif" w:cs="Times New Roman"/>
          <w:b/>
          <w:szCs w:val="28"/>
          <w:lang w:eastAsia="ru-RU"/>
        </w:rPr>
      </w:pPr>
    </w:p>
    <w:p w14:paraId="41F295BF"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 xml:space="preserve">Цифровая трансформация бюджетной системы Ульяновской области - стратегический приоритет, драйвер повышения эффективности </w:t>
      </w:r>
      <w:r w:rsidRPr="00250BEC">
        <w:rPr>
          <w:rFonts w:ascii="PT Astra Serif" w:eastAsia="Calibri" w:hAnsi="PT Astra Serif" w:cs="Times New Roman"/>
          <w:szCs w:val="28"/>
        </w:rPr>
        <w:br/>
        <w:t>и прозрачности государственных финансов. Ключевым элементом является развитие единой цифровой платформы бюджетно-финансовых сервисов, где центральным интегрирующим ядром выступает база АЦК. Это позволяет переводить основные процессы в режим автоматизации, обеспечивая</w:t>
      </w:r>
      <w:r w:rsidRPr="00250BEC">
        <w:rPr>
          <w:rFonts w:ascii="PT Astra Serif" w:eastAsia="Calibri" w:hAnsi="PT Astra Serif" w:cs="Times New Roman"/>
          <w:szCs w:val="28"/>
        </w:rPr>
        <w:br/>
        <w:t xml:space="preserve">их </w:t>
      </w:r>
      <w:proofErr w:type="spellStart"/>
      <w:r w:rsidRPr="00250BEC">
        <w:rPr>
          <w:rFonts w:ascii="PT Astra Serif" w:eastAsia="Calibri" w:hAnsi="PT Astra Serif" w:cs="Times New Roman"/>
          <w:szCs w:val="28"/>
        </w:rPr>
        <w:t>бесшовность</w:t>
      </w:r>
      <w:proofErr w:type="spellEnd"/>
      <w:r w:rsidRPr="00250BEC">
        <w:rPr>
          <w:rFonts w:ascii="PT Astra Serif" w:eastAsia="Calibri" w:hAnsi="PT Astra Serif" w:cs="Times New Roman"/>
          <w:szCs w:val="28"/>
        </w:rPr>
        <w:t xml:space="preserve"> и предсказуемость, а также реализовывать новые функции</w:t>
      </w:r>
      <w:r w:rsidRPr="00250BEC">
        <w:rPr>
          <w:rFonts w:ascii="PT Astra Serif" w:eastAsia="Calibri" w:hAnsi="PT Astra Serif" w:cs="Times New Roman"/>
          <w:szCs w:val="28"/>
        </w:rPr>
        <w:br/>
        <w:t>в режиме непрерывной работы, без остановки текущей операционной деятельности. Все проекты нацелены на глубокую оптимизацию</w:t>
      </w:r>
      <w:r w:rsidRPr="00250BEC">
        <w:rPr>
          <w:rFonts w:ascii="PT Astra Serif" w:eastAsia="Calibri" w:hAnsi="PT Astra Serif" w:cs="Times New Roman"/>
          <w:szCs w:val="28"/>
        </w:rPr>
        <w:br/>
        <w:t>и реинжиниринг рабочих процессов, как на региональном уровне, так</w:t>
      </w:r>
      <w:r w:rsidRPr="00250BEC">
        <w:rPr>
          <w:rFonts w:ascii="PT Astra Serif" w:eastAsia="Calibri" w:hAnsi="PT Astra Serif" w:cs="Times New Roman"/>
          <w:szCs w:val="28"/>
        </w:rPr>
        <w:br/>
        <w:t>и в муниципалитетах, обеспечивая синергию и единые стандарты работы.</w:t>
      </w:r>
    </w:p>
    <w:p w14:paraId="12678E9D"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Выстроенные интеграционные решения информационных систем дали возможность перейти от ручного труда к автоматике: минимизировать визуальный контроль, ускорить выполнение процессов и повысить прозрачность и открытость.</w:t>
      </w:r>
    </w:p>
    <w:p w14:paraId="29D6E8CA"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В 2025 году было завершено внедрение централизованной платформы</w:t>
      </w:r>
      <w:r w:rsidRPr="00250BEC">
        <w:rPr>
          <w:rFonts w:ascii="PT Astra Serif" w:eastAsia="Times New Roman" w:hAnsi="PT Astra Serif" w:cs="Times New Roman"/>
          <w:color w:val="000000"/>
          <w:szCs w:val="28"/>
          <w:lang w:eastAsia="ru-RU"/>
        </w:rPr>
        <w:br/>
        <w:t>«АЦК-Планирование» в муниципальных образованиях Ульяновской области.</w:t>
      </w:r>
      <w:r w:rsidRPr="00250BEC">
        <w:rPr>
          <w:rFonts w:eastAsia="Times New Roman" w:cs="Times New Roman"/>
          <w:sz w:val="24"/>
          <w:szCs w:val="24"/>
          <w:lang w:eastAsia="ru-RU"/>
        </w:rPr>
        <w:t xml:space="preserve"> </w:t>
      </w:r>
      <w:r w:rsidRPr="00250BEC">
        <w:rPr>
          <w:rFonts w:ascii="PT Astra Serif" w:eastAsia="Times New Roman" w:hAnsi="PT Astra Serif" w:cs="Times New Roman"/>
          <w:color w:val="000000"/>
          <w:szCs w:val="28"/>
          <w:lang w:eastAsia="ru-RU"/>
        </w:rPr>
        <w:t>Реализация данного проекта, включая разработку, внедрение и обеспечение технической поддержки платформы, была осуществлена исключительно</w:t>
      </w:r>
      <w:r w:rsidRPr="00250BEC">
        <w:rPr>
          <w:rFonts w:ascii="PT Astra Serif" w:eastAsia="Times New Roman" w:hAnsi="PT Astra Serif" w:cs="Times New Roman"/>
          <w:color w:val="000000"/>
          <w:szCs w:val="28"/>
          <w:lang w:eastAsia="ru-RU"/>
        </w:rPr>
        <w:br/>
        <w:t>за счёт ресурсов областного бюджета Ульяновской области, без увеличения финансовой нагрузки на местные бюджеты. Ключевая задача — перевести бюджетное планирование региона и муниципалитетов в единый, легкоуправляемый и прозрачный контур.</w:t>
      </w:r>
    </w:p>
    <w:p w14:paraId="34AD595C"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На сегодняшний день в системе работают 23 муниципальных образования Ульяновской области, планирование ведётся по 148 бюджетам, подключены 1 633 пользователя. Это означает, что все участники бюджетного процесса используют единую платформу и единые данные — без разрозненных форматов и ручных сводов. </w:t>
      </w:r>
    </w:p>
    <w:p w14:paraId="7949FF4D"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За период реализации проекта платформа была полностью встроена</w:t>
      </w:r>
      <w:r w:rsidRPr="00250BEC">
        <w:rPr>
          <w:rFonts w:ascii="PT Astra Serif" w:eastAsia="Times New Roman" w:hAnsi="PT Astra Serif" w:cs="Times New Roman"/>
          <w:color w:val="000000"/>
          <w:szCs w:val="28"/>
          <w:lang w:eastAsia="ru-RU"/>
        </w:rPr>
        <w:br/>
        <w:t>в текущую работу органов власти и муниципальных образований.</w:t>
      </w:r>
    </w:p>
    <w:p w14:paraId="26D427DB"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Все основные документы, которые сопровождают процесс планирования бюджетов муниципальных образований, были переведены</w:t>
      </w:r>
      <w:r w:rsidRPr="00250BEC">
        <w:rPr>
          <w:rFonts w:ascii="PT Astra Serif" w:eastAsia="Times New Roman" w:hAnsi="PT Astra Serif" w:cs="Times New Roman"/>
          <w:szCs w:val="28"/>
          <w:lang w:eastAsia="ru-RU"/>
        </w:rPr>
        <w:br/>
        <w:t>в цифровой вид.</w:t>
      </w:r>
    </w:p>
    <w:p w14:paraId="3409D23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lastRenderedPageBreak/>
        <w:t>Цифровизация – это инструмент, который способствует эффективному, прозрачному и ответственному управлению государственными финансами Ульяновской области в интересах жителей региона.</w:t>
      </w:r>
    </w:p>
    <w:p w14:paraId="77D1DFF7" w14:textId="77777777" w:rsidR="00250BEC" w:rsidRPr="00250BEC" w:rsidRDefault="00250BEC" w:rsidP="00250BEC">
      <w:pPr>
        <w:widowControl w:val="0"/>
        <w:contextualSpacing/>
        <w:rPr>
          <w:rFonts w:ascii="PT Astra Serif" w:eastAsia="Times New Roman" w:hAnsi="PT Astra Serif" w:cs="Times New Roman"/>
          <w:szCs w:val="28"/>
          <w:lang w:eastAsia="ru-RU"/>
        </w:rPr>
      </w:pPr>
    </w:p>
    <w:p w14:paraId="498A0715" w14:textId="77777777" w:rsidR="00250BEC" w:rsidRPr="00250BEC" w:rsidRDefault="00250BEC" w:rsidP="00250BEC">
      <w:pPr>
        <w:widowControl w:val="0"/>
        <w:autoSpaceDE w:val="0"/>
        <w:autoSpaceDN w:val="0"/>
        <w:adjustRightInd w:val="0"/>
        <w:ind w:firstLine="0"/>
        <w:contextualSpacing/>
        <w:jc w:val="center"/>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Задачи на 2026 год</w:t>
      </w:r>
    </w:p>
    <w:p w14:paraId="4F3E9050" w14:textId="77777777" w:rsidR="00250BEC" w:rsidRPr="00250BEC" w:rsidRDefault="00250BEC" w:rsidP="00250BEC">
      <w:pPr>
        <w:widowControl w:val="0"/>
        <w:contextualSpacing/>
        <w:rPr>
          <w:rFonts w:ascii="PT Astra Serif" w:eastAsia="Times New Roman" w:hAnsi="PT Astra Serif" w:cs="Times New Roman"/>
          <w:szCs w:val="28"/>
          <w:lang w:eastAsia="ru-RU"/>
        </w:rPr>
      </w:pPr>
    </w:p>
    <w:p w14:paraId="2E33252E" w14:textId="77777777" w:rsidR="00250BEC" w:rsidRPr="00250BEC" w:rsidRDefault="00250BEC" w:rsidP="00250BEC">
      <w:pPr>
        <w:widowControl w:val="0"/>
        <w:contextualSpacing/>
        <w:rPr>
          <w:rFonts w:ascii="PT Astra Serif" w:hAnsi="PT Astra Serif"/>
          <w:szCs w:val="28"/>
        </w:rPr>
      </w:pPr>
      <w:r w:rsidRPr="00250BEC">
        <w:rPr>
          <w:rFonts w:ascii="PT Astra Serif" w:eastAsia="Times New Roman" w:hAnsi="PT Astra Serif" w:cs="Times New Roman"/>
          <w:szCs w:val="28"/>
          <w:lang w:eastAsia="ru-RU"/>
        </w:rPr>
        <w:t xml:space="preserve">1. </w:t>
      </w:r>
      <w:r w:rsidRPr="00250BEC">
        <w:rPr>
          <w:rFonts w:ascii="PT Astra Serif" w:hAnsi="PT Astra Serif"/>
          <w:szCs w:val="28"/>
        </w:rPr>
        <w:t>Развитие доходного потенциала региона, обеспечение прироста налоговых и неналоговых поступлений в консолидированный бюджет Ульяновской области не ниже уровня индекса потребительских цен на товары и услуги.</w:t>
      </w:r>
    </w:p>
    <w:p w14:paraId="7B26209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 Повышение эффективности бюджетных расходов.</w:t>
      </w:r>
    </w:p>
    <w:p w14:paraId="00BC1FC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3. К</w:t>
      </w:r>
      <w:r w:rsidRPr="00250BEC">
        <w:rPr>
          <w:rFonts w:ascii="PT Astra Serif" w:eastAsia="Times New Roman" w:hAnsi="PT Astra Serif" w:cs="PT Astra Serif"/>
          <w:szCs w:val="28"/>
          <w:lang w:eastAsia="ru-RU"/>
        </w:rPr>
        <w:t>онтроль за сбалансированностью бюджетов муниципальных образований Ульяновской области, создание условий для равномерного развития муниципалитетов.</w:t>
      </w:r>
    </w:p>
    <w:p w14:paraId="4C1B419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4. Снижение объёма рыночного долга и доли расходов на его обслуживание.</w:t>
      </w:r>
    </w:p>
    <w:p w14:paraId="4CB0688B" w14:textId="77777777" w:rsidR="00250BEC" w:rsidRPr="00250BEC" w:rsidRDefault="00250BEC" w:rsidP="00250BEC">
      <w:pPr>
        <w:widowControl w:val="0"/>
        <w:contextualSpacing/>
        <w:rPr>
          <w:rFonts w:ascii="PT Astra Serif" w:hAnsi="PT Astra Serif"/>
          <w:szCs w:val="28"/>
        </w:rPr>
      </w:pPr>
      <w:r w:rsidRPr="00250BEC">
        <w:rPr>
          <w:rFonts w:ascii="PT Astra Serif" w:eastAsia="Times New Roman" w:hAnsi="PT Astra Serif" w:cs="Times New Roman"/>
          <w:szCs w:val="28"/>
          <w:lang w:eastAsia="ru-RU"/>
        </w:rPr>
        <w:t>5. Повышение прозрачности и открытости бюджетного процесса, вовлечение граждан в управление общественными финансами, содействие формированию у граждан разумного финансового поведения, обоснованных решений и ответственного отношения к личным финансам</w:t>
      </w:r>
      <w:r w:rsidRPr="00250BEC">
        <w:rPr>
          <w:rFonts w:ascii="PT Astra Serif" w:hAnsi="PT Astra Serif"/>
          <w:szCs w:val="28"/>
        </w:rPr>
        <w:t>.</w:t>
      </w:r>
    </w:p>
    <w:p w14:paraId="26A7794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6. Цифровизация бюджетных процессов.</w:t>
      </w:r>
    </w:p>
    <w:p w14:paraId="01E3ADE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7. Обеспечение сбалансированности областного бюджета Ульяновской области, бесперебойного финансирования расходов областного бюджета Ульяновской области в текущих условиях.</w:t>
      </w:r>
    </w:p>
    <w:p w14:paraId="16921623" w14:textId="77777777" w:rsidR="00250BEC" w:rsidRPr="00250BEC" w:rsidRDefault="00250BEC" w:rsidP="00250BEC">
      <w:pPr>
        <w:widowControl w:val="0"/>
        <w:contextualSpacing/>
        <w:rPr>
          <w:rFonts w:ascii="PT Astra Serif" w:hAnsi="PT Astra Serif"/>
          <w:b/>
          <w:szCs w:val="28"/>
        </w:rPr>
      </w:pPr>
      <w:r w:rsidRPr="00250BEC">
        <w:rPr>
          <w:rFonts w:ascii="PT Astra Serif" w:eastAsia="Times New Roman" w:hAnsi="PT Astra Serif" w:cs="Times New Roman"/>
          <w:b/>
          <w:szCs w:val="28"/>
          <w:lang w:eastAsia="ru-RU"/>
        </w:rPr>
        <w:t xml:space="preserve">1. </w:t>
      </w:r>
      <w:r w:rsidRPr="00250BEC">
        <w:rPr>
          <w:rFonts w:ascii="PT Astra Serif" w:hAnsi="PT Astra Serif"/>
          <w:b/>
          <w:szCs w:val="28"/>
        </w:rPr>
        <w:t>Развитие доходного потенциала региона, обеспечение прироста налоговых и неналоговых поступлений в консолидированный бюджет Ульяновской области не ниже уровня индекса потребительских цен на товары и услуги.</w:t>
      </w:r>
    </w:p>
    <w:p w14:paraId="7D67F330" w14:textId="77777777" w:rsidR="00250BEC" w:rsidRPr="00250BEC" w:rsidRDefault="00250BEC" w:rsidP="00250BEC">
      <w:pPr>
        <w:widowControl w:val="0"/>
        <w:contextualSpacing/>
        <w:rPr>
          <w:rFonts w:ascii="PT Astra Serif" w:eastAsia="Times New Roman" w:hAnsi="PT Astra Serif" w:cs="Times New Roman"/>
          <w:b/>
          <w:szCs w:val="28"/>
        </w:rPr>
      </w:pPr>
      <w:r w:rsidRPr="00250BEC">
        <w:rPr>
          <w:rFonts w:ascii="PT Astra Serif" w:eastAsia="Times New Roman" w:hAnsi="PT Astra Serif" w:cs="Times New Roman"/>
          <w:szCs w:val="28"/>
          <w:lang w:eastAsia="ru-RU"/>
        </w:rPr>
        <w:t>Решение задачи по укреплению доходной базы консолидированного</w:t>
      </w:r>
      <w:r w:rsidRPr="00250BEC">
        <w:rPr>
          <w:rFonts w:ascii="PT Astra Serif" w:eastAsia="Times New Roman" w:hAnsi="PT Astra Serif" w:cs="Times New Roman"/>
          <w:szCs w:val="28"/>
          <w:lang w:eastAsia="ru-RU"/>
        </w:rPr>
        <w:br/>
        <w:t>и областного бюджетов Ульяновской области, развитию доходного потенциала Ульяновской области в 2026 году будет решаться путём:</w:t>
      </w:r>
    </w:p>
    <w:p w14:paraId="17E96B4E"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реализации целенаправленной и взвешенной политики по пересмотру и оптимизации налоговых льгот (пониженных ставок), </w:t>
      </w:r>
      <w:r w:rsidRPr="00250BEC">
        <w:rPr>
          <w:rFonts w:ascii="PT Astra Serif" w:eastAsia="Times New Roman" w:hAnsi="PT Astra Serif" w:cs="Times New Roman"/>
          <w:szCs w:val="28"/>
        </w:rPr>
        <w:t>не имеющих стимулирующего влияния на налогоплательщиков</w:t>
      </w:r>
      <w:r w:rsidRPr="00250BEC">
        <w:rPr>
          <w:rFonts w:ascii="PT Astra Serif" w:eastAsia="Times New Roman" w:hAnsi="PT Astra Serif" w:cs="Arial"/>
          <w:color w:val="333333"/>
          <w:szCs w:val="28"/>
          <w:shd w:val="clear" w:color="auto" w:fill="FFFFFF"/>
        </w:rPr>
        <w:t xml:space="preserve"> </w:t>
      </w:r>
      <w:r w:rsidRPr="00250BEC">
        <w:rPr>
          <w:rFonts w:ascii="PT Astra Serif" w:eastAsia="Times New Roman" w:hAnsi="PT Astra Serif" w:cs="Arial"/>
          <w:color w:val="000000"/>
          <w:szCs w:val="28"/>
          <w:shd w:val="clear" w:color="auto" w:fill="FFFFFF"/>
        </w:rPr>
        <w:t>и на бюджетную отдачу,</w:t>
      </w:r>
      <w:r w:rsidRPr="00250BEC">
        <w:rPr>
          <w:rFonts w:ascii="PT Astra Serif" w:eastAsia="Times New Roman" w:hAnsi="PT Astra Serif" w:cs="Arial"/>
          <w:color w:val="000000"/>
          <w:szCs w:val="28"/>
          <w:shd w:val="clear" w:color="auto" w:fill="FFFFFF"/>
        </w:rPr>
        <w:br/>
      </w:r>
      <w:r w:rsidRPr="00250BEC">
        <w:rPr>
          <w:rFonts w:ascii="PT Astra Serif" w:eastAsia="Times New Roman" w:hAnsi="PT Astra Serif" w:cs="Times New Roman"/>
          <w:szCs w:val="28"/>
          <w:lang w:eastAsia="ru-RU"/>
        </w:rPr>
        <w:t>с целью минимизации их объёма;</w:t>
      </w:r>
    </w:p>
    <w:p w14:paraId="70C65458"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color w:val="000000"/>
          <w:szCs w:val="28"/>
          <w:lang w:eastAsia="ru-RU"/>
        </w:rPr>
        <w:t>недопущения роста просроченной дебиторской задолженности</w:t>
      </w:r>
      <w:r w:rsidRPr="00250BEC">
        <w:rPr>
          <w:rFonts w:ascii="PT Astra Serif" w:eastAsia="Times New Roman" w:hAnsi="PT Astra Serif" w:cs="Times New Roman"/>
          <w:color w:val="000000"/>
          <w:szCs w:val="28"/>
          <w:lang w:eastAsia="ru-RU"/>
        </w:rPr>
        <w:br/>
        <w:t xml:space="preserve">в соответствии с </w:t>
      </w:r>
      <w:r w:rsidRPr="00250BEC">
        <w:rPr>
          <w:rFonts w:ascii="PT Astra Serif" w:eastAsia="Times New Roman" w:hAnsi="PT Astra Serif" w:cs="Times New Roman"/>
          <w:bCs/>
          <w:color w:val="000000"/>
          <w:szCs w:val="28"/>
          <w:lang w:eastAsia="ru-RU"/>
        </w:rPr>
        <w:t xml:space="preserve">Поручением Президента </w:t>
      </w:r>
      <w:proofErr w:type="spellStart"/>
      <w:r w:rsidRPr="00250BEC">
        <w:rPr>
          <w:rFonts w:ascii="PT Astra Serif" w:eastAsia="Times New Roman" w:hAnsi="PT Astra Serif" w:cs="Times New Roman"/>
          <w:bCs/>
          <w:color w:val="000000"/>
          <w:szCs w:val="28"/>
          <w:lang w:eastAsia="ru-RU"/>
        </w:rPr>
        <w:t>РФот</w:t>
      </w:r>
      <w:proofErr w:type="spellEnd"/>
      <w:r w:rsidRPr="00250BEC">
        <w:rPr>
          <w:rFonts w:ascii="PT Astra Serif" w:eastAsia="Times New Roman" w:hAnsi="PT Astra Serif" w:cs="Times New Roman"/>
          <w:bCs/>
          <w:color w:val="000000"/>
          <w:szCs w:val="28"/>
          <w:lang w:eastAsia="ru-RU"/>
        </w:rPr>
        <w:t xml:space="preserve"> 02.07.2023 № Пр-1313. 2026 году будет проведён мониторинг </w:t>
      </w:r>
      <w:r w:rsidRPr="00250BEC">
        <w:rPr>
          <w:rFonts w:ascii="PT Astra Serif" w:eastAsia="Times New Roman" w:hAnsi="PT Astra Serif" w:cs="Times New Roman"/>
          <w:szCs w:val="28"/>
          <w:lang w:eastAsia="ru-RU"/>
        </w:rPr>
        <w:t xml:space="preserve">регламентов реализации полномочий главных администраторов доходов областного бюджета Ульяновской области по взысканию дебиторской </w:t>
      </w:r>
      <w:proofErr w:type="spellStart"/>
      <w:r w:rsidRPr="00250BEC">
        <w:rPr>
          <w:rFonts w:ascii="PT Astra Serif" w:eastAsia="Times New Roman" w:hAnsi="PT Astra Serif" w:cs="Times New Roman"/>
          <w:szCs w:val="28"/>
          <w:lang w:eastAsia="ru-RU"/>
        </w:rPr>
        <w:t>задолженностипо</w:t>
      </w:r>
      <w:proofErr w:type="spellEnd"/>
      <w:r w:rsidRPr="00250BEC">
        <w:rPr>
          <w:rFonts w:ascii="PT Astra Serif" w:eastAsia="Times New Roman" w:hAnsi="PT Astra Serif" w:cs="Times New Roman"/>
          <w:szCs w:val="28"/>
          <w:lang w:eastAsia="ru-RU"/>
        </w:rPr>
        <w:t xml:space="preserve"> платежам в бюджет, пеням </w:t>
      </w:r>
      <w:r w:rsidRPr="00250BEC">
        <w:rPr>
          <w:rFonts w:ascii="PT Astra Serif" w:eastAsia="Times New Roman" w:hAnsi="PT Astra Serif" w:cs="Times New Roman"/>
          <w:szCs w:val="28"/>
          <w:lang w:eastAsia="ru-RU"/>
        </w:rPr>
        <w:br/>
        <w:t>и штрафам по ним на предмет актуализации их на основе единых принципов, соответствующим федеральным;</w:t>
      </w:r>
    </w:p>
    <w:p w14:paraId="039E98FA"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реализации Плана мероприятий по увеличению поступлений доходов</w:t>
      </w:r>
      <w:r w:rsidRPr="00250BEC">
        <w:rPr>
          <w:rFonts w:ascii="PT Astra Serif" w:eastAsia="Times New Roman" w:hAnsi="PT Astra Serif" w:cs="Times New Roman"/>
          <w:szCs w:val="28"/>
          <w:lang w:eastAsia="ru-RU"/>
        </w:rPr>
        <w:br/>
        <w:t>в консолидированный бюджет Ульяновской области на 2026 год</w:t>
      </w:r>
      <w:r w:rsidRPr="00250BEC">
        <w:rPr>
          <w:rFonts w:ascii="PT Astra Serif" w:eastAsia="Times New Roman" w:hAnsi="PT Astra Serif" w:cs="Times New Roman"/>
          <w:i/>
          <w:szCs w:val="28"/>
          <w:lang w:eastAsia="ru-RU"/>
        </w:rPr>
        <w:t xml:space="preserve">, </w:t>
      </w:r>
      <w:r w:rsidRPr="00250BEC">
        <w:rPr>
          <w:rFonts w:ascii="PT Astra Serif" w:eastAsia="Times New Roman" w:hAnsi="PT Astra Serif" w:cs="Times New Roman"/>
          <w:szCs w:val="28"/>
          <w:lang w:eastAsia="ru-RU"/>
        </w:rPr>
        <w:t>разработанного Министерством финансов Ульяновской области совместно</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с исполнительными органами Ульяновской области, органами местного самоуправления и федеральными структурами, администрирующими отдельные доходные источники. Прогнозный экономический эффект от реализации Плана оценивается в сумме 514,1 млн рублей;</w:t>
      </w:r>
    </w:p>
    <w:p w14:paraId="765F5C99" w14:textId="77777777" w:rsidR="00250BEC" w:rsidRPr="00250BEC" w:rsidRDefault="00250BEC" w:rsidP="00250BEC">
      <w:pPr>
        <w:widowControl w:val="0"/>
        <w:autoSpaceDE w:val="0"/>
        <w:autoSpaceDN w:val="0"/>
        <w:adjustRightInd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реализации мероприятий по увеличению налоговых и неналоговых доходов, предусмотренных проектом Программы оздоровления государственных финансов Ульяновской области на 2026 - 2030 годы. Бюджетный эффект ожидается в сумме 871,8 млн рублей;</w:t>
      </w:r>
    </w:p>
    <w:p w14:paraId="4370591C" w14:textId="77777777" w:rsidR="00250BEC" w:rsidRPr="00250BEC" w:rsidRDefault="00250BEC" w:rsidP="00250BEC">
      <w:pPr>
        <w:widowControl w:val="0"/>
        <w:autoSpaceDE w:val="0"/>
        <w:autoSpaceDN w:val="0"/>
        <w:adjustRightInd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реализации Плана мероприятий по легализации экономической деятельности (сокращению теневого сектора) на 2026 год, утвержденного Губернатором Ульяновской области от 04.02.2026 №18-ПЛ.</w:t>
      </w:r>
    </w:p>
    <w:p w14:paraId="48176701" w14:textId="77777777" w:rsidR="00250BEC" w:rsidRPr="00250BEC" w:rsidRDefault="00250BEC" w:rsidP="00250BEC">
      <w:pPr>
        <w:widowControl w:val="0"/>
        <w:contextualSpacing/>
        <w:rPr>
          <w:rFonts w:ascii="PT Astra Serif" w:eastAsia="Times New Roman" w:hAnsi="PT Astra Serif" w:cs="Times New Roman"/>
          <w:b/>
          <w:szCs w:val="28"/>
        </w:rPr>
      </w:pPr>
      <w:r w:rsidRPr="00250BEC">
        <w:rPr>
          <w:rFonts w:ascii="PT Astra Serif" w:eastAsia="Times New Roman" w:hAnsi="PT Astra Serif" w:cs="Times New Roman"/>
          <w:b/>
          <w:szCs w:val="28"/>
        </w:rPr>
        <w:t>2. Повышение эффективности бюджетных расходов.</w:t>
      </w:r>
    </w:p>
    <w:p w14:paraId="44D7776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Работа, направленная на повышение эффективности бюджетных расходов областного бюджета Ульяновской области, будет осуществляться</w:t>
      </w:r>
      <w:r w:rsidRPr="00250BEC">
        <w:rPr>
          <w:rFonts w:ascii="PT Astra Serif" w:eastAsia="Times New Roman" w:hAnsi="PT Astra Serif" w:cs="Times New Roman"/>
          <w:szCs w:val="28"/>
          <w:lang w:eastAsia="ru-RU"/>
        </w:rPr>
        <w:br/>
        <w:t>в рамках реализации Программы оздоровления государственных финансов Ульяновской области на 2026-2030 годы. Реализация Программы оздоровления является одним из обязательств региона в соответствии</w:t>
      </w:r>
      <w:r w:rsidRPr="00250BEC">
        <w:rPr>
          <w:rFonts w:ascii="PT Astra Serif" w:eastAsia="Times New Roman" w:hAnsi="PT Astra Serif" w:cs="Times New Roman"/>
          <w:szCs w:val="28"/>
          <w:lang w:eastAsia="ru-RU"/>
        </w:rPr>
        <w:br/>
        <w:t xml:space="preserve">с Соглашением о мерах по социально-экономическому развитию </w:t>
      </w:r>
      <w:r w:rsidRPr="00250BEC">
        <w:rPr>
          <w:rFonts w:ascii="PT Astra Serif" w:eastAsia="Times New Roman" w:hAnsi="PT Astra Serif" w:cs="Times New Roman"/>
          <w:szCs w:val="28"/>
          <w:lang w:eastAsia="ru-RU"/>
        </w:rPr>
        <w:br/>
        <w:t>и оздоровлению государственных финансов, заключенным с Министерством финансов Российской Федерации.</w:t>
      </w:r>
    </w:p>
    <w:p w14:paraId="190D067C"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Задачи, стоящие перед Министерством финансов Ульяновской области в рамках </w:t>
      </w:r>
      <w:proofErr w:type="gramStart"/>
      <w:r w:rsidRPr="00250BEC">
        <w:rPr>
          <w:rFonts w:ascii="PT Astra Serif" w:eastAsia="Times New Roman" w:hAnsi="PT Astra Serif" w:cs="Times New Roman"/>
          <w:szCs w:val="28"/>
          <w:lang w:eastAsia="ru-RU"/>
        </w:rPr>
        <w:t>программно-целевого планирования</w:t>
      </w:r>
      <w:proofErr w:type="gramEnd"/>
      <w:r w:rsidRPr="00250BEC">
        <w:rPr>
          <w:rFonts w:ascii="PT Astra Serif" w:eastAsia="Times New Roman" w:hAnsi="PT Astra Serif" w:cs="Times New Roman"/>
          <w:szCs w:val="28"/>
          <w:lang w:eastAsia="ru-RU"/>
        </w:rPr>
        <w:t xml:space="preserve"> предполагают:</w:t>
      </w:r>
    </w:p>
    <w:p w14:paraId="23BE88E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оценку эффективности реализации государственных программ Ульяновской области за 2025 год в автоматизированном виде с применением актуализированной методики оценки эффективности, обеспечивающей единый подход к оценке проектной и процессной частей государственных программ с учётом региональных особенностей;</w:t>
      </w:r>
    </w:p>
    <w:p w14:paraId="5F9604A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аудит мероприятий (результатов) в увязке с предусмотренными объёмами средств, а также на соответствие условиям их предоставления;</w:t>
      </w:r>
    </w:p>
    <w:p w14:paraId="193DE14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завершение работы в муниципальных образованиях Ульяновской области (включая поселения) по автоматизации муниципальных программ</w:t>
      </w:r>
      <w:r w:rsidRPr="00250BEC">
        <w:rPr>
          <w:rFonts w:ascii="PT Astra Serif" w:eastAsia="Times New Roman" w:hAnsi="PT Astra Serif" w:cs="Times New Roman"/>
          <w:szCs w:val="28"/>
          <w:lang w:eastAsia="ru-RU"/>
        </w:rPr>
        <w:br/>
        <w:t>в соответствии с новой системой управления.</w:t>
      </w:r>
    </w:p>
    <w:p w14:paraId="75F8FDE4"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Ещё одной задачей на 2026 год является снижение объёма просроченной кредиторской задолженности и соблюдение условий выполнения, установленного Минфином России на 2026 год показателя «Доля просроченной кредиторской задолженности» - 1,17% от общего объёма расходов консолидированного бюджета Ульяновской области.</w:t>
      </w:r>
    </w:p>
    <w:p w14:paraId="6C31197F"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2026 году так же будет продолжена реализация мероприятий, направленных на погашение задолженности по страховым взносам</w:t>
      </w:r>
      <w:r w:rsidRPr="00250BEC">
        <w:rPr>
          <w:rFonts w:ascii="PT Astra Serif" w:eastAsia="Times New Roman" w:hAnsi="PT Astra Serif" w:cs="Times New Roman"/>
          <w:szCs w:val="28"/>
          <w:lang w:eastAsia="ru-RU"/>
        </w:rPr>
        <w:br/>
        <w:t>на обязательное социальное страхование работников муниципальных учреждений.</w:t>
      </w:r>
    </w:p>
    <w:p w14:paraId="32AC1F23" w14:textId="77777777" w:rsidR="00250BEC" w:rsidRPr="00250BEC" w:rsidRDefault="00250BEC" w:rsidP="00250BEC">
      <w:pPr>
        <w:widowControl w:val="0"/>
        <w:contextualSpacing/>
        <w:rPr>
          <w:rFonts w:ascii="PT Astra Serif" w:eastAsia="Times New Roman" w:hAnsi="PT Astra Serif" w:cs="Times New Roman"/>
          <w:b/>
          <w:color w:val="000000"/>
          <w:szCs w:val="28"/>
          <w:lang w:eastAsia="ru-RU"/>
        </w:rPr>
      </w:pPr>
      <w:r w:rsidRPr="00250BEC">
        <w:rPr>
          <w:rFonts w:ascii="PT Astra Serif" w:eastAsia="Times New Roman" w:hAnsi="PT Astra Serif" w:cs="Times New Roman"/>
          <w:b/>
          <w:color w:val="000000"/>
          <w:szCs w:val="28"/>
          <w:lang w:eastAsia="ru-RU"/>
        </w:rPr>
        <w:t xml:space="preserve">3. </w:t>
      </w:r>
      <w:r w:rsidRPr="00250BEC">
        <w:rPr>
          <w:rFonts w:ascii="PT Astra Serif" w:eastAsia="Times New Roman" w:hAnsi="PT Astra Serif" w:cs="PT Astra Serif"/>
          <w:b/>
          <w:szCs w:val="28"/>
          <w:lang w:eastAsia="ru-RU"/>
        </w:rPr>
        <w:t xml:space="preserve">Контроль за сбалансированностью </w:t>
      </w:r>
      <w:r w:rsidRPr="00250BEC">
        <w:rPr>
          <w:rFonts w:ascii="PT Astra Serif" w:eastAsia="Times New Roman" w:hAnsi="PT Astra Serif" w:cs="PT Astra Serif"/>
          <w:szCs w:val="28"/>
          <w:lang w:eastAsia="ru-RU"/>
        </w:rPr>
        <w:t xml:space="preserve">бюджетов муниципальных образований Ульяновской области, создание условий для равномерного развития муниципалитетов в синхронизации с Программами комплексного развития сельских территорий и долгосрочного планового развития, </w:t>
      </w:r>
      <w:r w:rsidRPr="00250BEC">
        <w:rPr>
          <w:rFonts w:ascii="PT Astra Serif" w:eastAsia="Times New Roman" w:hAnsi="PT Astra Serif" w:cs="PT Astra Serif"/>
          <w:szCs w:val="28"/>
          <w:lang w:eastAsia="ru-RU"/>
        </w:rPr>
        <w:lastRenderedPageBreak/>
        <w:t>погашение просроченной кредиторской задолженности муниципальных образований Ульяновской области путём заключения Соглашений, предусматривающих меры по социально-экономическому развитию</w:t>
      </w:r>
      <w:r w:rsidRPr="00250BEC">
        <w:rPr>
          <w:rFonts w:ascii="PT Astra Serif" w:eastAsia="Times New Roman" w:hAnsi="PT Astra Serif" w:cs="PT Astra Serif"/>
          <w:szCs w:val="28"/>
          <w:lang w:eastAsia="ru-RU"/>
        </w:rPr>
        <w:br/>
        <w:t>и оздоровлению муниципальных финансов.</w:t>
      </w:r>
    </w:p>
    <w:p w14:paraId="10336140"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4. Снижение объёма рыночного долга и доли расходов на его обслуживание.</w:t>
      </w:r>
    </w:p>
    <w:p w14:paraId="1E269E6E" w14:textId="77777777" w:rsidR="00250BEC" w:rsidRPr="00250BEC" w:rsidRDefault="00250BEC" w:rsidP="00250BEC">
      <w:pPr>
        <w:widowControl w:val="0"/>
        <w:autoSpaceDE w:val="0"/>
        <w:autoSpaceDN w:val="0"/>
        <w:adjustRightInd w:val="0"/>
        <w:contextualSpacing/>
        <w:rPr>
          <w:rFonts w:ascii="PT Astra Serif" w:eastAsia="Times New Roman" w:hAnsi="PT Astra Serif" w:cs="Times New Roman"/>
          <w:i/>
          <w:szCs w:val="28"/>
          <w:lang w:eastAsia="ru-RU"/>
        </w:rPr>
      </w:pPr>
      <w:r w:rsidRPr="00250BEC">
        <w:rPr>
          <w:rFonts w:ascii="PT Astra Serif" w:eastAsia="Times New Roman" w:hAnsi="PT Astra Serif" w:cs="Times New Roman"/>
          <w:szCs w:val="28"/>
          <w:lang w:eastAsia="ru-RU"/>
        </w:rPr>
        <w:t>Решение задачи по снижению уровня долговой нагрузки будет реализовано путём осуществления взвешенной долговой политики Ульяновской области и выполнения следующих мероприятий:</w:t>
      </w:r>
    </w:p>
    <w:p w14:paraId="4A98B50E"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i/>
          <w:szCs w:val="28"/>
          <w:lang w:eastAsia="ru-RU"/>
        </w:rPr>
        <w:t xml:space="preserve">Привлечение бюджетных кредитов на пополнение остатков средств на едином счёте бюджета. </w:t>
      </w:r>
      <w:r w:rsidRPr="00250BEC">
        <w:rPr>
          <w:rFonts w:ascii="PT Astra Serif" w:eastAsia="Times New Roman" w:hAnsi="PT Astra Serif" w:cs="Times New Roman"/>
          <w:szCs w:val="28"/>
          <w:lang w:eastAsia="ru-RU"/>
        </w:rPr>
        <w:t>Кредит предоставляется Управлением федерального казначейства Российской Федерации, процентная ставка 0,1%.</w:t>
      </w:r>
    </w:p>
    <w:p w14:paraId="5F66C4C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i/>
          <w:szCs w:val="28"/>
          <w:lang w:eastAsia="ru-RU"/>
        </w:rPr>
        <w:t xml:space="preserve">Выпуск ценных бумаг. </w:t>
      </w:r>
      <w:r w:rsidRPr="00250BEC">
        <w:rPr>
          <w:rFonts w:ascii="PT Astra Serif" w:eastAsia="Times New Roman" w:hAnsi="PT Astra Serif" w:cs="Times New Roman"/>
          <w:szCs w:val="28"/>
          <w:lang w:eastAsia="ru-RU"/>
        </w:rPr>
        <w:t>В кредитном портфеле региона 44,0% составляют ценные бумаги от 2,5 до 7 лет с амортизационным графиком погашения, что позволяет распределить долговую нагрузку на долгосрочный период, а также повысить уровень инвестиционной привлекательности региона.</w:t>
      </w:r>
    </w:p>
    <w:p w14:paraId="04981FA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i/>
          <w:szCs w:val="28"/>
          <w:lang w:eastAsia="ru-RU"/>
        </w:rPr>
        <w:t xml:space="preserve">Использование возобновляемых кредитных линий. </w:t>
      </w:r>
      <w:r w:rsidRPr="00250BEC">
        <w:rPr>
          <w:rFonts w:ascii="PT Astra Serif" w:eastAsia="Times New Roman" w:hAnsi="PT Astra Serif" w:cs="Times New Roman"/>
          <w:szCs w:val="28"/>
          <w:lang w:eastAsia="ru-RU"/>
        </w:rPr>
        <w:t xml:space="preserve">Министерством финансов Ульяновской области проводятся мероприятия по оптимизации кредитного портфеля, в том числе с использованием различных типов кредитных линий. </w:t>
      </w:r>
    </w:p>
    <w:p w14:paraId="5B03DC5B"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i/>
          <w:szCs w:val="28"/>
          <w:lang w:eastAsia="ru-RU"/>
        </w:rPr>
        <w:t xml:space="preserve">Рефинансирование имеющейся задолженности. </w:t>
      </w:r>
      <w:r w:rsidRPr="00250BEC">
        <w:rPr>
          <w:rFonts w:ascii="PT Astra Serif" w:eastAsia="Times New Roman" w:hAnsi="PT Astra Serif" w:cs="Times New Roman"/>
          <w:szCs w:val="28"/>
          <w:lang w:eastAsia="ru-RU"/>
        </w:rPr>
        <w:t xml:space="preserve">Министерство финансов Ульяновской области принимает участие в федеральных программах, проводимых Минфином России, которые способствуют снижению долговой нагрузки и удешевлению стоимости обслуживания государственного долга. </w:t>
      </w:r>
    </w:p>
    <w:p w14:paraId="3E2964D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i/>
          <w:szCs w:val="28"/>
          <w:lang w:eastAsia="ru-RU"/>
        </w:rPr>
        <w:t>Привлечение временно свободных остатков средств бюджетных</w:t>
      </w:r>
      <w:r w:rsidRPr="00250BEC">
        <w:rPr>
          <w:rFonts w:ascii="PT Astra Serif" w:eastAsia="Times New Roman" w:hAnsi="PT Astra Serif" w:cs="Times New Roman"/>
          <w:i/>
          <w:szCs w:val="28"/>
          <w:lang w:eastAsia="ru-RU"/>
        </w:rPr>
        <w:br/>
        <w:t>и автономных учреждений</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для обеспечения остатка средств на едином счёте бюджета Ульяновской области.</w:t>
      </w:r>
      <w:r w:rsidRPr="00250BEC">
        <w:rPr>
          <w:rFonts w:ascii="PT Astra Serif" w:eastAsia="Times New Roman" w:hAnsi="PT Astra Serif" w:cs="Times New Roman"/>
          <w:szCs w:val="28"/>
          <w:lang w:eastAsia="ru-RU"/>
        </w:rPr>
        <w:t xml:space="preserve"> Мероприятие позволяет не привлекать дорогостоящие коммерческие кредиты, тем самым снижая расходы на обслуживание государственного долга. </w:t>
      </w:r>
    </w:p>
    <w:p w14:paraId="550ED836"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Министерством финансов Ульяновской области будет продолжена работа по списанию задолженности региона по бюджетным кредитам</w:t>
      </w:r>
      <w:r w:rsidRPr="00250BEC">
        <w:rPr>
          <w:rFonts w:ascii="PT Astra Serif" w:eastAsia="Times New Roman" w:hAnsi="PT Astra Serif" w:cs="Times New Roman"/>
          <w:szCs w:val="28"/>
          <w:lang w:eastAsia="ru-RU"/>
        </w:rPr>
        <w:br/>
        <w:t>в рамках заключенного с Минфином России единого дополнительного соглашения от 28.03.2025 № 2025-00087/1, в соответствии с которым общий объём двух третей задолженности по бюджетным кредитам в 2025 – 2029 годах, который может быть предъявлен к списанию, составляет 14 844,3 млн рублей. В 2026 году планируется списание на сумму 470,7 млн рублей за счёт осуществленных в 2025 году расходов.</w:t>
      </w:r>
    </w:p>
    <w:p w14:paraId="3589615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Cs/>
          <w:szCs w:val="28"/>
          <w:lang w:eastAsia="ru-RU"/>
        </w:rPr>
        <w:t xml:space="preserve">В 2026 году, </w:t>
      </w:r>
      <w:r w:rsidRPr="00250BEC">
        <w:rPr>
          <w:rFonts w:ascii="PT Astra Serif" w:eastAsia="Times New Roman" w:hAnsi="PT Astra Serif" w:cs="Times New Roman"/>
          <w:szCs w:val="28"/>
          <w:lang w:eastAsia="ru-RU"/>
        </w:rPr>
        <w:t xml:space="preserve">в качестве дополнительного источника развития региона, будет продолжено использование предоставляемых Правительством Российской Федерации </w:t>
      </w:r>
      <w:r w:rsidRPr="00250BEC">
        <w:rPr>
          <w:rFonts w:ascii="PT Astra Serif" w:eastAsia="Times New Roman" w:hAnsi="PT Astra Serif" w:cs="Times New Roman"/>
          <w:i/>
          <w:szCs w:val="28"/>
          <w:lang w:eastAsia="ru-RU"/>
        </w:rPr>
        <w:t>казначейских</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инфраструктурных кредитов</w:t>
      </w:r>
      <w:r w:rsidRPr="00250BEC">
        <w:rPr>
          <w:rFonts w:ascii="PT Astra Serif" w:eastAsia="Times New Roman" w:hAnsi="PT Astra Serif" w:cs="Times New Roman"/>
          <w:szCs w:val="28"/>
          <w:lang w:eastAsia="ru-RU"/>
        </w:rPr>
        <w:t>, которые позволят финансировать инфраструктурные проекты, не влияя на уровень долговой устойчивости.</w:t>
      </w:r>
    </w:p>
    <w:p w14:paraId="72690D24" w14:textId="77777777" w:rsidR="00250BEC" w:rsidRPr="00250BEC" w:rsidRDefault="00250BEC" w:rsidP="00250BEC">
      <w:pPr>
        <w:widowControl w:val="0"/>
        <w:tabs>
          <w:tab w:val="left" w:pos="1421"/>
        </w:tabs>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 xml:space="preserve">5. Повышение прозрачности и открытости бюджетного процесса, вовлечение граждан в управление общественными финансами, </w:t>
      </w:r>
      <w:r w:rsidRPr="00250BEC">
        <w:rPr>
          <w:rFonts w:ascii="PT Astra Serif" w:eastAsia="Times New Roman" w:hAnsi="PT Astra Serif" w:cs="Times New Roman"/>
          <w:b/>
          <w:szCs w:val="28"/>
          <w:lang w:eastAsia="ru-RU"/>
        </w:rPr>
        <w:lastRenderedPageBreak/>
        <w:t>у</w:t>
      </w:r>
      <w:r w:rsidRPr="00250BEC">
        <w:rPr>
          <w:rFonts w:ascii="PT Astra Serif" w:hAnsi="PT Astra Serif"/>
          <w:b/>
          <w:szCs w:val="28"/>
        </w:rPr>
        <w:t>крепление экосистемы финансовой культуры в регионе и развитие инициативного бюджетирования, внедрение искусственного интеллекта.</w:t>
      </w:r>
    </w:p>
    <w:p w14:paraId="432A0E8C" w14:textId="77777777" w:rsidR="00250BEC" w:rsidRPr="00250BEC" w:rsidRDefault="00250BEC" w:rsidP="00250BEC">
      <w:pPr>
        <w:widowControl w:val="0"/>
        <w:tabs>
          <w:tab w:val="left" w:pos="0"/>
        </w:tabs>
        <w:contextualSpacing/>
        <w:rPr>
          <w:rFonts w:ascii="PT Astra Serif" w:eastAsia="Times New Roman" w:hAnsi="PT Astra Serif" w:cs="Times New Roman"/>
          <w:i/>
          <w:szCs w:val="28"/>
          <w:lang w:eastAsia="ru-RU"/>
        </w:rPr>
      </w:pPr>
      <w:r w:rsidRPr="00250BEC">
        <w:rPr>
          <w:rFonts w:ascii="PT Astra Serif" w:eastAsia="Times New Roman" w:hAnsi="PT Astra Serif" w:cs="Times New Roman"/>
          <w:bCs/>
          <w:i/>
          <w:szCs w:val="28"/>
          <w:lang w:eastAsia="ru-RU"/>
        </w:rPr>
        <w:t>Развитие Портала «Открытый бюджет Ульяновской области».</w:t>
      </w:r>
    </w:p>
    <w:p w14:paraId="3F7CDD1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целях обеспечения доступа граждан к информации об общественных финансах региона Министерством финансов Ульяновской области будет продолжена работа по актуализации разделов портала «Открытый бюджет Ульяновской области» и размещению баннеров по освещению деятельности Министерства финансов Ульяновской области по итогам работы за 2025 год.</w:t>
      </w:r>
    </w:p>
    <w:p w14:paraId="34397E3D" w14:textId="77777777" w:rsidR="00250BEC" w:rsidRPr="00250BEC" w:rsidRDefault="00250BEC" w:rsidP="00250BEC">
      <w:pPr>
        <w:widowControl w:val="0"/>
        <w:contextualSpacing/>
        <w:rPr>
          <w:rFonts w:ascii="PT Astra Serif" w:eastAsia="Times New Roman" w:hAnsi="PT Astra Serif" w:cs="Times New Roman"/>
          <w:i/>
          <w:szCs w:val="28"/>
          <w:lang w:eastAsia="ru-RU"/>
        </w:rPr>
      </w:pPr>
      <w:r w:rsidRPr="00250BEC">
        <w:rPr>
          <w:rFonts w:ascii="PT Astra Serif" w:eastAsia="Times New Roman" w:hAnsi="PT Astra Serif" w:cs="Times New Roman"/>
          <w:i/>
          <w:szCs w:val="28"/>
          <w:lang w:eastAsia="ru-RU"/>
        </w:rPr>
        <w:t>Участие институтов гражданского общества в процессе осуществления государственной политики в части, относящейся к сфере деятельности Министерства финансов Ульяновской области.</w:t>
      </w:r>
    </w:p>
    <w:p w14:paraId="1CACB25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Осуществление общественного контроля за деятельностью Министерства финансов Ульяновской области, включая рассмотрение проектов, вопросов разработки общественно значимых нормативных правовых актов и их реализации осуществляется в рамках работы Общественного совета при Министерстве финансов Ульяновской области.</w:t>
      </w:r>
    </w:p>
    <w:p w14:paraId="2841A43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состав Общественного совета входят представители высших учебных заведений, ведущих промышленных предприятий региона, малого бизнеса, банков, члены Общественной палаты Ульяновской области, имеющие высокий уровень профессиональных компетенций.</w:t>
      </w:r>
    </w:p>
    <w:p w14:paraId="7944D2AD" w14:textId="77777777" w:rsidR="00250BEC" w:rsidRPr="00250BEC" w:rsidRDefault="00250BEC" w:rsidP="00250BEC">
      <w:pPr>
        <w:widowControl w:val="0"/>
        <w:contextualSpacing/>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В целях обеспечения открытости и прозрачности деятельности Министерства финансов Ульяновской области работа Общественного совета в 2026 году будет осуществляться в рамках Плана, утверждённого Председателем Общественного совета и Заместителем Председателя Правительства Ульяновской области - Министром финансов Ульяновской области.</w:t>
      </w:r>
    </w:p>
    <w:p w14:paraId="60531FBF" w14:textId="77777777" w:rsidR="00250BEC" w:rsidRPr="00250BEC" w:rsidRDefault="00250BEC" w:rsidP="00250BEC">
      <w:pPr>
        <w:widowControl w:val="0"/>
        <w:tabs>
          <w:tab w:val="left" w:pos="1421"/>
        </w:tabs>
        <w:contextualSpacing/>
        <w:rPr>
          <w:rFonts w:ascii="PT Astra Serif" w:eastAsia="Times New Roman" w:hAnsi="PT Astra Serif" w:cs="Times New Roman"/>
          <w:i/>
          <w:szCs w:val="28"/>
          <w:lang w:eastAsia="ru-RU"/>
        </w:rPr>
      </w:pPr>
      <w:r w:rsidRPr="00250BEC">
        <w:rPr>
          <w:rFonts w:ascii="PT Astra Serif" w:eastAsia="Times New Roman" w:hAnsi="PT Astra Serif" w:cs="Times New Roman"/>
          <w:i/>
          <w:szCs w:val="28"/>
          <w:lang w:eastAsia="ru-RU"/>
        </w:rPr>
        <w:t>Развитие Проекта поддержки местных инициатив.</w:t>
      </w:r>
    </w:p>
    <w:p w14:paraId="6FF5C79D" w14:textId="77777777" w:rsidR="00250BEC" w:rsidRPr="00250BEC" w:rsidRDefault="00250BEC" w:rsidP="00250BEC">
      <w:pPr>
        <w:widowControl w:val="0"/>
        <w:tabs>
          <w:tab w:val="left" w:pos="567"/>
        </w:tabs>
        <w:contextualSpacing/>
        <w:rPr>
          <w:rFonts w:ascii="PT Astra Serif" w:eastAsia="Times New Roman" w:hAnsi="PT Astra Serif" w:cs="Times New Roman"/>
          <w:color w:val="000000"/>
          <w:szCs w:val="28"/>
          <w:lang w:eastAsia="ru-RU"/>
        </w:rPr>
      </w:pPr>
      <w:r w:rsidRPr="00250BEC">
        <w:rPr>
          <w:rFonts w:ascii="PT Astra Serif" w:eastAsia="Calibri" w:hAnsi="PT Astra Serif" w:cs="Times New Roman"/>
          <w:szCs w:val="28"/>
          <w:lang w:eastAsia="ru-RU"/>
        </w:rPr>
        <w:t xml:space="preserve">До участия в конкурсном отборе ППМИ-2026 </w:t>
      </w:r>
      <w:r w:rsidRPr="00250BEC">
        <w:rPr>
          <w:rFonts w:ascii="PT Astra Serif" w:eastAsia="Times New Roman" w:hAnsi="PT Astra Serif" w:cs="Times New Roman"/>
          <w:color w:val="000000"/>
          <w:szCs w:val="28"/>
          <w:lang w:eastAsia="ru-RU"/>
        </w:rPr>
        <w:t>допущено 186 проектов развития на сумму 397,7 млн рублей.</w:t>
      </w:r>
    </w:p>
    <w:p w14:paraId="42F7BB16" w14:textId="77777777" w:rsidR="00250BEC" w:rsidRPr="00250BEC" w:rsidRDefault="00250BEC" w:rsidP="00250BEC">
      <w:pPr>
        <w:widowControl w:val="0"/>
        <w:contextualSpacing/>
        <w:rPr>
          <w:rFonts w:ascii="PT Astra Serif" w:eastAsia="Times New Roman" w:hAnsi="PT Astra Serif" w:cs="Times New Roman"/>
          <w:i/>
          <w:szCs w:val="28"/>
        </w:rPr>
      </w:pPr>
      <w:r w:rsidRPr="00250BEC">
        <w:rPr>
          <w:rFonts w:ascii="PT Astra Serif" w:eastAsia="Times New Roman" w:hAnsi="PT Astra Serif" w:cs="Times New Roman"/>
          <w:i/>
          <w:szCs w:val="28"/>
        </w:rPr>
        <w:t>Содействие формированию у граждан разумного финансового поведения, обоснованных решений и ответственного отношения</w:t>
      </w:r>
      <w:r w:rsidRPr="00250BEC">
        <w:rPr>
          <w:rFonts w:ascii="PT Astra Serif" w:eastAsia="Times New Roman" w:hAnsi="PT Astra Serif" w:cs="Times New Roman"/>
          <w:i/>
          <w:szCs w:val="28"/>
        </w:rPr>
        <w:br/>
        <w:t>к личным финансам.</w:t>
      </w:r>
    </w:p>
    <w:p w14:paraId="34D107F2" w14:textId="77777777" w:rsidR="00250BEC" w:rsidRPr="00250BEC" w:rsidRDefault="00250BEC" w:rsidP="00250BEC">
      <w:pPr>
        <w:widowControl w:val="0"/>
        <w:tabs>
          <w:tab w:val="left" w:pos="284"/>
        </w:tabs>
        <w:rPr>
          <w:rFonts w:ascii="PT Astra Serif" w:eastAsia="Calibri" w:hAnsi="PT Astra Serif" w:cs="Segoe UI"/>
          <w:szCs w:val="28"/>
          <w:shd w:val="clear" w:color="auto" w:fill="FFFFFF"/>
        </w:rPr>
      </w:pPr>
      <w:r w:rsidRPr="00250BEC">
        <w:rPr>
          <w:rFonts w:ascii="PT Astra Serif" w:eastAsia="Calibri" w:hAnsi="PT Astra Serif" w:cs="Times New Roman"/>
          <w:szCs w:val="28"/>
        </w:rPr>
        <w:t xml:space="preserve">В 2026 году будет продолжена работа по </w:t>
      </w:r>
      <w:r w:rsidRPr="00250BEC">
        <w:rPr>
          <w:rFonts w:ascii="PT Astra Serif" w:eastAsia="Calibri" w:hAnsi="PT Astra Serif" w:cs="Segoe UI"/>
          <w:szCs w:val="28"/>
          <w:shd w:val="clear" w:color="auto" w:fill="FFFFFF"/>
        </w:rPr>
        <w:t>укреплению экосистемы финансовой культуры в регионе:</w:t>
      </w:r>
    </w:p>
    <w:p w14:paraId="522A974B" w14:textId="77777777" w:rsidR="00250BEC" w:rsidRPr="00250BEC" w:rsidRDefault="00250BEC" w:rsidP="00250BEC">
      <w:pPr>
        <w:widowControl w:val="0"/>
        <w:tabs>
          <w:tab w:val="left" w:pos="284"/>
        </w:tabs>
        <w:rPr>
          <w:rFonts w:ascii="PT Astra Serif" w:eastAsia="Calibri" w:hAnsi="PT Astra Serif" w:cs="Segoe UI"/>
          <w:szCs w:val="28"/>
          <w:shd w:val="clear" w:color="auto" w:fill="FFFFFF"/>
        </w:rPr>
      </w:pPr>
      <w:r w:rsidRPr="00250BEC">
        <w:rPr>
          <w:rFonts w:ascii="PT Astra Serif" w:eastAsia="Calibri" w:hAnsi="PT Astra Serif" w:cs="Segoe UI"/>
          <w:szCs w:val="28"/>
          <w:shd w:val="clear" w:color="auto" w:fill="FFFFFF"/>
        </w:rPr>
        <w:t xml:space="preserve">увеличение числа образовательных организаций, включивших элементы финансовой грамотности в образовательную программу; </w:t>
      </w:r>
    </w:p>
    <w:p w14:paraId="46FB03EB" w14:textId="77777777" w:rsidR="00250BEC" w:rsidRPr="00250BEC" w:rsidRDefault="00250BEC" w:rsidP="00250BEC">
      <w:pPr>
        <w:widowControl w:val="0"/>
        <w:tabs>
          <w:tab w:val="left" w:pos="284"/>
        </w:tabs>
        <w:rPr>
          <w:rFonts w:ascii="PT Astra Serif" w:eastAsia="Calibri" w:hAnsi="PT Astra Serif" w:cs="Segoe UI"/>
          <w:szCs w:val="28"/>
          <w:shd w:val="clear" w:color="auto" w:fill="FFFFFF"/>
        </w:rPr>
      </w:pPr>
      <w:r w:rsidRPr="00250BEC">
        <w:rPr>
          <w:rFonts w:ascii="PT Astra Serif" w:eastAsia="Calibri" w:hAnsi="PT Astra Serif" w:cs="Segoe UI"/>
          <w:szCs w:val="28"/>
          <w:shd w:val="clear" w:color="auto" w:fill="FFFFFF"/>
        </w:rPr>
        <w:t>укрепление межведомственного взаимодействия;</w:t>
      </w:r>
    </w:p>
    <w:p w14:paraId="26D228E3" w14:textId="77777777" w:rsidR="00250BEC" w:rsidRPr="00250BEC" w:rsidRDefault="00250BEC" w:rsidP="00250BEC">
      <w:pPr>
        <w:widowControl w:val="0"/>
        <w:tabs>
          <w:tab w:val="left" w:pos="284"/>
        </w:tabs>
        <w:rPr>
          <w:rFonts w:ascii="PT Astra Serif" w:eastAsia="Calibri" w:hAnsi="PT Astra Serif" w:cs="Segoe UI"/>
          <w:szCs w:val="28"/>
          <w:shd w:val="clear" w:color="auto" w:fill="FFFFFF"/>
        </w:rPr>
      </w:pPr>
      <w:r w:rsidRPr="00250BEC">
        <w:rPr>
          <w:rFonts w:ascii="PT Astra Serif" w:eastAsia="Calibri" w:hAnsi="PT Astra Serif" w:cs="Segoe UI"/>
          <w:szCs w:val="28"/>
          <w:shd w:val="clear" w:color="auto" w:fill="FFFFFF"/>
        </w:rPr>
        <w:t xml:space="preserve">увеличение числа волонтеров финансового просвещения; </w:t>
      </w:r>
    </w:p>
    <w:p w14:paraId="6777501F" w14:textId="77777777" w:rsidR="00250BEC" w:rsidRPr="00250BEC" w:rsidRDefault="00250BEC" w:rsidP="00250BEC">
      <w:pPr>
        <w:widowControl w:val="0"/>
        <w:tabs>
          <w:tab w:val="left" w:pos="284"/>
        </w:tabs>
        <w:rPr>
          <w:rFonts w:ascii="PT Astra Serif" w:eastAsia="Calibri" w:hAnsi="PT Astra Serif" w:cs="Segoe UI"/>
          <w:szCs w:val="28"/>
          <w:shd w:val="clear" w:color="auto" w:fill="FFFFFF"/>
        </w:rPr>
      </w:pPr>
      <w:r w:rsidRPr="00250BEC">
        <w:rPr>
          <w:rFonts w:ascii="PT Astra Serif" w:eastAsia="Calibri" w:hAnsi="PT Astra Serif" w:cs="Segoe UI"/>
          <w:szCs w:val="28"/>
          <w:shd w:val="clear" w:color="auto" w:fill="FFFFFF"/>
        </w:rPr>
        <w:t xml:space="preserve">сотрудничество с федеральными методическими центрами в части повышения квалификации консультантов-методистов; </w:t>
      </w:r>
    </w:p>
    <w:p w14:paraId="6749B649" w14:textId="77777777" w:rsidR="00250BEC" w:rsidRPr="00250BEC" w:rsidRDefault="00250BEC" w:rsidP="00250BEC">
      <w:pPr>
        <w:widowControl w:val="0"/>
        <w:tabs>
          <w:tab w:val="left" w:pos="284"/>
        </w:tabs>
        <w:rPr>
          <w:rFonts w:ascii="PT Astra Serif" w:eastAsia="Calibri" w:hAnsi="PT Astra Serif" w:cs="Times New Roman"/>
          <w:szCs w:val="28"/>
        </w:rPr>
      </w:pPr>
      <w:r w:rsidRPr="00250BEC">
        <w:rPr>
          <w:rFonts w:ascii="PT Astra Serif" w:eastAsia="Calibri" w:hAnsi="PT Astra Serif" w:cs="Segoe UI"/>
          <w:szCs w:val="28"/>
          <w:shd w:val="clear" w:color="auto" w:fill="FFFFFF"/>
        </w:rPr>
        <w:t>усиление информирования и просвещения населения по наиболее актуальным вопросам финансовой грамотности</w:t>
      </w:r>
      <w:r w:rsidRPr="00250BEC">
        <w:rPr>
          <w:rFonts w:ascii="PT Astra Serif" w:eastAsia="Calibri" w:hAnsi="PT Astra Serif" w:cs="Times New Roman"/>
          <w:szCs w:val="28"/>
        </w:rPr>
        <w:t xml:space="preserve"> с охватом населения не менее 360 тыс. человек и организацией не менее 9000</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площадок.</w:t>
      </w:r>
    </w:p>
    <w:p w14:paraId="11E3067C" w14:textId="77777777" w:rsidR="00250BEC" w:rsidRPr="00250BEC" w:rsidRDefault="00250BEC" w:rsidP="00250BEC">
      <w:pPr>
        <w:widowControl w:val="0"/>
        <w:contextualSpacing/>
        <w:rPr>
          <w:rFonts w:ascii="PT Astra Serif" w:eastAsia="Times New Roman" w:hAnsi="PT Astra Serif" w:cs="Times New Roman"/>
          <w:b/>
          <w:szCs w:val="28"/>
        </w:rPr>
      </w:pPr>
      <w:r w:rsidRPr="00250BEC">
        <w:rPr>
          <w:rFonts w:ascii="PT Astra Serif" w:eastAsia="Times New Roman" w:hAnsi="PT Astra Serif" w:cs="Times New Roman"/>
          <w:b/>
          <w:szCs w:val="28"/>
        </w:rPr>
        <w:t>6. Цифровизация бюджетных процессов.</w:t>
      </w:r>
    </w:p>
    <w:p w14:paraId="4D7C6F1B"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 xml:space="preserve">В 2026 году будет продолжена работа по дальнейшей интеграции </w:t>
      </w:r>
      <w:r w:rsidRPr="00250BEC">
        <w:rPr>
          <w:rFonts w:ascii="PT Astra Serif" w:eastAsia="Calibri" w:hAnsi="PT Astra Serif" w:cs="Times New Roman"/>
          <w:szCs w:val="28"/>
        </w:rPr>
        <w:lastRenderedPageBreak/>
        <w:t>систем, развитию аналитики на основе больших данных и повышению удобства сервисов Министерства финансов Ульяновской области для всех участников бюджетного процесса.</w:t>
      </w:r>
    </w:p>
    <w:p w14:paraId="39BF312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Ведётся работа по внедрению элементов искусственного интеллекта</w:t>
      </w:r>
      <w:r w:rsidRPr="00250BEC">
        <w:rPr>
          <w:rFonts w:ascii="PT Astra Serif" w:eastAsia="Times New Roman" w:hAnsi="PT Astra Serif" w:cs="Times New Roman"/>
          <w:szCs w:val="28"/>
          <w:lang w:eastAsia="ru-RU"/>
        </w:rPr>
        <w:br/>
        <w:t>в бюджетный процесс - автоматизация приёма конкурсных заявок с помощью искусственного интеллекта в рамках реализации Проекта поддержки местных инициатив.</w:t>
      </w:r>
    </w:p>
    <w:p w14:paraId="76CD96E8" w14:textId="77777777" w:rsidR="00250BEC" w:rsidRPr="00250BEC" w:rsidRDefault="00250BEC" w:rsidP="00250BEC">
      <w:pPr>
        <w:widowControl w:val="0"/>
        <w:contextualSpacing/>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Кроме того, в рамках развития </w:t>
      </w:r>
      <w:proofErr w:type="spellStart"/>
      <w:r w:rsidRPr="00250BEC">
        <w:rPr>
          <w:rFonts w:ascii="PT Astra Serif" w:eastAsia="Times New Roman" w:hAnsi="PT Astra Serif" w:cs="Times New Roman"/>
          <w:color w:val="000000"/>
          <w:szCs w:val="28"/>
          <w:lang w:eastAsia="ru-RU"/>
        </w:rPr>
        <w:t>клиентоориентированного</w:t>
      </w:r>
      <w:proofErr w:type="spellEnd"/>
      <w:r w:rsidRPr="00250BEC">
        <w:rPr>
          <w:rFonts w:ascii="PT Astra Serif" w:eastAsia="Times New Roman" w:hAnsi="PT Astra Serif" w:cs="Times New Roman"/>
          <w:color w:val="000000"/>
          <w:szCs w:val="28"/>
          <w:lang w:eastAsia="ru-RU"/>
        </w:rPr>
        <w:t xml:space="preserve"> сервиса планируется внедрить в службу технической поддержки АЦК интеллектуального чат-бота. Это позволит в режиме 24/7 предоставлять мгновенные ответы на типовые вопросы пользователей, автоматизировать решение стандартных проблем и существенно разгрузить операторов для работы со сложными, нестандартными обращениями. Это позволит взаимодействие с платформой еще более удобным и оперативным для всех пользователей системы.</w:t>
      </w:r>
    </w:p>
    <w:p w14:paraId="48233825"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Крайне важная задача 2026 года – обеспечение технологической независимости информационных систем.</w:t>
      </w:r>
    </w:p>
    <w:p w14:paraId="0A2DB2A5"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рамках стратегического плана по цифровой трансформации</w:t>
      </w:r>
      <w:r w:rsidRPr="00250BEC">
        <w:rPr>
          <w:rFonts w:ascii="PT Astra Serif" w:eastAsia="Times New Roman" w:hAnsi="PT Astra Serif" w:cs="Times New Roman"/>
          <w:szCs w:val="28"/>
          <w:lang w:eastAsia="ru-RU"/>
        </w:rPr>
        <w:br/>
        <w:t>и обеспечению информационной безопасности в Министерстве финансов Ульяновской области был осуществлён переход на отечественное программное обеспечение для системы планирования и исполнения государственного бюджета — Государственной информационной системы «АЦК» (Автоматизированной системы исполнения бюджета). Этот переход является частью комплексной программы импортозамещения и повышения уровня технологической независимости.</w:t>
      </w:r>
    </w:p>
    <w:p w14:paraId="162B1732"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течение 2025 года проводилась интенсивная работа с разработчиками ряда других информационных систем, эксплуатируемых в Министерстве финансов Ульяновской области, которые также требуют перехода на российскую платформу. В частности, был разработан и утверждён детальный план мероприятий по переводу системы «Портал Открытый бюджет Ульяновской области» на отечественное программное обеспечение </w:t>
      </w:r>
      <w:r w:rsidRPr="00250BEC">
        <w:rPr>
          <w:rFonts w:ascii="PT Astra Serif" w:eastAsia="Times New Roman" w:hAnsi="PT Astra Serif" w:cs="Times New Roman"/>
          <w:szCs w:val="28"/>
          <w:lang w:eastAsia="ru-RU"/>
        </w:rPr>
        <w:br/>
        <w:t>с предполагаемым завершением работ к августу 2026 года.</w:t>
      </w:r>
    </w:p>
    <w:p w14:paraId="0E2595EF"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Прочие информационные системы, функционирующие на базе иностранного программного обеспечения, планируется поэтапно вывести</w:t>
      </w:r>
      <w:r w:rsidRPr="00250BEC">
        <w:rPr>
          <w:rFonts w:ascii="PT Astra Serif" w:eastAsia="Times New Roman" w:hAnsi="PT Astra Serif" w:cs="Times New Roman"/>
          <w:szCs w:val="28"/>
          <w:lang w:eastAsia="ru-RU"/>
        </w:rPr>
        <w:br/>
        <w:t>из эксплуатации в течение 2026 года. Так, система бухгалтерской</w:t>
      </w:r>
      <w:r w:rsidRPr="00250BEC">
        <w:rPr>
          <w:rFonts w:ascii="PT Astra Serif" w:eastAsia="Times New Roman" w:hAnsi="PT Astra Serif" w:cs="Times New Roman"/>
          <w:szCs w:val="28"/>
          <w:lang w:eastAsia="ru-RU"/>
        </w:rPr>
        <w:br/>
        <w:t>и финансовой отчётности ГИС «СКИФ» заменена на российскую аналогичную по функционалу систему «Свод-Смарт». Кроме того, официальный сайт Министерства финансов Ульяновской области будет интегрирован в федеральную информационную платформу «</w:t>
      </w:r>
      <w:proofErr w:type="spellStart"/>
      <w:r w:rsidRPr="00250BEC">
        <w:rPr>
          <w:rFonts w:ascii="PT Astra Serif" w:eastAsia="Times New Roman" w:hAnsi="PT Astra Serif" w:cs="Times New Roman"/>
          <w:szCs w:val="28"/>
          <w:lang w:eastAsia="ru-RU"/>
        </w:rPr>
        <w:t>ГосВеб</w:t>
      </w:r>
      <w:proofErr w:type="spellEnd"/>
      <w:r w:rsidRPr="00250BEC">
        <w:rPr>
          <w:rFonts w:ascii="PT Astra Serif" w:eastAsia="Times New Roman" w:hAnsi="PT Astra Serif" w:cs="Times New Roman"/>
          <w:szCs w:val="28"/>
          <w:lang w:eastAsia="ru-RU"/>
        </w:rPr>
        <w:t>», что позволит обеспечить более высокий уровень информационной безопасности и интеграции с государственными информационными ресурсами.</w:t>
      </w:r>
    </w:p>
    <w:p w14:paraId="52F5B136"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отношении прикладного программного обеспечения, установленного на рабочих местах сотрудников, вопрос обеспечения антивирусной защиты</w:t>
      </w:r>
      <w:r w:rsidRPr="00250BEC">
        <w:rPr>
          <w:rFonts w:ascii="PT Astra Serif" w:eastAsia="Times New Roman" w:hAnsi="PT Astra Serif" w:cs="Times New Roman"/>
          <w:szCs w:val="28"/>
          <w:lang w:eastAsia="ru-RU"/>
        </w:rPr>
        <w:br/>
        <w:t>и использования интернет - обозревателей решён полностью.</w:t>
      </w:r>
    </w:p>
    <w:p w14:paraId="369C5815"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2025 году были приобретены и установлены комплекты системного</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и офисного программного обеспечения отечественного производства</w:t>
      </w:r>
      <w:r w:rsidRPr="00250BEC">
        <w:rPr>
          <w:rFonts w:ascii="PT Astra Serif" w:eastAsia="Times New Roman" w:hAnsi="PT Astra Serif" w:cs="Times New Roman"/>
          <w:szCs w:val="28"/>
          <w:lang w:eastAsia="ru-RU"/>
        </w:rPr>
        <w:br/>
        <w:t>на 27 рабочих местах. В 2026 году планируется завершить этот процесс, установив аналогичное программное обеспечение на оставшиеся 73 рабочих места.</w:t>
      </w:r>
    </w:p>
    <w:p w14:paraId="26EBF3F3"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Таким образом, задача к концу 2026 года - все показатели, связанные</w:t>
      </w:r>
      <w:r w:rsidRPr="00250BEC">
        <w:rPr>
          <w:rFonts w:ascii="PT Astra Serif" w:eastAsia="Times New Roman" w:hAnsi="PT Astra Serif" w:cs="Times New Roman"/>
          <w:szCs w:val="28"/>
          <w:lang w:eastAsia="ru-RU"/>
        </w:rPr>
        <w:br/>
        <w:t>с переходом на российское программное обеспечение выполнить в полном объёме и обеспечить высокий уровень технологической независимости</w:t>
      </w:r>
      <w:r w:rsidRPr="00250BEC">
        <w:rPr>
          <w:rFonts w:ascii="PT Astra Serif" w:eastAsia="Times New Roman" w:hAnsi="PT Astra Serif" w:cs="Times New Roman"/>
          <w:szCs w:val="28"/>
          <w:lang w:eastAsia="ru-RU"/>
        </w:rPr>
        <w:br/>
        <w:t>и информационной безопасности Министерства финансов Ульяновской области.</w:t>
      </w:r>
    </w:p>
    <w:p w14:paraId="44FA6E58" w14:textId="77777777" w:rsidR="00250BEC" w:rsidRPr="00250BEC" w:rsidRDefault="00250BEC" w:rsidP="00250BEC">
      <w:pPr>
        <w:widowControl w:val="0"/>
        <w:contextualSpacing/>
        <w:rPr>
          <w:rFonts w:ascii="PT Astra Serif" w:eastAsia="Times New Roman" w:hAnsi="PT Astra Serif" w:cs="Times New Roman"/>
          <w:b/>
          <w:szCs w:val="28"/>
        </w:rPr>
      </w:pPr>
      <w:r w:rsidRPr="00250BEC">
        <w:rPr>
          <w:rFonts w:ascii="PT Astra Serif" w:eastAsia="Times New Roman" w:hAnsi="PT Astra Serif" w:cs="Times New Roman"/>
          <w:b/>
          <w:szCs w:val="28"/>
        </w:rPr>
        <w:t>7. Ключевая задача – обеспечение сбалансированности областного бюджета, бесперебойное финансирование расходов областного бюджета</w:t>
      </w:r>
      <w:r w:rsidRPr="00250BEC">
        <w:rPr>
          <w:rFonts w:ascii="PT Astra Serif" w:eastAsia="Times New Roman" w:hAnsi="PT Astra Serif" w:cs="Times New Roman"/>
          <w:b/>
          <w:szCs w:val="28"/>
        </w:rPr>
        <w:br/>
        <w:t>в текущих условиях.</w:t>
      </w:r>
    </w:p>
    <w:p w14:paraId="5668013B" w14:textId="77777777" w:rsidR="00250BEC" w:rsidRPr="00250BEC" w:rsidRDefault="00250BEC" w:rsidP="00250BEC">
      <w:pPr>
        <w:widowControl w:val="0"/>
        <w:tabs>
          <w:tab w:val="left" w:pos="284"/>
        </w:tabs>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Задачи в сфере управления государственными финансами на 2026 год соответствуют основным приоритетам социально-экономического развития Ульяновской области на период до 2036 года, направлены на сбалансированное и устойчивое развитие региона, повышение качества жизни граждан, ориентированы на исполнение национальных целей развития.</w:t>
      </w:r>
    </w:p>
    <w:p w14:paraId="6F041769" w14:textId="77777777" w:rsidR="00250BEC" w:rsidRPr="00250BEC" w:rsidRDefault="00250BEC" w:rsidP="00250BEC">
      <w:pPr>
        <w:widowControl w:val="0"/>
        <w:tabs>
          <w:tab w:val="left" w:pos="284"/>
        </w:tabs>
        <w:rPr>
          <w:rFonts w:ascii="PT Astra Serif" w:hAnsi="PT Astra Serif"/>
          <w:szCs w:val="28"/>
        </w:rPr>
      </w:pPr>
    </w:p>
    <w:p w14:paraId="0B031554" w14:textId="77777777" w:rsidR="00250BEC" w:rsidRPr="00250BEC" w:rsidRDefault="00250BEC" w:rsidP="00250BEC">
      <w:pPr>
        <w:widowControl w:val="0"/>
        <w:tabs>
          <w:tab w:val="left" w:pos="284"/>
        </w:tabs>
        <w:rPr>
          <w:rFonts w:ascii="PT Astra Serif" w:eastAsia="Times New Roman" w:hAnsi="PT Astra Serif" w:cs="Times New Roman"/>
          <w:b/>
          <w:color w:val="000000" w:themeColor="text1"/>
          <w:spacing w:val="5"/>
          <w:szCs w:val="28"/>
          <w:highlight w:val="yellow"/>
          <w:lang w:eastAsia="ar-SA"/>
        </w:rPr>
      </w:pPr>
      <w:r w:rsidRPr="00250BEC">
        <w:rPr>
          <w:rFonts w:ascii="PT Astra Serif" w:eastAsia="Times New Roman" w:hAnsi="PT Astra Serif" w:cs="Times New Roman"/>
          <w:b/>
          <w:color w:val="000000" w:themeColor="text1"/>
          <w:spacing w:val="5"/>
          <w:szCs w:val="28"/>
          <w:highlight w:val="yellow"/>
          <w:lang w:eastAsia="ar-SA"/>
        </w:rPr>
        <w:br w:type="page"/>
      </w:r>
    </w:p>
    <w:p w14:paraId="1055E680" w14:textId="77777777" w:rsidR="00250BEC" w:rsidRPr="00250BEC" w:rsidRDefault="00250BEC" w:rsidP="00250BEC">
      <w:pPr>
        <w:widowControl w:val="0"/>
        <w:ind w:firstLine="0"/>
        <w:jc w:val="center"/>
        <w:outlineLvl w:val="0"/>
        <w:rPr>
          <w:rFonts w:ascii="PT Astra Serif" w:eastAsia="Calibri" w:hAnsi="PT Astra Serif"/>
          <w:b/>
          <w:szCs w:val="28"/>
        </w:rPr>
      </w:pPr>
      <w:bookmarkStart w:id="43" w:name="_Toc225327536"/>
      <w:bookmarkStart w:id="44" w:name="_Toc226016708"/>
      <w:r w:rsidRPr="00250BEC">
        <w:rPr>
          <w:rFonts w:ascii="PT Astra Serif" w:eastAsia="Calibri" w:hAnsi="PT Astra Serif"/>
          <w:b/>
          <w:szCs w:val="28"/>
        </w:rPr>
        <w:lastRenderedPageBreak/>
        <w:t>ГОСУДАРСТВЕННЫЕ ЗАКУПКИ</w:t>
      </w:r>
      <w:bookmarkEnd w:id="43"/>
      <w:bookmarkEnd w:id="44"/>
    </w:p>
    <w:p w14:paraId="4A786BB4" w14:textId="77777777" w:rsidR="00250BEC" w:rsidRPr="00250BEC" w:rsidRDefault="00250BEC" w:rsidP="00250BEC">
      <w:pPr>
        <w:widowControl w:val="0"/>
        <w:ind w:firstLine="0"/>
        <w:jc w:val="center"/>
        <w:rPr>
          <w:rFonts w:ascii="PT Astra Serif" w:eastAsia="Calibri" w:hAnsi="PT Astra Serif"/>
          <w:b/>
          <w:szCs w:val="28"/>
        </w:rPr>
      </w:pPr>
    </w:p>
    <w:p w14:paraId="08C8C2D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Важнейшими задачами закупочной политики Правительства Ульяновской области является постоянное совершенствование закупочной системы региона, эффективное расходование денежных средств, развитие конкуренции, поддержка бизнеса и предупреждение нарушений.</w:t>
      </w:r>
    </w:p>
    <w:p w14:paraId="18E8766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Вызовы современного мира определяют управленческие задачи, решение которых возможно только при комплексном подходе, предусматривающем открытую и прозрачную систему закупок. Введенный национальный режим в сферу закупок направлен на поддержку российских товаропроизводителей, призван обеспечить развитие промышленного потенциала, решить задачи импортозамещения и обеспечить технический суверенитет России в целом.</w:t>
      </w:r>
    </w:p>
    <w:p w14:paraId="2912DFED" w14:textId="77777777" w:rsidR="00250BEC" w:rsidRPr="00250BEC" w:rsidRDefault="00250BEC" w:rsidP="00250BEC">
      <w:pPr>
        <w:widowControl w:val="0"/>
        <w:ind w:firstLine="0"/>
        <w:jc w:val="left"/>
        <w:rPr>
          <w:rFonts w:ascii="PT Astra Serif" w:eastAsia="Times New Roman" w:hAnsi="PT Astra Serif" w:cs="Times New Roman"/>
          <w:b/>
          <w:bCs/>
          <w:szCs w:val="24"/>
          <w:lang w:eastAsia="ru-RU"/>
        </w:rPr>
      </w:pPr>
    </w:p>
    <w:p w14:paraId="54255BC4" w14:textId="77777777" w:rsidR="00250BEC" w:rsidRPr="00250BEC" w:rsidRDefault="00250BEC" w:rsidP="00250BEC">
      <w:pPr>
        <w:widowControl w:val="0"/>
        <w:ind w:firstLine="0"/>
        <w:jc w:val="center"/>
        <w:rPr>
          <w:rFonts w:ascii="PT Astra Serif" w:eastAsia="Calibri" w:hAnsi="PT Astra Serif" w:cs="Times New Roman"/>
          <w:b/>
          <w:bCs/>
          <w:szCs w:val="28"/>
        </w:rPr>
      </w:pPr>
      <w:r w:rsidRPr="00250BEC">
        <w:rPr>
          <w:rFonts w:ascii="PT Astra Serif" w:eastAsia="Calibri" w:hAnsi="PT Astra Serif" w:cs="Times New Roman"/>
          <w:b/>
          <w:bCs/>
          <w:szCs w:val="28"/>
        </w:rPr>
        <w:t>Общая характеристика системы закупок Ульяновской области</w:t>
      </w:r>
    </w:p>
    <w:p w14:paraId="383E51C9" w14:textId="77777777" w:rsidR="00250BEC" w:rsidRPr="00250BEC" w:rsidRDefault="00250BEC" w:rsidP="00250BEC">
      <w:pPr>
        <w:widowControl w:val="0"/>
        <w:rPr>
          <w:rFonts w:ascii="PT Astra Serif" w:eastAsia="Calibri" w:hAnsi="PT Astra Serif" w:cs="Times New Roman"/>
          <w:szCs w:val="28"/>
        </w:rPr>
      </w:pPr>
    </w:p>
    <w:p w14:paraId="49D44EDB"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bCs/>
          <w:szCs w:val="28"/>
        </w:rPr>
        <w:t>Закон 44-ФЗ:</w:t>
      </w:r>
      <w:r w:rsidRPr="00250BEC">
        <w:rPr>
          <w:rFonts w:ascii="PT Astra Serif" w:eastAsia="Calibri" w:hAnsi="PT Astra Serif" w:cs="Times New Roman"/>
          <w:szCs w:val="28"/>
        </w:rPr>
        <w:t xml:space="preserve"> Для реализации возложенных на заказчиков функций </w:t>
      </w:r>
      <w:r w:rsidRPr="00250BEC">
        <w:rPr>
          <w:rFonts w:ascii="PT Astra Serif" w:eastAsia="Calibri" w:hAnsi="PT Astra Serif" w:cs="Times New Roman"/>
          <w:szCs w:val="28"/>
        </w:rPr>
        <w:br/>
        <w:t xml:space="preserve">и полномочий в Ульяновской области создана централизованная система закупок как на уровне субъекта, так и на муниципальном уровне </w:t>
      </w:r>
      <w:r w:rsidRPr="00250BEC">
        <w:rPr>
          <w:rFonts w:ascii="PT Astra Serif" w:eastAsia="Calibri" w:hAnsi="PT Astra Serif" w:cs="Times New Roman"/>
          <w:szCs w:val="28"/>
        </w:rPr>
        <w:br/>
        <w:t>в соответствии со статьей 26 Закона 44-ФЗ.</w:t>
      </w:r>
    </w:p>
    <w:p w14:paraId="70E2024B"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Размещение конкурентных закупок осуществляется через уполномоченные органы:</w:t>
      </w:r>
    </w:p>
    <w:p w14:paraId="297EF62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на уровне субъекта – 1 уполномоченный орган: Агентство государственных закупок Ульяновской области (далее – Агентство);</w:t>
      </w:r>
    </w:p>
    <w:p w14:paraId="06B6EAC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на муниципальном уровне – 24 уполномоченных органа (в каждом муниципальном образовании региона).</w:t>
      </w:r>
    </w:p>
    <w:p w14:paraId="325A74C5" w14:textId="77777777" w:rsidR="00250BEC" w:rsidRPr="00250BEC" w:rsidRDefault="00250BEC" w:rsidP="00250BEC">
      <w:pPr>
        <w:widowControl w:val="0"/>
        <w:autoSpaceDE w:val="0"/>
        <w:autoSpaceDN w:val="0"/>
        <w:adjustRightInd w:val="0"/>
        <w:rPr>
          <w:rFonts w:ascii="PT Astra Serif" w:eastAsia="Calibri" w:hAnsi="PT Astra Serif" w:cs="PT Astra Serif"/>
          <w:szCs w:val="28"/>
          <w:lang w:eastAsia="ru-RU"/>
        </w:rPr>
      </w:pPr>
      <w:r w:rsidRPr="00250BEC">
        <w:rPr>
          <w:rFonts w:ascii="PT Astra Serif" w:eastAsia="Calibri" w:hAnsi="PT Astra Serif" w:cs="PT Astra Serif"/>
          <w:szCs w:val="28"/>
          <w:lang w:eastAsia="ru-RU"/>
        </w:rPr>
        <w:t>В хронологии развития региональной централизации закупок по Закону 44-ФЗ можно выделить следующие ключевые этапы.</w:t>
      </w:r>
    </w:p>
    <w:p w14:paraId="533E692E" w14:textId="77777777" w:rsidR="00250BEC" w:rsidRPr="00250BEC" w:rsidRDefault="00250BEC" w:rsidP="00250BEC">
      <w:pPr>
        <w:widowControl w:val="0"/>
        <w:rPr>
          <w:rFonts w:ascii="PT Astra Serif" w:eastAsia="Times New Roman" w:hAnsi="PT Astra Serif" w:cs="Times New Roman"/>
          <w:iCs/>
          <w:szCs w:val="28"/>
          <w:lang w:eastAsia="ru-RU"/>
        </w:rPr>
      </w:pPr>
      <w:r w:rsidRPr="00250BEC">
        <w:rPr>
          <w:rFonts w:ascii="PT Astra Serif" w:eastAsia="Times New Roman" w:hAnsi="PT Astra Serif" w:cs="Times New Roman"/>
          <w:iCs/>
          <w:szCs w:val="28"/>
          <w:lang w:eastAsia="ru-RU"/>
        </w:rPr>
        <w:t xml:space="preserve">Создание централизованной системы </w:t>
      </w:r>
      <w:proofErr w:type="spellStart"/>
      <w:r w:rsidRPr="00250BEC">
        <w:rPr>
          <w:rFonts w:ascii="PT Astra Serif" w:eastAsia="Times New Roman" w:hAnsi="PT Astra Serif" w:cs="Times New Roman"/>
          <w:iCs/>
          <w:szCs w:val="28"/>
          <w:lang w:eastAsia="ru-RU"/>
        </w:rPr>
        <w:t>госзакупок</w:t>
      </w:r>
      <w:proofErr w:type="spellEnd"/>
      <w:r w:rsidRPr="00250BEC">
        <w:rPr>
          <w:rFonts w:ascii="PT Astra Serif" w:eastAsia="Times New Roman" w:hAnsi="PT Astra Serif" w:cs="Times New Roman"/>
          <w:iCs/>
          <w:szCs w:val="28"/>
          <w:lang w:eastAsia="ru-RU"/>
        </w:rPr>
        <w:t xml:space="preserve"> на территории региона – 2005 год, образование уполномоченного органа субъекта. </w:t>
      </w:r>
    </w:p>
    <w:p w14:paraId="1C55EBB8" w14:textId="77777777" w:rsidR="00250BEC" w:rsidRPr="00250BEC" w:rsidRDefault="00250BEC" w:rsidP="00250BEC">
      <w:pPr>
        <w:widowControl w:val="0"/>
        <w:rPr>
          <w:rFonts w:ascii="PT Astra Serif" w:eastAsia="Times New Roman" w:hAnsi="PT Astra Serif" w:cs="Times New Roman"/>
          <w:iCs/>
          <w:szCs w:val="28"/>
          <w:lang w:eastAsia="ru-RU"/>
        </w:rPr>
      </w:pPr>
      <w:r w:rsidRPr="00250BEC">
        <w:rPr>
          <w:rFonts w:ascii="PT Astra Serif" w:eastAsia="Times New Roman" w:hAnsi="PT Astra Serif" w:cs="Times New Roman"/>
          <w:iCs/>
          <w:szCs w:val="28"/>
          <w:lang w:eastAsia="ru-RU"/>
        </w:rPr>
        <w:t xml:space="preserve">С начала 2007 года начался процесс централизации в 24 муниципальных образованиях путем передачи поселениями полномочий по размещению муниципальным уполномоченным органам – районным администрациям. </w:t>
      </w:r>
    </w:p>
    <w:p w14:paraId="2740BBC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Начиная с 2016 года, часть полномочий была передана </w:t>
      </w:r>
      <w:r w:rsidRPr="00250BEC">
        <w:rPr>
          <w:rFonts w:ascii="PT Astra Serif" w:eastAsia="Calibri" w:hAnsi="PT Astra Serif" w:cs="Times New Roman"/>
          <w:szCs w:val="28"/>
        </w:rPr>
        <w:br/>
        <w:t>с муниципального на региональный уровень в рамках подписанных соглашений по отдельным видам социально-значимых закупок (подрядные работы, дорожный фонд, аренда и лизинг). С 2020 года дополнительно Агентству с муниципального уровня были переданы полномочия на осуществление закупок в рамках реализации национальных проектов.</w:t>
      </w:r>
    </w:p>
    <w:p w14:paraId="797165A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Times New Roman" w:hAnsi="PT Astra Serif" w:cs="Times New Roman"/>
          <w:iCs/>
          <w:szCs w:val="28"/>
          <w:lang w:eastAsia="ru-RU"/>
        </w:rPr>
        <w:t xml:space="preserve">На сегодняшний день процесс </w:t>
      </w:r>
      <w:proofErr w:type="spellStart"/>
      <w:r w:rsidRPr="00250BEC">
        <w:rPr>
          <w:rFonts w:ascii="PT Astra Serif" w:eastAsia="Times New Roman" w:hAnsi="PT Astra Serif" w:cs="Times New Roman"/>
          <w:iCs/>
          <w:szCs w:val="28"/>
          <w:lang w:eastAsia="ru-RU"/>
        </w:rPr>
        <w:t>госзакупок</w:t>
      </w:r>
      <w:proofErr w:type="spellEnd"/>
      <w:r w:rsidRPr="00250BEC">
        <w:rPr>
          <w:rFonts w:ascii="PT Astra Serif" w:eastAsia="Times New Roman" w:hAnsi="PT Astra Serif" w:cs="Times New Roman"/>
          <w:iCs/>
          <w:szCs w:val="28"/>
          <w:lang w:eastAsia="ru-RU"/>
        </w:rPr>
        <w:t xml:space="preserve"> по полному циклу </w:t>
      </w:r>
      <w:r w:rsidRPr="00250BEC">
        <w:rPr>
          <w:rFonts w:ascii="PT Astra Serif" w:eastAsia="Calibri" w:hAnsi="PT Astra Serif"/>
          <w:szCs w:val="28"/>
        </w:rPr>
        <w:t xml:space="preserve">(планирование, размещение, исполнение) </w:t>
      </w:r>
      <w:r w:rsidRPr="00250BEC">
        <w:rPr>
          <w:rFonts w:ascii="PT Astra Serif" w:hAnsi="PT Astra Serif"/>
          <w:iCs/>
          <w:szCs w:val="28"/>
        </w:rPr>
        <w:t>осуществляется ч</w:t>
      </w:r>
      <w:r w:rsidRPr="00250BEC">
        <w:rPr>
          <w:rFonts w:ascii="PT Astra Serif" w:eastAsia="Calibri" w:hAnsi="PT Astra Serif"/>
          <w:szCs w:val="28"/>
        </w:rPr>
        <w:t xml:space="preserve">ерез государственную информационную </w:t>
      </w:r>
      <w:r w:rsidRPr="00250BEC">
        <w:rPr>
          <w:rFonts w:ascii="PT Astra Serif" w:hAnsi="PT Astra Serif"/>
          <w:szCs w:val="28"/>
        </w:rPr>
        <w:t>систему</w:t>
      </w:r>
      <w:r w:rsidRPr="00250BEC">
        <w:t xml:space="preserve"> </w:t>
      </w:r>
      <w:r w:rsidRPr="00250BEC">
        <w:rPr>
          <w:rFonts w:ascii="PT Astra Serif" w:hAnsi="PT Astra Serif"/>
          <w:szCs w:val="28"/>
        </w:rPr>
        <w:t xml:space="preserve">автоматизации процесса управления государственными закупками Ульяновской области «АЦК-Госзаказ» (далее – ГИС «АЦК-Госзаказ») </w:t>
      </w:r>
      <w:r w:rsidRPr="00250BEC">
        <w:rPr>
          <w:rFonts w:ascii="PT Astra Serif" w:eastAsia="Calibri" w:hAnsi="PT Astra Serif" w:cs="Times New Roman"/>
          <w:szCs w:val="28"/>
        </w:rPr>
        <w:t xml:space="preserve">с использованием </w:t>
      </w:r>
      <w:r w:rsidRPr="00250BEC">
        <w:rPr>
          <w:rFonts w:ascii="PT Astra Serif" w:eastAsia="Times New Roman" w:hAnsi="PT Astra Serif" w:cs="Times New Roman"/>
          <w:szCs w:val="28"/>
          <w:lang w:eastAsia="ru-RU"/>
        </w:rPr>
        <w:t>юридически значимого электронного документооборота.</w:t>
      </w:r>
      <w:r w:rsidRPr="00250BEC">
        <w:rPr>
          <w:rFonts w:ascii="PT Astra Serif" w:eastAsia="Calibri" w:hAnsi="PT Astra Serif" w:cs="Times New Roman"/>
          <w:szCs w:val="28"/>
        </w:rPr>
        <w:t xml:space="preserve"> </w:t>
      </w:r>
      <w:r w:rsidRPr="00250BEC">
        <w:rPr>
          <w:rFonts w:ascii="PT Astra Serif" w:eastAsia="Times New Roman" w:hAnsi="PT Astra Serif" w:cs="Times New Roman"/>
          <w:szCs w:val="28"/>
          <w:lang w:eastAsia="ru-RU"/>
        </w:rPr>
        <w:t xml:space="preserve">Документы на размещение </w:t>
      </w:r>
      <w:r w:rsidRPr="00250BEC">
        <w:rPr>
          <w:rFonts w:ascii="PT Astra Serif" w:eastAsia="Times New Roman" w:hAnsi="PT Astra Serif" w:cs="Times New Roman"/>
          <w:szCs w:val="28"/>
          <w:lang w:eastAsia="ru-RU"/>
        </w:rPr>
        <w:lastRenderedPageBreak/>
        <w:t xml:space="preserve">закупок проходят в системе электронное согласование главных распорядителей бюджетных средств, направляются заказчиками </w:t>
      </w:r>
      <w:r w:rsidRPr="00250BEC">
        <w:rPr>
          <w:rFonts w:ascii="PT Astra Serif" w:eastAsia="Times New Roman" w:hAnsi="PT Astra Serif" w:cs="Times New Roman"/>
          <w:szCs w:val="28"/>
          <w:lang w:eastAsia="ru-RU"/>
        </w:rPr>
        <w:br/>
        <w:t>в электронном виде и подписываются уполномоченными специалистами электронной цифровой подписью.</w:t>
      </w:r>
      <w:r w:rsidRPr="00250BEC">
        <w:rPr>
          <w:rFonts w:ascii="PT Astra Serif" w:eastAsia="Calibri" w:hAnsi="PT Astra Serif" w:cs="Times New Roman"/>
          <w:szCs w:val="28"/>
        </w:rPr>
        <w:t xml:space="preserve"> </w:t>
      </w:r>
    </w:p>
    <w:p w14:paraId="0E55FB75"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Calibri" w:hAnsi="PT Astra Serif" w:cs="Times New Roman"/>
          <w:szCs w:val="28"/>
        </w:rPr>
        <w:t xml:space="preserve">ГИС «АЦК-Госзаказ» имеет интеграцию с ГИС «АЦК-Финансы» </w:t>
      </w:r>
      <w:r w:rsidRPr="00250BEC">
        <w:rPr>
          <w:rFonts w:ascii="PT Astra Serif" w:eastAsia="Calibri" w:hAnsi="PT Astra Serif" w:cs="Times New Roman"/>
          <w:szCs w:val="28"/>
        </w:rPr>
        <w:br/>
        <w:t>и единой информационной системой в сфере закупок (далее – ЕИС).</w:t>
      </w:r>
    </w:p>
    <w:p w14:paraId="139C831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Взаимодействие с муниципалитетом с 2021 года осуществляется через электронный документооборот на технологической платформе </w:t>
      </w:r>
      <w:proofErr w:type="spellStart"/>
      <w:r w:rsidRPr="00250BEC">
        <w:rPr>
          <w:rFonts w:ascii="PT Astra Serif" w:eastAsia="Calibri" w:hAnsi="PT Astra Serif" w:cs="Times New Roman"/>
          <w:szCs w:val="28"/>
        </w:rPr>
        <w:t>Web-cистемы</w:t>
      </w:r>
      <w:proofErr w:type="spellEnd"/>
      <w:r w:rsidRPr="00250BEC">
        <w:rPr>
          <w:rFonts w:ascii="PT Astra Serif" w:eastAsia="Calibri" w:hAnsi="PT Astra Serif" w:cs="Times New Roman"/>
          <w:szCs w:val="28"/>
        </w:rPr>
        <w:t xml:space="preserve"> «СБИС». </w:t>
      </w:r>
    </w:p>
    <w:p w14:paraId="765E873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Централизация по Закону 44-ФЗ позволяет унифицировать документацию, установить более четкую регламентацию, повысить дисциплину заказчиков и эффективность в целом.</w:t>
      </w:r>
      <w:r w:rsidRPr="00250BEC">
        <w:rPr>
          <w:rFonts w:eastAsia="Times New Roman" w:cs="Times New Roman"/>
          <w:sz w:val="24"/>
          <w:szCs w:val="24"/>
          <w:lang w:eastAsia="ru-RU"/>
        </w:rPr>
        <w:t xml:space="preserve"> </w:t>
      </w:r>
      <w:r w:rsidRPr="00250BEC">
        <w:rPr>
          <w:rFonts w:ascii="PT Astra Serif" w:eastAsia="Calibri" w:hAnsi="PT Astra Serif" w:cs="Times New Roman"/>
          <w:szCs w:val="28"/>
        </w:rPr>
        <w:t xml:space="preserve">Результаты централизованной системы закупок Ульяновской области неоднократно отмечались на федеральном уровне, что отражается в высоких позициях региона в профильных рейтингах. </w:t>
      </w:r>
    </w:p>
    <w:p w14:paraId="23760BB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bCs/>
          <w:szCs w:val="28"/>
        </w:rPr>
        <w:t>Закон 223-ФЗ:</w:t>
      </w:r>
      <w:r w:rsidRPr="00250BEC">
        <w:rPr>
          <w:rFonts w:ascii="PT Astra Serif" w:eastAsia="Calibri" w:hAnsi="PT Astra Serif" w:cs="Times New Roman"/>
          <w:szCs w:val="28"/>
        </w:rPr>
        <w:t xml:space="preserve"> Система корпоративных закупок начала реформироваться в Ульяновской области с 2022 года. Ранее регулирование закупочной деятельности корпоративных заказчиков носило только отраслевой характер как на уровне субъекта, так и муниципалитета (через учредителей и собственников имущества). Централизация по Закону 223-ФЗ не предусмотрена.</w:t>
      </w:r>
    </w:p>
    <w:p w14:paraId="02AD4BD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Важнейшим шагом в регулировании корпоративных закупок стало наделение Агентства полномочиями на утверждение единого типового положения о закупке для государственных бюджетных и автономных учреждений. Специфика типового положения о закупке заключается </w:t>
      </w:r>
      <w:r w:rsidRPr="00250BEC">
        <w:rPr>
          <w:rFonts w:ascii="PT Astra Serif" w:eastAsia="Calibri" w:hAnsi="PT Astra Serif" w:cs="Times New Roman"/>
          <w:szCs w:val="28"/>
        </w:rPr>
        <w:br/>
        <w:t xml:space="preserve">в унификации способов и условий проведения закупки для всех заказчиков независимо от отрасли, а также в установлении закрытого перечня случаев закупок у единственного поставщика, учитывающих потребности всех отраслей. Принятие данного документа позволило установить более четкую регламентацию корпоративных закупок, существенно ограничить закупки </w:t>
      </w:r>
      <w:r w:rsidRPr="00250BEC">
        <w:rPr>
          <w:rFonts w:ascii="PT Astra Serif" w:eastAsia="Calibri" w:hAnsi="PT Astra Serif" w:cs="Times New Roman"/>
          <w:szCs w:val="28"/>
        </w:rPr>
        <w:br/>
        <w:t xml:space="preserve">у единственного источника, что в конечном итоге способствовало повышению эффективности и прозрачности процедур в целом. </w:t>
      </w:r>
    </w:p>
    <w:p w14:paraId="4D44674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Другим направлением реформирования системы стало введение системы мониторинга как положений о закупке заказчиков, так и самих закупок, а также проведение оценки и мониторинга соответствия по Закону 223-ФЗ.</w:t>
      </w:r>
    </w:p>
    <w:p w14:paraId="543BE524" w14:textId="77777777" w:rsidR="00250BEC" w:rsidRPr="00250BEC" w:rsidRDefault="00250BEC" w:rsidP="00250BEC">
      <w:pPr>
        <w:widowControl w:val="0"/>
        <w:ind w:firstLine="0"/>
        <w:jc w:val="left"/>
        <w:rPr>
          <w:rFonts w:ascii="PT Astra Serif" w:eastAsia="Times New Roman" w:hAnsi="PT Astra Serif" w:cs="Times New Roman"/>
          <w:b/>
          <w:bCs/>
          <w:szCs w:val="24"/>
          <w:lang w:eastAsia="ru-RU"/>
        </w:rPr>
      </w:pPr>
    </w:p>
    <w:p w14:paraId="18D283B3" w14:textId="77777777" w:rsidR="00250BEC" w:rsidRPr="00250BEC" w:rsidRDefault="00250BEC" w:rsidP="00250BEC">
      <w:pPr>
        <w:widowControl w:val="0"/>
        <w:ind w:firstLine="0"/>
        <w:contextualSpacing/>
        <w:jc w:val="center"/>
        <w:rPr>
          <w:rFonts w:ascii="PT Astra Serif" w:eastAsia="Times New Roman" w:hAnsi="PT Astra Serif" w:cs="Times New Roman"/>
          <w:b/>
          <w:bCs/>
          <w:szCs w:val="24"/>
          <w:lang w:eastAsia="ru-RU"/>
        </w:rPr>
      </w:pPr>
      <w:r w:rsidRPr="00250BEC">
        <w:rPr>
          <w:rFonts w:ascii="PT Astra Serif" w:eastAsia="Times New Roman" w:hAnsi="PT Astra Serif" w:cs="Times New Roman"/>
          <w:b/>
          <w:bCs/>
          <w:szCs w:val="24"/>
          <w:lang w:eastAsia="ru-RU"/>
        </w:rPr>
        <w:t>Полномочия Агентства государственных закупок</w:t>
      </w:r>
    </w:p>
    <w:p w14:paraId="5F1339E6" w14:textId="77777777" w:rsidR="00250BEC" w:rsidRPr="00250BEC" w:rsidRDefault="00250BEC" w:rsidP="00250BEC">
      <w:pPr>
        <w:widowControl w:val="0"/>
        <w:ind w:firstLine="0"/>
        <w:contextualSpacing/>
        <w:jc w:val="center"/>
        <w:rPr>
          <w:rFonts w:ascii="PT Astra Serif" w:eastAsia="Times New Roman" w:hAnsi="PT Astra Serif" w:cs="Times New Roman"/>
          <w:b/>
          <w:bCs/>
          <w:szCs w:val="24"/>
          <w:lang w:eastAsia="ru-RU"/>
        </w:rPr>
      </w:pPr>
      <w:r w:rsidRPr="00250BEC">
        <w:rPr>
          <w:rFonts w:ascii="PT Astra Serif" w:eastAsia="Times New Roman" w:hAnsi="PT Astra Serif" w:cs="Times New Roman"/>
          <w:b/>
          <w:bCs/>
          <w:szCs w:val="24"/>
          <w:lang w:eastAsia="ru-RU"/>
        </w:rPr>
        <w:t>Ульяновской области</w:t>
      </w:r>
    </w:p>
    <w:p w14:paraId="7FA11E84" w14:textId="77777777" w:rsidR="00250BEC" w:rsidRPr="00250BEC" w:rsidRDefault="00250BEC" w:rsidP="00250BEC">
      <w:pPr>
        <w:widowControl w:val="0"/>
        <w:jc w:val="center"/>
        <w:rPr>
          <w:rFonts w:ascii="PT Astra Serif" w:eastAsia="Calibri" w:hAnsi="PT Astra Serif" w:cs="Times New Roman"/>
          <w:szCs w:val="28"/>
        </w:rPr>
      </w:pPr>
    </w:p>
    <w:p w14:paraId="631CB8B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Агентство является исполнительным органом Ульяновской области:</w:t>
      </w:r>
    </w:p>
    <w:p w14:paraId="5FE753F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уполномоченным на осуществление функций по обеспечению реализации государственной политики в сфере закупок для обеспечения нужд Ульяновской области (регулирование контрактной системы в сфере закупок);</w:t>
      </w:r>
    </w:p>
    <w:p w14:paraId="488D24D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уполномоченным на определение поставщиков (подрядчиков, </w:t>
      </w:r>
      <w:r w:rsidRPr="00250BEC">
        <w:rPr>
          <w:rFonts w:ascii="PT Astra Serif" w:eastAsia="Calibri" w:hAnsi="PT Astra Serif" w:cs="Times New Roman"/>
          <w:szCs w:val="28"/>
        </w:rPr>
        <w:lastRenderedPageBreak/>
        <w:t>исполнителей) для заказчиков в соответствии с Порядком взаимодействия заказчиков с уполномоченным органом, утвержденным Правительством Ульяновской области (далее – уполномоченный орган, Порядок взаимодействия соответственно);</w:t>
      </w:r>
    </w:p>
    <w:p w14:paraId="69CC0EF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уполномоченным на организацию и проведение оценки соответствия проектов планов закупки товаров, работ, услуг, в том числе проектов планов закупки инновационной продукции, высокотехнологичной продукции, лекарственных средств, проектов изменений, вносимых в такие планы, конкретных заказчиков, определенных Правительством Российской Федерации в соответствии с Законом 223-ФЗ, требованиям законодательства Российской Федерации, предусматривающим участие субъектов малого </w:t>
      </w:r>
      <w:r w:rsidRPr="00250BEC">
        <w:rPr>
          <w:rFonts w:ascii="PT Astra Serif" w:eastAsia="Calibri" w:hAnsi="PT Astra Serif" w:cs="Times New Roman"/>
          <w:szCs w:val="28"/>
        </w:rPr>
        <w:br/>
        <w:t>и среднего предпринимательства в осуществлении указанных закупок (далее - оценка соответствия);</w:t>
      </w:r>
    </w:p>
    <w:p w14:paraId="5467346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уполномоченным на организацию и проведение мониторинга соответствия планов закупки товаров, работ, услуг, в том числе планов закупки инновационной продукции, высокотехнологичной продукции, лекарственных средств, изменений, внесенных в такие планы, годовых отчетов о закупке у субъектов малого и среднего предпринимательства, годовых отчетов о закупке инновационной продукции, высокотехнологичной продукции (в части закупки у субъектов малого и среднего предпринимательства) отдельных заказчиков, определенных Правительством Российской Федерации в соответствии с Законом 223-ФЗ, требованиям законодательства Российской Федерации, предусматривающим участие субъектов малого и среднего предпринимательства в закупке (далее - мониторинг соответствия);</w:t>
      </w:r>
    </w:p>
    <w:p w14:paraId="165169D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уполномоченным на утверждение в соответствии с частью 2.1 статьи </w:t>
      </w:r>
      <w:r w:rsidRPr="00250BEC">
        <w:rPr>
          <w:rFonts w:ascii="PT Astra Serif" w:eastAsia="Calibri" w:hAnsi="PT Astra Serif" w:cs="Times New Roman"/>
          <w:szCs w:val="28"/>
        </w:rPr>
        <w:br/>
        <w:t>2 Закона 223-ФЗ типового положения о закупке товаров, работ, услуг областными государственными бюджетными и автономными учреждениями (далее - положение о закупке).</w:t>
      </w:r>
    </w:p>
    <w:p w14:paraId="4C565FEE"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Агентство осуществляет полномочия учредителя в отношении </w:t>
      </w:r>
      <w:r w:rsidRPr="00250BEC">
        <w:rPr>
          <w:rFonts w:ascii="PT Astra Serif" w:eastAsia="Times New Roman" w:hAnsi="PT Astra Serif" w:cs="Times New Roman"/>
          <w:color w:val="000000"/>
          <w:szCs w:val="28"/>
          <w:lang w:eastAsia="ru-RU"/>
        </w:rPr>
        <w:t>подведомственного областного государственного казенного учреждения «Центр по сопровождению закупок» (далее – Учреждение)</w:t>
      </w:r>
      <w:r w:rsidRPr="00250BEC">
        <w:rPr>
          <w:rFonts w:ascii="PT Astra Serif" w:eastAsia="Times New Roman" w:hAnsi="PT Astra Serif" w:cs="Times New Roman"/>
          <w:szCs w:val="28"/>
          <w:lang w:eastAsia="ru-RU"/>
        </w:rPr>
        <w:t xml:space="preserve">, которое выполняет обеспечивающие функции, а также является оператором ГИС «АЦК-Госзаказ». </w:t>
      </w:r>
    </w:p>
    <w:p w14:paraId="28AB0CD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2025 году Агентство осуществляло деятельность в соответствии </w:t>
      </w:r>
      <w:r w:rsidRPr="00250BEC">
        <w:rPr>
          <w:rFonts w:ascii="PT Astra Serif" w:eastAsia="Calibri" w:hAnsi="PT Astra Serif" w:cs="Times New Roman"/>
          <w:szCs w:val="28"/>
        </w:rPr>
        <w:br/>
        <w:t>с целями и задачами, определенными в Публичной декларации на 2025 год.</w:t>
      </w:r>
    </w:p>
    <w:p w14:paraId="45189D1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 рамках организации закупочной деятельности Ульяновской области Агентством в 2025 году акцент был сделан на выполнение следующих задач:</w:t>
      </w:r>
    </w:p>
    <w:p w14:paraId="5C4EBD3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унификация форм и методов организации закупочной деятельности; </w:t>
      </w:r>
    </w:p>
    <w:p w14:paraId="53BEB71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стимулирование цифровизации закупок малого объема;</w:t>
      </w:r>
    </w:p>
    <w:p w14:paraId="568380D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развитие/модернизация ГИС «АЦК-Госзаказ».</w:t>
      </w:r>
    </w:p>
    <w:p w14:paraId="0DF39A5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части регулирования сферы закупок Агентством в качестве приоритетных направлений были выбраны мероприятия, способствующие </w:t>
      </w:r>
      <w:r w:rsidRPr="00250BEC">
        <w:rPr>
          <w:rFonts w:ascii="PT Astra Serif" w:eastAsia="Calibri" w:hAnsi="PT Astra Serif" w:cs="Times New Roman"/>
          <w:szCs w:val="28"/>
        </w:rPr>
        <w:br/>
        <w:t xml:space="preserve">повышению результативности закупок, снижению обоснованных жалоб </w:t>
      </w:r>
      <w:r w:rsidRPr="00250BEC">
        <w:rPr>
          <w:rFonts w:ascii="PT Astra Serif" w:eastAsia="Calibri" w:hAnsi="PT Astra Serif" w:cs="Times New Roman"/>
          <w:szCs w:val="28"/>
        </w:rPr>
        <w:br/>
        <w:t>и повышению эффективности муниципальных закупок.</w:t>
      </w:r>
    </w:p>
    <w:p w14:paraId="5575DA32" w14:textId="77777777" w:rsidR="00250BEC" w:rsidRPr="00250BEC" w:rsidRDefault="00250BEC" w:rsidP="00250BEC">
      <w:pPr>
        <w:widowControl w:val="0"/>
        <w:rPr>
          <w:rFonts w:ascii="PT Astra Serif" w:eastAsia="Times New Roman" w:hAnsi="PT Astra Serif" w:cs="Times New Roman"/>
          <w:b/>
          <w:color w:val="000000"/>
          <w:szCs w:val="28"/>
          <w:lang w:eastAsia="ru-RU"/>
        </w:rPr>
      </w:pPr>
      <w:r w:rsidRPr="00250BEC">
        <w:rPr>
          <w:rFonts w:ascii="PT Astra Serif" w:eastAsia="Times New Roman" w:hAnsi="PT Astra Serif" w:cs="Times New Roman"/>
          <w:b/>
          <w:color w:val="000000"/>
          <w:szCs w:val="28"/>
          <w:lang w:eastAsia="ru-RU"/>
        </w:rPr>
        <w:lastRenderedPageBreak/>
        <w:t>Участие в профильных рейтингах:</w:t>
      </w:r>
    </w:p>
    <w:p w14:paraId="25408609" w14:textId="77777777" w:rsidR="00250BEC" w:rsidRPr="00250BEC" w:rsidRDefault="00250BEC" w:rsidP="00250BEC">
      <w:pPr>
        <w:widowControl w:val="0"/>
        <w:rPr>
          <w:rFonts w:ascii="PT Astra Serif" w:eastAsia="Times New Roman" w:hAnsi="PT Astra Serif" w:cs="Times New Roman"/>
          <w:b/>
          <w:bCs/>
          <w:color w:val="000000"/>
          <w:szCs w:val="28"/>
          <w:lang w:eastAsia="ru-RU"/>
        </w:rPr>
      </w:pPr>
      <w:r w:rsidRPr="00250BEC">
        <w:rPr>
          <w:rFonts w:ascii="PT Astra Serif" w:eastAsia="Times New Roman" w:hAnsi="PT Astra Serif" w:cs="Times New Roman"/>
          <w:b/>
          <w:bCs/>
          <w:color w:val="000000"/>
          <w:szCs w:val="28"/>
          <w:lang w:eastAsia="ru-RU"/>
        </w:rPr>
        <w:t xml:space="preserve">Рейтинг от АО «Единый </w:t>
      </w:r>
      <w:proofErr w:type="spellStart"/>
      <w:r w:rsidRPr="00250BEC">
        <w:rPr>
          <w:rFonts w:ascii="PT Astra Serif" w:eastAsia="Times New Roman" w:hAnsi="PT Astra Serif" w:cs="Times New Roman"/>
          <w:b/>
          <w:bCs/>
          <w:color w:val="000000"/>
          <w:szCs w:val="28"/>
          <w:lang w:eastAsia="ru-RU"/>
        </w:rPr>
        <w:t>агрегатор</w:t>
      </w:r>
      <w:proofErr w:type="spellEnd"/>
      <w:r w:rsidRPr="00250BEC">
        <w:rPr>
          <w:rFonts w:ascii="PT Astra Serif" w:eastAsia="Times New Roman" w:hAnsi="PT Astra Serif" w:cs="Times New Roman"/>
          <w:b/>
          <w:bCs/>
          <w:color w:val="000000"/>
          <w:szCs w:val="28"/>
          <w:lang w:eastAsia="ru-RU"/>
        </w:rPr>
        <w:t xml:space="preserve"> торговли».</w:t>
      </w:r>
    </w:p>
    <w:p w14:paraId="3762C0E4"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Ульяновская область заняла 2 место в номинации «Экономный заказчик России за 2024 год». Ульяновская область занимает второе место из 89 субъектов по доле заказчиков, зарегистрированных в АО «Единый </w:t>
      </w:r>
      <w:proofErr w:type="spellStart"/>
      <w:r w:rsidRPr="00250BEC">
        <w:rPr>
          <w:rFonts w:ascii="PT Astra Serif" w:eastAsia="Times New Roman" w:hAnsi="PT Astra Serif" w:cs="Times New Roman"/>
          <w:color w:val="000000"/>
          <w:szCs w:val="28"/>
          <w:lang w:eastAsia="ru-RU"/>
        </w:rPr>
        <w:t>агрегатор</w:t>
      </w:r>
      <w:proofErr w:type="spellEnd"/>
      <w:r w:rsidRPr="00250BEC">
        <w:rPr>
          <w:rFonts w:ascii="PT Astra Serif" w:eastAsia="Times New Roman" w:hAnsi="PT Astra Serif" w:cs="Times New Roman"/>
          <w:color w:val="000000"/>
          <w:szCs w:val="28"/>
          <w:lang w:eastAsia="ru-RU"/>
        </w:rPr>
        <w:t xml:space="preserve"> торговли» ЕАТ.РФ, от их количества в ЕИС.</w:t>
      </w:r>
    </w:p>
    <w:p w14:paraId="628EB874" w14:textId="77777777" w:rsidR="00250BEC" w:rsidRPr="00250BEC" w:rsidRDefault="00250BEC" w:rsidP="00250BEC">
      <w:pPr>
        <w:widowControl w:val="0"/>
        <w:rPr>
          <w:rFonts w:ascii="PT Astra Serif" w:eastAsia="Times New Roman" w:hAnsi="PT Astra Serif" w:cs="Times New Roman"/>
          <w:b/>
          <w:bCs/>
          <w:color w:val="000000"/>
          <w:szCs w:val="28"/>
          <w:lang w:eastAsia="ru-RU"/>
        </w:rPr>
      </w:pPr>
      <w:r w:rsidRPr="00250BEC">
        <w:rPr>
          <w:rFonts w:ascii="PT Astra Serif" w:eastAsia="Times New Roman" w:hAnsi="PT Astra Serif" w:cs="Times New Roman"/>
          <w:b/>
          <w:bCs/>
          <w:color w:val="000000"/>
          <w:szCs w:val="28"/>
          <w:lang w:eastAsia="ru-RU"/>
        </w:rPr>
        <w:t>Рейтинг от Ассоциации «РОСТ».</w:t>
      </w:r>
    </w:p>
    <w:p w14:paraId="18471AE0"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По итогам рейтинга по индексу эффективности закупочной деятельности регионов (2024) Ульяновская область заняла 5 место среди субъектов РФ, Агентство – 7 место среди уполномоченных органов субъектов РФ.</w:t>
      </w:r>
    </w:p>
    <w:p w14:paraId="7ADEC9F4" w14:textId="77777777" w:rsidR="00250BEC" w:rsidRPr="00250BEC" w:rsidRDefault="00250BEC" w:rsidP="00250BEC">
      <w:pPr>
        <w:widowControl w:val="0"/>
        <w:rPr>
          <w:rFonts w:ascii="PT Astra Serif" w:hAnsi="PT Astra Serif" w:cs="Mangal"/>
          <w:b/>
          <w:color w:val="000000"/>
          <w:kern w:val="2"/>
          <w:szCs w:val="28"/>
          <w:lang w:eastAsia="hi-IN" w:bidi="hi-IN"/>
        </w:rPr>
      </w:pPr>
      <w:r w:rsidRPr="00250BEC">
        <w:rPr>
          <w:rFonts w:ascii="PT Astra Serif" w:eastAsia="Times New Roman" w:hAnsi="PT Astra Serif" w:cs="Times New Roman"/>
          <w:b/>
          <w:bCs/>
          <w:color w:val="000000"/>
          <w:szCs w:val="28"/>
          <w:lang w:eastAsia="ru-RU"/>
        </w:rPr>
        <w:t xml:space="preserve">Рейтинг субъектов РФ </w:t>
      </w:r>
      <w:r w:rsidRPr="00250BEC">
        <w:rPr>
          <w:rFonts w:ascii="PT Astra Serif" w:hAnsi="PT Astra Serif" w:cs="Mangal"/>
          <w:b/>
          <w:color w:val="000000"/>
          <w:kern w:val="2"/>
          <w:szCs w:val="28"/>
          <w:lang w:eastAsia="hi-IN" w:bidi="hi-IN"/>
        </w:rPr>
        <w:t>в области развития конкуренции.</w:t>
      </w:r>
    </w:p>
    <w:p w14:paraId="4FF699E3"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По итогам рейтинга субъектов РФ за 2025 года в области развития конкуренции, проведенного Федеральной антимонопольной службой, Ульяновская область отнесена к регионам с высоким уровнем конкуренции </w:t>
      </w:r>
      <w:r w:rsidRPr="00250BEC">
        <w:rPr>
          <w:rFonts w:ascii="PT Astra Serif" w:eastAsia="Times New Roman" w:hAnsi="PT Astra Serif" w:cs="Times New Roman"/>
          <w:color w:val="000000"/>
          <w:szCs w:val="28"/>
          <w:lang w:eastAsia="ru-RU"/>
        </w:rPr>
        <w:br/>
        <w:t>в закупках, где заняла 5 место.</w:t>
      </w:r>
    </w:p>
    <w:p w14:paraId="427A8A3B" w14:textId="77777777" w:rsidR="00250BEC" w:rsidRPr="00250BEC" w:rsidRDefault="00250BEC" w:rsidP="00250BEC">
      <w:pPr>
        <w:widowControl w:val="0"/>
        <w:autoSpaceDE w:val="0"/>
        <w:autoSpaceDN w:val="0"/>
        <w:adjustRightInd w:val="0"/>
        <w:rPr>
          <w:rFonts w:ascii="PT Astra Serif" w:eastAsia="Times New Roman" w:hAnsi="PT Astra Serif" w:cs="Times New Roman"/>
          <w:b/>
          <w:color w:val="000000"/>
          <w:szCs w:val="28"/>
          <w:shd w:val="clear" w:color="auto" w:fill="FFFFFF"/>
          <w:lang w:eastAsia="ru-RU"/>
        </w:rPr>
      </w:pPr>
      <w:r w:rsidRPr="00250BEC">
        <w:rPr>
          <w:rFonts w:ascii="PT Astra Serif" w:eastAsia="Times New Roman" w:hAnsi="PT Astra Serif" w:cs="Times New Roman"/>
          <w:b/>
          <w:color w:val="000000"/>
          <w:szCs w:val="28"/>
          <w:shd w:val="clear" w:color="auto" w:fill="FFFFFF"/>
          <w:lang w:eastAsia="ru-RU"/>
        </w:rPr>
        <w:t>Национальный Рейтинг прозрачности закупок.</w:t>
      </w:r>
    </w:p>
    <w:p w14:paraId="7215E16E" w14:textId="77777777" w:rsidR="00250BEC" w:rsidRPr="00250BEC" w:rsidRDefault="00250BEC" w:rsidP="00250BEC">
      <w:pPr>
        <w:widowControl w:val="0"/>
        <w:autoSpaceDE w:val="0"/>
        <w:autoSpaceDN w:val="0"/>
        <w:adjustRightInd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В рамках проведения рейтинга предусмотрено пять уровней. Высшим уровнем является «гарантированная прозрачность». Следующий уровень определяется как «высокая прозрачность». Далее идут «средняя прозрачность», «базовая прозрачность» и «низкая прозрачность». </w:t>
      </w:r>
    </w:p>
    <w:p w14:paraId="4C763DA9" w14:textId="77777777" w:rsidR="00250BEC" w:rsidRPr="00250BEC" w:rsidRDefault="00250BEC" w:rsidP="00250BEC">
      <w:pPr>
        <w:widowControl w:val="0"/>
        <w:rPr>
          <w:rFonts w:ascii="PT Astra Serif" w:hAnsi="PT Astra Serif" w:cs="Mangal"/>
          <w:color w:val="000000"/>
          <w:szCs w:val="28"/>
          <w:lang w:eastAsia="hi-IN" w:bidi="hi-IN"/>
        </w:rPr>
      </w:pPr>
      <w:r w:rsidRPr="00250BEC">
        <w:rPr>
          <w:rFonts w:ascii="PT Astra Serif" w:eastAsia="Times New Roman" w:hAnsi="PT Astra Serif" w:cs="Times New Roman"/>
          <w:color w:val="000000"/>
          <w:szCs w:val="28"/>
          <w:lang w:eastAsia="ru-RU"/>
        </w:rPr>
        <w:t xml:space="preserve">По итогам проекта «Национальный рейтинг прозрачности закупок 2025» Ульяновская область в региональном сегменте награждена дипломом </w:t>
      </w:r>
      <w:r w:rsidRPr="00250BEC">
        <w:rPr>
          <w:rFonts w:ascii="PT Astra Serif" w:eastAsia="Times New Roman" w:hAnsi="PT Astra Serif" w:cs="Times New Roman"/>
          <w:color w:val="000000"/>
          <w:szCs w:val="28"/>
          <w:lang w:eastAsia="ru-RU"/>
        </w:rPr>
        <w:br/>
        <w:t>за Высокую прозрачность, что свидетельствует о создании в регионе понятной и конкурентной системы выбора поставщика для осуществления государственных закупок</w:t>
      </w:r>
      <w:r w:rsidRPr="00250BEC">
        <w:rPr>
          <w:rFonts w:ascii="PT Astra Serif" w:hAnsi="PT Astra Serif" w:cs="Mangal"/>
          <w:color w:val="000000"/>
          <w:szCs w:val="28"/>
          <w:lang w:eastAsia="hi-IN" w:bidi="hi-IN"/>
        </w:rPr>
        <w:t>.</w:t>
      </w:r>
    </w:p>
    <w:p w14:paraId="6F284A3E" w14:textId="77777777" w:rsidR="00250BEC" w:rsidRPr="00250BEC" w:rsidRDefault="00250BEC" w:rsidP="00250BEC">
      <w:pPr>
        <w:widowControl w:val="0"/>
        <w:rPr>
          <w:rFonts w:ascii="PT Astra Serif" w:eastAsia="Times New Roman" w:hAnsi="PT Astra Serif" w:cs="Times New Roman"/>
          <w:szCs w:val="20"/>
          <w:lang w:eastAsia="ru-RU"/>
        </w:rPr>
      </w:pPr>
      <w:r w:rsidRPr="00250BEC">
        <w:rPr>
          <w:rFonts w:ascii="PT Astra Serif" w:eastAsia="Times New Roman" w:hAnsi="PT Astra Serif" w:cs="Times New Roman"/>
          <w:szCs w:val="20"/>
          <w:lang w:eastAsia="ru-RU"/>
        </w:rPr>
        <w:t xml:space="preserve">В 2025 году Агентство стало первым исполнительным органом </w:t>
      </w:r>
      <w:r w:rsidRPr="00250BEC">
        <w:rPr>
          <w:rFonts w:ascii="PT Astra Serif" w:eastAsia="Times New Roman" w:hAnsi="PT Astra Serif" w:cs="Times New Roman"/>
          <w:szCs w:val="20"/>
          <w:lang w:eastAsia="ru-RU"/>
        </w:rPr>
        <w:br/>
        <w:t>в Ульяновской области и четвертым по России, который осуществил перевод официального сайта на платформу «</w:t>
      </w:r>
      <w:proofErr w:type="spellStart"/>
      <w:r w:rsidRPr="00250BEC">
        <w:rPr>
          <w:rFonts w:ascii="PT Astra Serif" w:eastAsia="Times New Roman" w:hAnsi="PT Astra Serif" w:cs="Times New Roman"/>
          <w:szCs w:val="20"/>
          <w:lang w:eastAsia="ru-RU"/>
        </w:rPr>
        <w:t>Госвеб</w:t>
      </w:r>
      <w:proofErr w:type="spellEnd"/>
      <w:r w:rsidRPr="00250BEC">
        <w:rPr>
          <w:rFonts w:ascii="PT Astra Serif" w:eastAsia="Times New Roman" w:hAnsi="PT Astra Serif" w:cs="Times New Roman"/>
          <w:szCs w:val="20"/>
          <w:lang w:eastAsia="ru-RU"/>
        </w:rPr>
        <w:t xml:space="preserve">». </w:t>
      </w:r>
    </w:p>
    <w:p w14:paraId="77B52228" w14:textId="77777777" w:rsidR="00250BEC" w:rsidRPr="00250BEC" w:rsidRDefault="00250BEC" w:rsidP="00250BEC">
      <w:pPr>
        <w:widowControl w:val="0"/>
        <w:ind w:firstLine="0"/>
        <w:jc w:val="left"/>
        <w:rPr>
          <w:rFonts w:ascii="PT Astra Serif" w:eastAsia="Calibri" w:hAnsi="PT Astra Serif" w:cs="Times New Roman"/>
          <w:b/>
          <w:bCs/>
          <w:szCs w:val="28"/>
        </w:rPr>
      </w:pPr>
    </w:p>
    <w:p w14:paraId="7AEC5FA0" w14:textId="77777777" w:rsidR="00250BEC" w:rsidRPr="00250BEC" w:rsidRDefault="00250BEC" w:rsidP="00250BEC">
      <w:pPr>
        <w:widowControl w:val="0"/>
        <w:ind w:firstLine="0"/>
        <w:contextualSpacing/>
        <w:jc w:val="center"/>
        <w:rPr>
          <w:rFonts w:ascii="PT Astra Serif" w:eastAsia="Calibri" w:hAnsi="PT Astra Serif" w:cs="Times New Roman"/>
          <w:b/>
          <w:bCs/>
          <w:szCs w:val="28"/>
        </w:rPr>
      </w:pPr>
      <w:r w:rsidRPr="00250BEC">
        <w:rPr>
          <w:rFonts w:ascii="PT Astra Serif" w:eastAsia="Calibri" w:hAnsi="PT Astra Serif" w:cs="Times New Roman"/>
          <w:b/>
          <w:bCs/>
          <w:szCs w:val="28"/>
        </w:rPr>
        <w:t>Сводные показатели в сфере закупок</w:t>
      </w:r>
    </w:p>
    <w:p w14:paraId="591D6A25" w14:textId="77777777" w:rsidR="00250BEC" w:rsidRPr="00250BEC" w:rsidRDefault="00250BEC" w:rsidP="00250BEC">
      <w:pPr>
        <w:widowControl w:val="0"/>
        <w:ind w:firstLine="0"/>
        <w:jc w:val="center"/>
        <w:rPr>
          <w:rFonts w:ascii="PT Astra Serif" w:eastAsia="Calibri" w:hAnsi="PT Astra Serif" w:cs="Times New Roman"/>
          <w:szCs w:val="28"/>
        </w:rPr>
      </w:pPr>
    </w:p>
    <w:p w14:paraId="587DF25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По состоянию на 01.01.2026 в Ульяновской области закупочную деятельность осуществляло 1 545 заказчиков, из них:</w:t>
      </w:r>
    </w:p>
    <w:p w14:paraId="3DE99023" w14:textId="77777777" w:rsidR="0012284E" w:rsidRPr="0012284E" w:rsidRDefault="0012284E" w:rsidP="0012284E">
      <w:pPr>
        <w:widowControl w:val="0"/>
        <w:rPr>
          <w:rFonts w:ascii="PT Astra Serif" w:eastAsia="Calibri" w:hAnsi="PT Astra Serif" w:cs="Times New Roman"/>
          <w:sz w:val="20"/>
          <w:szCs w:val="20"/>
        </w:rPr>
      </w:pPr>
    </w:p>
    <w:tbl>
      <w:tblPr>
        <w:tblStyle w:val="3111"/>
        <w:tblW w:w="0" w:type="auto"/>
        <w:jc w:val="center"/>
        <w:tblLook w:val="04A0" w:firstRow="1" w:lastRow="0" w:firstColumn="1" w:lastColumn="0" w:noHBand="0" w:noVBand="1"/>
      </w:tblPr>
      <w:tblGrid>
        <w:gridCol w:w="2971"/>
        <w:gridCol w:w="3200"/>
        <w:gridCol w:w="3173"/>
      </w:tblGrid>
      <w:tr w:rsidR="0012284E" w:rsidRPr="0012284E" w14:paraId="279D81C0" w14:textId="77777777" w:rsidTr="0085531C">
        <w:trPr>
          <w:trHeight w:val="347"/>
          <w:jc w:val="center"/>
        </w:trPr>
        <w:tc>
          <w:tcPr>
            <w:tcW w:w="2971" w:type="dxa"/>
            <w:shd w:val="clear" w:color="auto" w:fill="auto"/>
            <w:vAlign w:val="center"/>
          </w:tcPr>
          <w:p w14:paraId="444B72AB" w14:textId="77777777" w:rsidR="0012284E" w:rsidRPr="0012284E" w:rsidRDefault="0012284E" w:rsidP="0012284E">
            <w:pPr>
              <w:widowControl w:val="0"/>
              <w:ind w:firstLine="0"/>
              <w:jc w:val="center"/>
              <w:rPr>
                <w:rFonts w:ascii="PT Astra Serif" w:hAnsi="PT Astra Serif"/>
                <w:b/>
                <w:kern w:val="0"/>
                <w:sz w:val="20"/>
                <w:szCs w:val="20"/>
                <w14:ligatures w14:val="none"/>
              </w:rPr>
            </w:pPr>
            <w:r w:rsidRPr="0012284E">
              <w:rPr>
                <w:rFonts w:ascii="PT Astra Serif" w:hAnsi="PT Astra Serif"/>
                <w:b/>
                <w:kern w:val="0"/>
                <w:sz w:val="20"/>
                <w:szCs w:val="20"/>
                <w14:ligatures w14:val="none"/>
              </w:rPr>
              <w:t>Уровень размещения</w:t>
            </w:r>
          </w:p>
        </w:tc>
        <w:tc>
          <w:tcPr>
            <w:tcW w:w="3200" w:type="dxa"/>
            <w:shd w:val="clear" w:color="auto" w:fill="auto"/>
            <w:vAlign w:val="center"/>
          </w:tcPr>
          <w:p w14:paraId="1D7AEFCD" w14:textId="77777777" w:rsidR="0012284E" w:rsidRPr="0012284E" w:rsidRDefault="0012284E" w:rsidP="0012284E">
            <w:pPr>
              <w:widowControl w:val="0"/>
              <w:ind w:firstLine="0"/>
              <w:jc w:val="center"/>
              <w:rPr>
                <w:rFonts w:ascii="PT Astra Serif" w:hAnsi="PT Astra Serif"/>
                <w:b/>
                <w:kern w:val="0"/>
                <w:sz w:val="20"/>
                <w:szCs w:val="20"/>
                <w14:ligatures w14:val="none"/>
              </w:rPr>
            </w:pPr>
            <w:r w:rsidRPr="0012284E">
              <w:rPr>
                <w:rFonts w:ascii="PT Astra Serif" w:hAnsi="PT Astra Serif"/>
                <w:b/>
                <w:kern w:val="0"/>
                <w:sz w:val="20"/>
                <w:szCs w:val="20"/>
                <w14:ligatures w14:val="none"/>
              </w:rPr>
              <w:t>Закон 44-ФЗ</w:t>
            </w:r>
          </w:p>
        </w:tc>
        <w:tc>
          <w:tcPr>
            <w:tcW w:w="3173" w:type="dxa"/>
            <w:shd w:val="clear" w:color="auto" w:fill="auto"/>
            <w:vAlign w:val="center"/>
          </w:tcPr>
          <w:p w14:paraId="104E519C" w14:textId="77777777" w:rsidR="0012284E" w:rsidRPr="0012284E" w:rsidRDefault="0012284E" w:rsidP="0012284E">
            <w:pPr>
              <w:widowControl w:val="0"/>
              <w:ind w:firstLine="0"/>
              <w:jc w:val="center"/>
              <w:rPr>
                <w:rFonts w:ascii="PT Astra Serif" w:hAnsi="PT Astra Serif"/>
                <w:b/>
                <w:kern w:val="0"/>
                <w:sz w:val="20"/>
                <w:szCs w:val="20"/>
                <w14:ligatures w14:val="none"/>
              </w:rPr>
            </w:pPr>
            <w:r w:rsidRPr="0012284E">
              <w:rPr>
                <w:rFonts w:ascii="PT Astra Serif" w:hAnsi="PT Astra Serif"/>
                <w:b/>
                <w:kern w:val="0"/>
                <w:sz w:val="20"/>
                <w:szCs w:val="20"/>
                <w14:ligatures w14:val="none"/>
              </w:rPr>
              <w:t>Закон 223-ФЗ</w:t>
            </w:r>
          </w:p>
        </w:tc>
      </w:tr>
      <w:tr w:rsidR="0012284E" w:rsidRPr="0012284E" w14:paraId="53A7C3AC" w14:textId="77777777" w:rsidTr="0085531C">
        <w:trPr>
          <w:trHeight w:val="233"/>
          <w:jc w:val="center"/>
        </w:trPr>
        <w:tc>
          <w:tcPr>
            <w:tcW w:w="2971" w:type="dxa"/>
            <w:vAlign w:val="center"/>
          </w:tcPr>
          <w:p w14:paraId="60875F71" w14:textId="77777777" w:rsidR="0012284E" w:rsidRPr="0012284E" w:rsidRDefault="0012284E" w:rsidP="0012284E">
            <w:pPr>
              <w:widowControl w:val="0"/>
              <w:ind w:firstLine="0"/>
              <w:rPr>
                <w:rFonts w:ascii="PT Astra Serif" w:hAnsi="PT Astra Serif"/>
                <w:kern w:val="0"/>
                <w:sz w:val="20"/>
                <w:szCs w:val="20"/>
                <w14:ligatures w14:val="none"/>
              </w:rPr>
            </w:pPr>
            <w:r w:rsidRPr="0012284E">
              <w:rPr>
                <w:rFonts w:ascii="PT Astra Serif" w:hAnsi="PT Astra Serif"/>
                <w:kern w:val="0"/>
                <w:sz w:val="20"/>
                <w:szCs w:val="20"/>
                <w14:ligatures w14:val="none"/>
              </w:rPr>
              <w:t>региональный</w:t>
            </w:r>
          </w:p>
        </w:tc>
        <w:tc>
          <w:tcPr>
            <w:tcW w:w="3200" w:type="dxa"/>
            <w:vAlign w:val="center"/>
          </w:tcPr>
          <w:p w14:paraId="446550D6" w14:textId="77777777" w:rsidR="0012284E" w:rsidRPr="0012284E" w:rsidRDefault="0012284E" w:rsidP="0012284E">
            <w:pPr>
              <w:widowControl w:val="0"/>
              <w:ind w:firstLine="0"/>
              <w:jc w:val="center"/>
              <w:rPr>
                <w:rFonts w:ascii="PT Astra Serif" w:hAnsi="PT Astra Serif"/>
                <w:kern w:val="0"/>
                <w:sz w:val="20"/>
                <w:szCs w:val="20"/>
                <w14:ligatures w14:val="none"/>
              </w:rPr>
            </w:pPr>
            <w:r w:rsidRPr="0012284E">
              <w:rPr>
                <w:rFonts w:ascii="PT Astra Serif" w:hAnsi="PT Astra Serif"/>
                <w:kern w:val="0"/>
                <w:sz w:val="20"/>
                <w:szCs w:val="20"/>
                <w14:ligatures w14:val="none"/>
              </w:rPr>
              <w:t>228</w:t>
            </w:r>
          </w:p>
        </w:tc>
        <w:tc>
          <w:tcPr>
            <w:tcW w:w="3173" w:type="dxa"/>
            <w:vAlign w:val="center"/>
          </w:tcPr>
          <w:p w14:paraId="7DDAF2F6" w14:textId="77777777" w:rsidR="0012284E" w:rsidRPr="0012284E" w:rsidRDefault="0012284E" w:rsidP="0012284E">
            <w:pPr>
              <w:widowControl w:val="0"/>
              <w:ind w:firstLine="0"/>
              <w:jc w:val="center"/>
              <w:rPr>
                <w:rFonts w:ascii="PT Astra Serif" w:hAnsi="PT Astra Serif"/>
                <w:kern w:val="0"/>
                <w:sz w:val="20"/>
                <w:szCs w:val="20"/>
                <w14:ligatures w14:val="none"/>
              </w:rPr>
            </w:pPr>
            <w:r w:rsidRPr="0012284E">
              <w:rPr>
                <w:rFonts w:ascii="PT Astra Serif" w:hAnsi="PT Astra Serif"/>
                <w:kern w:val="0"/>
                <w:sz w:val="20"/>
                <w:szCs w:val="20"/>
                <w14:ligatures w14:val="none"/>
              </w:rPr>
              <w:t>96</w:t>
            </w:r>
          </w:p>
        </w:tc>
      </w:tr>
      <w:tr w:rsidR="0012284E" w:rsidRPr="0012284E" w14:paraId="037A8BEA" w14:textId="77777777" w:rsidTr="0085531C">
        <w:trPr>
          <w:trHeight w:val="415"/>
          <w:jc w:val="center"/>
        </w:trPr>
        <w:tc>
          <w:tcPr>
            <w:tcW w:w="2971" w:type="dxa"/>
            <w:vAlign w:val="center"/>
          </w:tcPr>
          <w:p w14:paraId="660A8482" w14:textId="77777777" w:rsidR="0012284E" w:rsidRPr="0012284E" w:rsidRDefault="0012284E" w:rsidP="0012284E">
            <w:pPr>
              <w:widowControl w:val="0"/>
              <w:ind w:firstLine="0"/>
              <w:rPr>
                <w:rFonts w:ascii="PT Astra Serif" w:hAnsi="PT Astra Serif"/>
                <w:kern w:val="0"/>
                <w:sz w:val="20"/>
                <w:szCs w:val="20"/>
                <w14:ligatures w14:val="none"/>
              </w:rPr>
            </w:pPr>
            <w:r w:rsidRPr="0012284E">
              <w:rPr>
                <w:rFonts w:ascii="PT Astra Serif" w:hAnsi="PT Astra Serif"/>
                <w:kern w:val="0"/>
                <w:sz w:val="20"/>
                <w:szCs w:val="20"/>
                <w14:ligatures w14:val="none"/>
              </w:rPr>
              <w:t>муниципальный</w:t>
            </w:r>
          </w:p>
        </w:tc>
        <w:tc>
          <w:tcPr>
            <w:tcW w:w="3200" w:type="dxa"/>
            <w:vAlign w:val="center"/>
          </w:tcPr>
          <w:p w14:paraId="3C8A6610" w14:textId="77777777" w:rsidR="0012284E" w:rsidRPr="0012284E" w:rsidRDefault="0012284E" w:rsidP="0012284E">
            <w:pPr>
              <w:widowControl w:val="0"/>
              <w:ind w:firstLine="0"/>
              <w:jc w:val="center"/>
              <w:rPr>
                <w:rFonts w:ascii="PT Astra Serif" w:hAnsi="PT Astra Serif"/>
                <w:kern w:val="0"/>
                <w:sz w:val="20"/>
                <w:szCs w:val="20"/>
                <w14:ligatures w14:val="none"/>
              </w:rPr>
            </w:pPr>
            <w:r w:rsidRPr="0012284E">
              <w:rPr>
                <w:rFonts w:ascii="PT Astra Serif" w:hAnsi="PT Astra Serif"/>
                <w:kern w:val="0"/>
                <w:sz w:val="20"/>
                <w:szCs w:val="20"/>
                <w14:ligatures w14:val="none"/>
              </w:rPr>
              <w:t>1127</w:t>
            </w:r>
          </w:p>
        </w:tc>
        <w:tc>
          <w:tcPr>
            <w:tcW w:w="3173" w:type="dxa"/>
            <w:vAlign w:val="center"/>
          </w:tcPr>
          <w:p w14:paraId="247A50CD" w14:textId="77777777" w:rsidR="0012284E" w:rsidRPr="0012284E" w:rsidRDefault="0012284E" w:rsidP="0012284E">
            <w:pPr>
              <w:widowControl w:val="0"/>
              <w:ind w:firstLine="0"/>
              <w:jc w:val="center"/>
              <w:rPr>
                <w:rFonts w:ascii="PT Astra Serif" w:hAnsi="PT Astra Serif"/>
                <w:kern w:val="0"/>
                <w:sz w:val="20"/>
                <w:szCs w:val="20"/>
                <w14:ligatures w14:val="none"/>
              </w:rPr>
            </w:pPr>
            <w:r w:rsidRPr="0012284E">
              <w:rPr>
                <w:rFonts w:ascii="PT Astra Serif" w:hAnsi="PT Astra Serif"/>
                <w:kern w:val="0"/>
                <w:sz w:val="20"/>
                <w:szCs w:val="20"/>
                <w14:ligatures w14:val="none"/>
              </w:rPr>
              <w:t>94</w:t>
            </w:r>
          </w:p>
        </w:tc>
      </w:tr>
    </w:tbl>
    <w:p w14:paraId="0F562F68" w14:textId="77777777" w:rsidR="0012284E" w:rsidRPr="0012284E" w:rsidRDefault="0012284E" w:rsidP="0012284E">
      <w:pPr>
        <w:widowControl w:val="0"/>
        <w:rPr>
          <w:rFonts w:ascii="PT Astra Serif" w:eastAsia="Calibri" w:hAnsi="PT Astra Serif" w:cs="Times New Roman"/>
          <w:sz w:val="20"/>
          <w:szCs w:val="20"/>
        </w:rPr>
      </w:pPr>
    </w:p>
    <w:p w14:paraId="15FDE605" w14:textId="2D30DE55"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Количество заказчиков в течение года величина переменная. Это обусловлено рядом объективных и субъективных причин: изменениями законодательства о контрактной системе, реорганизацией существующих заказчиков и созданием новых заказчиков.</w:t>
      </w:r>
    </w:p>
    <w:p w14:paraId="486DFA4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Сводный объем закупок за 2025 год составил 53,7 млрд рублей, что превышает показатель 2024 года на 9% (в 2024 году – 49,3 млрд рублей).</w:t>
      </w:r>
    </w:p>
    <w:p w14:paraId="3E263813" w14:textId="77777777" w:rsidR="00250BEC" w:rsidRPr="00250BEC" w:rsidRDefault="00250BEC" w:rsidP="00250BEC">
      <w:pPr>
        <w:widowControl w:val="0"/>
        <w:ind w:firstLine="0"/>
        <w:jc w:val="center"/>
        <w:rPr>
          <w:rFonts w:ascii="PT Astra Serif" w:eastAsia="Calibri" w:hAnsi="PT Astra Serif" w:cs="Times New Roman"/>
          <w:szCs w:val="28"/>
        </w:rPr>
      </w:pPr>
      <w:r w:rsidRPr="00250BEC">
        <w:rPr>
          <w:rFonts w:eastAsia="Times New Roman" w:cs="Times New Roman"/>
          <w:noProof/>
          <w:sz w:val="24"/>
          <w:szCs w:val="24"/>
          <w:lang w:eastAsia="ru-RU"/>
        </w:rPr>
        <w:lastRenderedPageBreak/>
        <w:drawing>
          <wp:inline distT="0" distB="0" distL="0" distR="0" wp14:anchorId="19773BEE" wp14:editId="0E42C9CB">
            <wp:extent cx="3943185" cy="1789043"/>
            <wp:effectExtent l="0" t="0" r="635" b="1905"/>
            <wp:docPr id="79" name="Диаграмма 1">
              <a:extLst xmlns:a="http://schemas.openxmlformats.org/drawingml/2006/main">
                <a:ext uri="{FF2B5EF4-FFF2-40B4-BE49-F238E27FC236}">
                  <a16:creationId xmlns:a16="http://schemas.microsoft.com/office/drawing/2014/main" id="{F742F438-99EE-2E2F-956D-CAB45DCB94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B420E0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Сэкономлено по итогам проведения закупок в 2025 году 2,55 млрд рублей, что на 10% превышает показатель 2024 года.</w:t>
      </w:r>
    </w:p>
    <w:p w14:paraId="1021670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Значительную долю (85%) от сводного объема составляют закупки для государственных и муниципальных нужд – 45,5 млрд рублей, на корпоративные закупки приходится всего 8,2 млрд рублей.</w:t>
      </w:r>
    </w:p>
    <w:p w14:paraId="6C79753E" w14:textId="77777777" w:rsidR="00250BEC" w:rsidRPr="00250BEC" w:rsidRDefault="00250BEC" w:rsidP="00250BEC">
      <w:pPr>
        <w:widowControl w:val="0"/>
        <w:rPr>
          <w:rFonts w:ascii="PT Astra Serif" w:eastAsia="Calibri" w:hAnsi="PT Astra Serif" w:cs="Times New Roman"/>
          <w:sz w:val="20"/>
          <w:szCs w:val="20"/>
        </w:rPr>
      </w:pPr>
    </w:p>
    <w:p w14:paraId="0A93AA3D" w14:textId="77777777" w:rsidR="00250BEC" w:rsidRPr="00250BEC" w:rsidRDefault="00250BEC" w:rsidP="00250BEC">
      <w:pPr>
        <w:widowControl w:val="0"/>
        <w:ind w:firstLine="0"/>
        <w:jc w:val="center"/>
        <w:rPr>
          <w:rFonts w:ascii="PT Astra Serif" w:eastAsia="Calibri" w:hAnsi="PT Astra Serif" w:cs="Times New Roman"/>
          <w:szCs w:val="28"/>
        </w:rPr>
      </w:pPr>
      <w:r w:rsidRPr="00250BEC">
        <w:rPr>
          <w:rFonts w:eastAsia="Times New Roman" w:cs="Times New Roman"/>
          <w:noProof/>
          <w:sz w:val="24"/>
          <w:szCs w:val="24"/>
          <w:lang w:eastAsia="ru-RU"/>
        </w:rPr>
        <w:drawing>
          <wp:inline distT="0" distB="0" distL="0" distR="0" wp14:anchorId="33442A4B" wp14:editId="591745E7">
            <wp:extent cx="5390515" cy="2592125"/>
            <wp:effectExtent l="0" t="0" r="635" b="0"/>
            <wp:docPr id="80" name="Диаграмма 1">
              <a:extLst xmlns:a="http://schemas.openxmlformats.org/drawingml/2006/main">
                <a:ext uri="{FF2B5EF4-FFF2-40B4-BE49-F238E27FC236}">
                  <a16:creationId xmlns:a16="http://schemas.microsoft.com/office/drawing/2014/main" id="{00D8721B-3186-8487-8F39-729EB4B2B9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DF68A0D"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С субъектами среднего и малого предпринимательства, социально-ориентированными некоммерческими организациями (далее – СМП, СМСП, СОНО) заключено контрактов/договоров на 19</w:t>
      </w:r>
      <w:r w:rsidRPr="00250BEC">
        <w:rPr>
          <w:rFonts w:ascii="PT Astra Serif" w:eastAsia="Calibri" w:hAnsi="PT Astra Serif" w:cs="Times New Roman"/>
          <w:b/>
          <w:bCs/>
        </w:rPr>
        <w:t xml:space="preserve"> </w:t>
      </w:r>
      <w:r w:rsidRPr="00250BEC">
        <w:rPr>
          <w:rFonts w:ascii="PT Astra Serif" w:eastAsia="Calibri" w:hAnsi="PT Astra Serif" w:cs="Times New Roman"/>
        </w:rPr>
        <w:t>млрд руб.</w:t>
      </w:r>
      <w:r w:rsidRPr="00250BEC">
        <w:rPr>
          <w:rFonts w:ascii="PT Astra Serif" w:eastAsia="Calibri" w:hAnsi="PT Astra Serif" w:cs="Times New Roman"/>
          <w:i/>
        </w:rPr>
        <w:t>,</w:t>
      </w:r>
      <w:r w:rsidRPr="00250BEC">
        <w:rPr>
          <w:rFonts w:ascii="PT Astra Serif" w:eastAsia="Calibri" w:hAnsi="PT Astra Serif" w:cs="Times New Roman"/>
        </w:rPr>
        <w:t xml:space="preserve"> что выше результата 2024 года на 12%. </w:t>
      </w:r>
    </w:p>
    <w:p w14:paraId="561AEEC9" w14:textId="77777777" w:rsidR="00250BEC" w:rsidRPr="00250BEC" w:rsidRDefault="00250BEC" w:rsidP="00250BEC">
      <w:pPr>
        <w:widowControl w:val="0"/>
        <w:rPr>
          <w:rFonts w:ascii="PT Astra Serif" w:eastAsia="Calibri" w:hAnsi="PT Astra Serif" w:cs="Times New Roman"/>
          <w:sz w:val="20"/>
          <w:szCs w:val="20"/>
        </w:rPr>
      </w:pPr>
    </w:p>
    <w:p w14:paraId="62477B98" w14:textId="77777777" w:rsidR="00250BEC" w:rsidRPr="00250BEC" w:rsidRDefault="00250BEC" w:rsidP="00250BEC">
      <w:pPr>
        <w:widowControl w:val="0"/>
        <w:ind w:firstLine="0"/>
        <w:jc w:val="center"/>
        <w:rPr>
          <w:rFonts w:ascii="PT Astra Serif" w:eastAsia="Calibri" w:hAnsi="PT Astra Serif" w:cs="Times New Roman"/>
        </w:rPr>
      </w:pPr>
      <w:r w:rsidRPr="00250BEC">
        <w:rPr>
          <w:rFonts w:eastAsia="Times New Roman" w:cs="Times New Roman"/>
          <w:noProof/>
          <w:sz w:val="24"/>
          <w:szCs w:val="24"/>
          <w:lang w:eastAsia="ru-RU"/>
        </w:rPr>
        <w:drawing>
          <wp:inline distT="0" distB="0" distL="0" distR="0" wp14:anchorId="6CE193C5" wp14:editId="24EED924">
            <wp:extent cx="5478145" cy="2711395"/>
            <wp:effectExtent l="0" t="0" r="8255" b="0"/>
            <wp:docPr id="81" name="Диаграмма 1">
              <a:extLst xmlns:a="http://schemas.openxmlformats.org/drawingml/2006/main">
                <a:ext uri="{FF2B5EF4-FFF2-40B4-BE49-F238E27FC236}">
                  <a16:creationId xmlns:a16="http://schemas.microsoft.com/office/drawing/2014/main" id="{260D70C7-1CDB-44D7-B355-B733609991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B5D699B" w14:textId="77777777" w:rsidR="00250BEC" w:rsidRPr="00250BEC" w:rsidRDefault="00250BEC" w:rsidP="00250BEC">
      <w:pPr>
        <w:widowControl w:val="0"/>
        <w:ind w:hanging="142"/>
        <w:jc w:val="center"/>
        <w:rPr>
          <w:rFonts w:ascii="PT Astra Serif" w:eastAsia="Calibri" w:hAnsi="PT Astra Serif" w:cs="Times New Roman"/>
          <w:b/>
          <w:bCs/>
        </w:rPr>
      </w:pPr>
      <w:r w:rsidRPr="00250BEC">
        <w:rPr>
          <w:rFonts w:ascii="PT Astra Serif" w:eastAsia="Calibri" w:hAnsi="PT Astra Serif" w:cs="Times New Roman"/>
          <w:b/>
          <w:bCs/>
        </w:rPr>
        <w:lastRenderedPageBreak/>
        <w:t>Итоги государственных и муниципальных закупок</w:t>
      </w:r>
    </w:p>
    <w:p w14:paraId="79A95505" w14:textId="77777777" w:rsidR="00250BEC" w:rsidRPr="00250BEC" w:rsidRDefault="00250BEC" w:rsidP="00250BEC">
      <w:pPr>
        <w:widowControl w:val="0"/>
        <w:ind w:hanging="142"/>
        <w:jc w:val="center"/>
        <w:rPr>
          <w:rFonts w:ascii="PT Astra Serif" w:eastAsia="Calibri" w:hAnsi="PT Astra Serif" w:cs="Times New Roman"/>
          <w:b/>
          <w:bCs/>
        </w:rPr>
      </w:pPr>
      <w:r w:rsidRPr="00250BEC">
        <w:rPr>
          <w:rFonts w:ascii="PT Astra Serif" w:eastAsia="Calibri" w:hAnsi="PT Astra Serif" w:cs="Times New Roman"/>
          <w:b/>
          <w:bCs/>
        </w:rPr>
        <w:t>(Закон 44-ФЗ)</w:t>
      </w:r>
    </w:p>
    <w:p w14:paraId="702F8871" w14:textId="77777777" w:rsidR="00250BEC" w:rsidRPr="00250BEC" w:rsidRDefault="00250BEC" w:rsidP="00250BEC">
      <w:pPr>
        <w:widowControl w:val="0"/>
        <w:ind w:firstLine="0"/>
        <w:jc w:val="left"/>
        <w:rPr>
          <w:rFonts w:ascii="PT Astra Serif" w:eastAsia="Times New Roman" w:hAnsi="PT Astra Serif" w:cs="Times New Roman"/>
          <w:b/>
          <w:caps/>
          <w:szCs w:val="28"/>
          <w:lang w:eastAsia="ru-RU"/>
        </w:rPr>
      </w:pPr>
    </w:p>
    <w:p w14:paraId="6A9238FB"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 xml:space="preserve">Общая сумма размещения закупок в 2025 году составила 45,5 млрд рублей, что на 8% больше объема закупок 2024 года. </w:t>
      </w:r>
    </w:p>
    <w:p w14:paraId="06A0DE9D" w14:textId="77777777" w:rsidR="00250BEC" w:rsidRPr="00250BEC" w:rsidRDefault="00250BEC" w:rsidP="00250BEC">
      <w:pPr>
        <w:widowControl w:val="0"/>
        <w:ind w:firstLine="0"/>
        <w:jc w:val="center"/>
        <w:rPr>
          <w:rFonts w:ascii="PT Astra Serif" w:eastAsia="Calibri" w:hAnsi="PT Astra Serif" w:cs="Times New Roman"/>
        </w:rPr>
      </w:pPr>
      <w:r w:rsidRPr="00250BEC">
        <w:rPr>
          <w:rFonts w:ascii="PT Astra Serif" w:eastAsia="Calibri" w:hAnsi="PT Astra Serif" w:cs="Times New Roman"/>
          <w:noProof/>
          <w:sz w:val="20"/>
          <w:szCs w:val="20"/>
          <w:lang w:eastAsia="ru-RU"/>
        </w:rPr>
        <w:drawing>
          <wp:inline distT="0" distB="0" distL="0" distR="0" wp14:anchorId="7A0CF531" wp14:editId="5E276511">
            <wp:extent cx="5647055" cy="1338681"/>
            <wp:effectExtent l="0" t="0" r="0" b="0"/>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69865" cy="1344088"/>
                    </a:xfrm>
                    <a:prstGeom prst="rect">
                      <a:avLst/>
                    </a:prstGeom>
                    <a:noFill/>
                  </pic:spPr>
                </pic:pic>
              </a:graphicData>
            </a:graphic>
          </wp:inline>
        </w:drawing>
      </w:r>
    </w:p>
    <w:p w14:paraId="6488CFF3" w14:textId="77777777" w:rsidR="00250BEC" w:rsidRPr="00250BEC" w:rsidRDefault="00250BEC" w:rsidP="00250BEC">
      <w:pPr>
        <w:widowControl w:val="0"/>
        <w:rPr>
          <w:rFonts w:ascii="PT Astra Serif" w:eastAsia="Calibri" w:hAnsi="PT Astra Serif" w:cs="Times New Roman"/>
          <w:iCs/>
        </w:rPr>
      </w:pPr>
    </w:p>
    <w:p w14:paraId="6F9E8FD7"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iCs/>
        </w:rPr>
        <w:t xml:space="preserve">82% средств, выделяемых на закупки, размещены конкурентными процедурами. </w:t>
      </w:r>
      <w:r w:rsidRPr="00250BEC">
        <w:rPr>
          <w:rFonts w:ascii="PT Astra Serif" w:eastAsia="Calibri" w:hAnsi="PT Astra Serif" w:cs="Times New Roman"/>
        </w:rPr>
        <w:t xml:space="preserve">В стоимостном выражении они составили 37,3 млрд рублей. Проведено 19,5 тысяч конкурентных процедур. </w:t>
      </w:r>
    </w:p>
    <w:p w14:paraId="310120E5" w14:textId="77777777" w:rsidR="00250BEC" w:rsidRPr="00250BEC" w:rsidRDefault="00250BEC" w:rsidP="00250BEC">
      <w:pPr>
        <w:widowControl w:val="0"/>
        <w:ind w:firstLine="0"/>
        <w:jc w:val="center"/>
        <w:rPr>
          <w:rFonts w:ascii="PT Astra Serif" w:eastAsia="Calibri" w:hAnsi="PT Astra Serif" w:cs="Times New Roman"/>
        </w:rPr>
      </w:pPr>
      <w:r w:rsidRPr="00250BEC">
        <w:rPr>
          <w:rFonts w:ascii="PT Astra Serif" w:eastAsia="Calibri" w:hAnsi="PT Astra Serif" w:cs="Times New Roman"/>
          <w:noProof/>
          <w:sz w:val="20"/>
          <w:szCs w:val="20"/>
          <w:lang w:eastAsia="ru-RU"/>
        </w:rPr>
        <w:drawing>
          <wp:inline distT="0" distB="0" distL="0" distR="0" wp14:anchorId="285D1837" wp14:editId="1676C40F">
            <wp:extent cx="4423308" cy="1977402"/>
            <wp:effectExtent l="0" t="0" r="0" b="0"/>
            <wp:docPr id="8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62498" cy="1994921"/>
                    </a:xfrm>
                    <a:prstGeom prst="rect">
                      <a:avLst/>
                    </a:prstGeom>
                    <a:noFill/>
                  </pic:spPr>
                </pic:pic>
              </a:graphicData>
            </a:graphic>
          </wp:inline>
        </w:drawing>
      </w:r>
    </w:p>
    <w:p w14:paraId="1357B95A"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 xml:space="preserve">Экономия по итогам проведения закупок составила 2, 2 млрд рублей, это на 12% превышает показатель 2024 года. </w:t>
      </w:r>
    </w:p>
    <w:p w14:paraId="276E621A"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Заключено контрактов с СМП и СОНО на 14,5 млрд руб.</w:t>
      </w:r>
      <w:r w:rsidRPr="00250BEC">
        <w:rPr>
          <w:rFonts w:ascii="PT Astra Serif" w:eastAsia="Calibri" w:hAnsi="PT Astra Serif" w:cs="Times New Roman"/>
          <w:i/>
        </w:rPr>
        <w:t>,</w:t>
      </w:r>
      <w:r w:rsidRPr="00250BEC">
        <w:rPr>
          <w:rFonts w:ascii="PT Astra Serif" w:eastAsia="Calibri" w:hAnsi="PT Astra Serif" w:cs="Times New Roman"/>
        </w:rPr>
        <w:t xml:space="preserve"> что выше результатов 2024 года на 10%. </w:t>
      </w:r>
    </w:p>
    <w:p w14:paraId="50B63FF5"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Закон 44-ФЗ уделяет особое внимание поддержке СМП и СОНО при осуществлении закупок. Это обеспечивается через созданную систему преимуществ таким субъектам непосредственно при осуществлении закупок (напрямую либо с привлечением) и необходимость соблюдения обязательной годовой доли закупок у указанных субъектов в размере не менее 25%, а также предусмотрена административная ответственность по КоАП РФ за невыполнение заказчиками этой обязанности.</w:t>
      </w:r>
    </w:p>
    <w:p w14:paraId="7AC082E6" w14:textId="77777777" w:rsidR="00250BEC" w:rsidRPr="00250BEC" w:rsidRDefault="00250BEC" w:rsidP="00250BEC">
      <w:pPr>
        <w:widowControl w:val="0"/>
        <w:rPr>
          <w:rFonts w:ascii="PT Astra Serif" w:eastAsia="Calibri" w:hAnsi="PT Astra Serif" w:cs="Times New Roman"/>
        </w:rPr>
      </w:pPr>
      <w:bookmarkStart w:id="45" w:name="_Hlk221283235"/>
      <w:r w:rsidRPr="00250BEC">
        <w:rPr>
          <w:rFonts w:ascii="PT Astra Serif" w:eastAsia="Calibri" w:hAnsi="PT Astra Serif" w:cs="Times New Roman"/>
        </w:rPr>
        <w:t xml:space="preserve">К ключевым индикаторам эффективности закупок относятся такие показатели как доля необоснованных жалоб, состоявшихся закупок </w:t>
      </w:r>
      <w:r w:rsidRPr="00250BEC">
        <w:rPr>
          <w:rFonts w:ascii="PT Astra Serif" w:eastAsia="Calibri" w:hAnsi="PT Astra Serif" w:cs="Times New Roman"/>
        </w:rPr>
        <w:br/>
        <w:t>и цифровизация закупок малого объема.</w:t>
      </w:r>
    </w:p>
    <w:p w14:paraId="466ABD25"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 xml:space="preserve">Благодаря работе Агентства во взаимодействии с контрольными </w:t>
      </w:r>
      <w:r w:rsidRPr="00250BEC">
        <w:rPr>
          <w:rFonts w:ascii="PT Astra Serif" w:eastAsia="Calibri" w:hAnsi="PT Astra Serif" w:cs="Times New Roman"/>
        </w:rPr>
        <w:br/>
        <w:t xml:space="preserve">и финансовыми органами в течение 2025 года, несмотря на значительные сложности, вызванные новыми правилами применения национального режима </w:t>
      </w:r>
      <w:r w:rsidRPr="00250BEC">
        <w:rPr>
          <w:rFonts w:ascii="PT Astra Serif" w:eastAsia="Calibri" w:hAnsi="PT Astra Serif" w:cs="Times New Roman"/>
        </w:rPr>
        <w:br/>
        <w:t>в закупках, снизилось количество обоснованных жалоб и число нерезультативных торгов.</w:t>
      </w:r>
    </w:p>
    <w:p w14:paraId="07E71D92"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 xml:space="preserve">По рейтингу ФАС России за 2025 год по доле жалоб, признанных </w:t>
      </w:r>
      <w:r w:rsidRPr="00250BEC">
        <w:rPr>
          <w:rFonts w:ascii="PT Astra Serif" w:eastAsia="Calibri" w:hAnsi="PT Astra Serif" w:cs="Times New Roman"/>
        </w:rPr>
        <w:lastRenderedPageBreak/>
        <w:t xml:space="preserve">обоснованными, Ульяновская область поднялась с 65 на 9 место среди </w:t>
      </w:r>
      <w:r w:rsidRPr="00250BEC">
        <w:rPr>
          <w:rFonts w:ascii="PT Astra Serif" w:eastAsia="Calibri" w:hAnsi="PT Astra Serif" w:cs="Times New Roman"/>
        </w:rPr>
        <w:br/>
        <w:t>86 субъектов РФ.</w:t>
      </w:r>
    </w:p>
    <w:p w14:paraId="48661772" w14:textId="77777777" w:rsidR="00250BEC" w:rsidRPr="00B43C8A" w:rsidRDefault="00250BEC" w:rsidP="00250BEC">
      <w:pPr>
        <w:widowControl w:val="0"/>
        <w:rPr>
          <w:rFonts w:ascii="PT Astra Serif" w:eastAsia="Calibri" w:hAnsi="PT Astra Serif" w:cs="Times New Roman"/>
          <w:b/>
          <w:bCs/>
          <w:sz w:val="20"/>
          <w:szCs w:val="20"/>
          <w:highlight w:val="yellow"/>
        </w:rPr>
      </w:pPr>
    </w:p>
    <w:tbl>
      <w:tblPr>
        <w:tblpPr w:leftFromText="180" w:rightFromText="180" w:vertAnchor="text" w:tblpXSpec="center" w:tblpY="1"/>
        <w:tblOverlap w:val="neve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8"/>
        <w:gridCol w:w="1265"/>
        <w:gridCol w:w="1701"/>
        <w:gridCol w:w="1985"/>
        <w:gridCol w:w="1706"/>
        <w:gridCol w:w="1407"/>
      </w:tblGrid>
      <w:tr w:rsidR="00250BEC" w:rsidRPr="00250BEC" w14:paraId="0B2E5E94" w14:textId="77777777" w:rsidTr="00250BEC">
        <w:trPr>
          <w:trHeight w:val="564"/>
        </w:trPr>
        <w:tc>
          <w:tcPr>
            <w:tcW w:w="2693" w:type="dxa"/>
            <w:gridSpan w:val="2"/>
            <w:tcBorders>
              <w:top w:val="single" w:sz="4" w:space="0" w:color="auto"/>
              <w:left w:val="single" w:sz="4" w:space="0" w:color="auto"/>
              <w:right w:val="single" w:sz="4" w:space="0" w:color="auto"/>
            </w:tcBorders>
            <w:shd w:val="clear" w:color="auto" w:fill="auto"/>
            <w:vAlign w:val="center"/>
            <w:hideMark/>
          </w:tcPr>
          <w:p w14:paraId="0F9E4D1B"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Рассмотрено жалоб, шт.</w:t>
            </w:r>
          </w:p>
        </w:tc>
        <w:tc>
          <w:tcPr>
            <w:tcW w:w="36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00AC5F"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 xml:space="preserve">Жалобы, признанные обоснованными, шт./% </w:t>
            </w:r>
          </w:p>
        </w:tc>
        <w:tc>
          <w:tcPr>
            <w:tcW w:w="311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18EC0"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Доля закупок, жалобы по которым обоснованы, %</w:t>
            </w:r>
          </w:p>
        </w:tc>
      </w:tr>
      <w:tr w:rsidR="00250BEC" w:rsidRPr="00250BEC" w14:paraId="5A6C290A" w14:textId="77777777" w:rsidTr="00250BEC">
        <w:tc>
          <w:tcPr>
            <w:tcW w:w="1428" w:type="dxa"/>
            <w:tcBorders>
              <w:top w:val="single" w:sz="4" w:space="0" w:color="auto"/>
              <w:left w:val="single" w:sz="4" w:space="0" w:color="auto"/>
              <w:bottom w:val="single" w:sz="4" w:space="0" w:color="auto"/>
              <w:right w:val="single" w:sz="4" w:space="0" w:color="auto"/>
            </w:tcBorders>
            <w:shd w:val="clear" w:color="auto" w:fill="auto"/>
          </w:tcPr>
          <w:p w14:paraId="0CEF0CF0"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2024 г.</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49D01D5E"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2025 г.</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03723E"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2024 г.</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F429F39"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2025 г.</w:t>
            </w:r>
          </w:p>
        </w:tc>
        <w:tc>
          <w:tcPr>
            <w:tcW w:w="1706" w:type="dxa"/>
            <w:tcBorders>
              <w:top w:val="single" w:sz="4" w:space="0" w:color="auto"/>
              <w:left w:val="single" w:sz="4" w:space="0" w:color="auto"/>
              <w:bottom w:val="single" w:sz="4" w:space="0" w:color="auto"/>
              <w:right w:val="single" w:sz="4" w:space="0" w:color="auto"/>
            </w:tcBorders>
            <w:shd w:val="clear" w:color="auto" w:fill="auto"/>
          </w:tcPr>
          <w:p w14:paraId="29E31A5C"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2024 г.</w:t>
            </w:r>
          </w:p>
        </w:tc>
        <w:tc>
          <w:tcPr>
            <w:tcW w:w="1407" w:type="dxa"/>
            <w:tcBorders>
              <w:top w:val="single" w:sz="4" w:space="0" w:color="auto"/>
              <w:left w:val="single" w:sz="4" w:space="0" w:color="auto"/>
              <w:bottom w:val="single" w:sz="4" w:space="0" w:color="auto"/>
              <w:right w:val="single" w:sz="4" w:space="0" w:color="auto"/>
            </w:tcBorders>
            <w:shd w:val="clear" w:color="auto" w:fill="auto"/>
          </w:tcPr>
          <w:p w14:paraId="08770E4C" w14:textId="77777777" w:rsidR="00250BEC" w:rsidRPr="00250BEC" w:rsidRDefault="00250BEC" w:rsidP="00250BEC">
            <w:pPr>
              <w:widowControl w:val="0"/>
              <w:ind w:firstLine="0"/>
              <w:jc w:val="center"/>
              <w:rPr>
                <w:rFonts w:ascii="PT Astra Serif" w:eastAsia="Calibri" w:hAnsi="PT Astra Serif" w:cs="Times New Roman"/>
                <w:b/>
                <w:sz w:val="20"/>
                <w:szCs w:val="20"/>
              </w:rPr>
            </w:pPr>
            <w:r w:rsidRPr="00250BEC">
              <w:rPr>
                <w:rFonts w:ascii="PT Astra Serif" w:eastAsia="Calibri" w:hAnsi="PT Astra Serif" w:cs="Times New Roman"/>
                <w:b/>
                <w:sz w:val="20"/>
                <w:szCs w:val="20"/>
              </w:rPr>
              <w:t>2025 г.</w:t>
            </w:r>
          </w:p>
        </w:tc>
      </w:tr>
      <w:tr w:rsidR="00250BEC" w:rsidRPr="00250BEC" w14:paraId="3AD37798" w14:textId="77777777" w:rsidTr="00250BEC">
        <w:trPr>
          <w:trHeight w:val="431"/>
        </w:trPr>
        <w:tc>
          <w:tcPr>
            <w:tcW w:w="1428" w:type="dxa"/>
            <w:tcBorders>
              <w:top w:val="single" w:sz="4" w:space="0" w:color="auto"/>
              <w:left w:val="single" w:sz="4" w:space="0" w:color="auto"/>
              <w:bottom w:val="single" w:sz="4" w:space="0" w:color="auto"/>
              <w:right w:val="single" w:sz="4" w:space="0" w:color="auto"/>
            </w:tcBorders>
            <w:shd w:val="clear" w:color="auto" w:fill="auto"/>
            <w:vAlign w:val="center"/>
          </w:tcPr>
          <w:p w14:paraId="026F3DA7"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178</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14:paraId="009CDB0E"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161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C8C6216"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72 (40%)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09BA0BB"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38 (24%)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center"/>
          </w:tcPr>
          <w:p w14:paraId="7D71FC36"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0,4%</w:t>
            </w:r>
          </w:p>
        </w:tc>
        <w:tc>
          <w:tcPr>
            <w:tcW w:w="1407" w:type="dxa"/>
            <w:tcBorders>
              <w:top w:val="single" w:sz="4" w:space="0" w:color="auto"/>
              <w:left w:val="single" w:sz="4" w:space="0" w:color="auto"/>
              <w:bottom w:val="single" w:sz="4" w:space="0" w:color="auto"/>
              <w:right w:val="single" w:sz="4" w:space="0" w:color="auto"/>
            </w:tcBorders>
            <w:shd w:val="clear" w:color="auto" w:fill="auto"/>
            <w:vAlign w:val="center"/>
          </w:tcPr>
          <w:p w14:paraId="18E596B6" w14:textId="77777777" w:rsidR="00250BEC" w:rsidRPr="00250BEC" w:rsidRDefault="00250BEC" w:rsidP="00250BEC">
            <w:pPr>
              <w:widowControl w:val="0"/>
              <w:ind w:firstLine="0"/>
              <w:jc w:val="center"/>
              <w:rPr>
                <w:rFonts w:ascii="PT Astra Serif" w:eastAsia="Calibri" w:hAnsi="PT Astra Serif" w:cs="Times New Roman"/>
                <w:bCs/>
                <w:sz w:val="20"/>
                <w:szCs w:val="20"/>
              </w:rPr>
            </w:pPr>
            <w:r w:rsidRPr="00250BEC">
              <w:rPr>
                <w:rFonts w:ascii="PT Astra Serif" w:eastAsia="Calibri" w:hAnsi="PT Astra Serif" w:cs="Times New Roman"/>
                <w:bCs/>
                <w:sz w:val="20"/>
                <w:szCs w:val="20"/>
              </w:rPr>
              <w:t>0,2%</w:t>
            </w:r>
          </w:p>
        </w:tc>
      </w:tr>
      <w:bookmarkEnd w:id="45"/>
    </w:tbl>
    <w:p w14:paraId="5D9FD3E4" w14:textId="77777777" w:rsidR="00250BEC" w:rsidRPr="00B43C8A" w:rsidRDefault="00250BEC" w:rsidP="00250BEC">
      <w:pPr>
        <w:widowControl w:val="0"/>
        <w:rPr>
          <w:rFonts w:ascii="PT Astra Serif" w:eastAsia="Calibri" w:hAnsi="PT Astra Serif" w:cs="Times New Roman"/>
          <w:sz w:val="20"/>
          <w:szCs w:val="20"/>
        </w:rPr>
      </w:pPr>
    </w:p>
    <w:p w14:paraId="5790AB37"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 xml:space="preserve">По данным мониторинга ежегодно обжалуется 1% закупок, </w:t>
      </w:r>
      <w:r w:rsidRPr="00250BEC">
        <w:rPr>
          <w:rFonts w:ascii="PT Astra Serif" w:eastAsia="Calibri" w:hAnsi="PT Astra Serif" w:cs="Times New Roman"/>
        </w:rPr>
        <w:br/>
        <w:t xml:space="preserve">а обоснованными признаются не более 0,4% закупок, такая тенденция сохраняется в Ульяновской области уже несколько последних лет. </w:t>
      </w:r>
    </w:p>
    <w:p w14:paraId="64055191"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В 2025 году доля обоснованных жалоб по сравнению с прошлым годом снизилась более чем в 1,5 раза (на 16%).</w:t>
      </w:r>
    </w:p>
    <w:p w14:paraId="3B1719CB"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szCs w:val="28"/>
        </w:rPr>
        <w:t xml:space="preserve">По итогам 2025 года доля несостоявшихся </w:t>
      </w:r>
      <w:proofErr w:type="spellStart"/>
      <w:r w:rsidRPr="00250BEC">
        <w:rPr>
          <w:rFonts w:ascii="PT Astra Serif" w:eastAsia="Calibri" w:hAnsi="PT Astra Serif" w:cs="Times New Roman"/>
          <w:szCs w:val="28"/>
        </w:rPr>
        <w:t>госзакупок</w:t>
      </w:r>
      <w:proofErr w:type="spellEnd"/>
      <w:r w:rsidRPr="00250BEC">
        <w:rPr>
          <w:rFonts w:ascii="PT Astra Serif" w:eastAsia="Calibri" w:hAnsi="PT Astra Serif" w:cs="Times New Roman"/>
          <w:szCs w:val="28"/>
        </w:rPr>
        <w:t xml:space="preserve"> в регионе: 55% по сумме, 53% по количеству. И это лучше показателей, определенных </w:t>
      </w:r>
      <w:r w:rsidRPr="00250BEC">
        <w:rPr>
          <w:rFonts w:ascii="PT Astra Serif" w:eastAsia="Calibri" w:hAnsi="PT Astra Serif" w:cs="Times New Roman"/>
          <w:szCs w:val="28"/>
        </w:rPr>
        <w:br/>
        <w:t xml:space="preserve">в </w:t>
      </w:r>
      <w:r w:rsidRPr="00250BEC">
        <w:rPr>
          <w:rFonts w:ascii="PT Astra Serif" w:eastAsia="Calibri" w:hAnsi="PT Astra Serif" w:cs="Times New Roman"/>
        </w:rPr>
        <w:t xml:space="preserve">Рейтинге </w:t>
      </w:r>
      <w:r w:rsidRPr="00250BEC">
        <w:rPr>
          <w:rFonts w:ascii="PT Astra Serif" w:eastAsia="Calibri" w:hAnsi="PT Astra Serif" w:cs="Times New Roman"/>
          <w:szCs w:val="28"/>
        </w:rPr>
        <w:t xml:space="preserve">ФАС России за 2025 год: средний показатель несостоявшихся закупок по России 60,5% по стоимости, 61% по количеству. По данному критерию в Рейтинге область заняла </w:t>
      </w:r>
      <w:r w:rsidRPr="00250BEC">
        <w:rPr>
          <w:rFonts w:ascii="PT Astra Serif" w:eastAsia="Calibri" w:hAnsi="PT Astra Serif" w:cs="Times New Roman"/>
        </w:rPr>
        <w:t xml:space="preserve">7 место из 88 субъектов РФ. Доля </w:t>
      </w:r>
      <w:proofErr w:type="spellStart"/>
      <w:r w:rsidRPr="00250BEC">
        <w:rPr>
          <w:rFonts w:ascii="PT Astra Serif" w:eastAsia="Calibri" w:hAnsi="PT Astra Serif" w:cs="Times New Roman"/>
        </w:rPr>
        <w:t>госзакупок</w:t>
      </w:r>
      <w:proofErr w:type="spellEnd"/>
      <w:r w:rsidRPr="00250BEC">
        <w:rPr>
          <w:rFonts w:ascii="PT Astra Serif" w:eastAsia="Calibri" w:hAnsi="PT Astra Serif" w:cs="Times New Roman"/>
        </w:rPr>
        <w:t xml:space="preserve">, которые не привели к заключению контрактов, снизилась с 24% </w:t>
      </w:r>
      <w:r w:rsidRPr="00250BEC">
        <w:rPr>
          <w:rFonts w:ascii="PT Astra Serif" w:eastAsia="Calibri" w:hAnsi="PT Astra Serif" w:cs="Times New Roman"/>
        </w:rPr>
        <w:br/>
        <w:t>в 2024 году до 12% в 2025.</w:t>
      </w:r>
    </w:p>
    <w:p w14:paraId="00454CBA" w14:textId="77777777" w:rsidR="00250BEC" w:rsidRPr="00250BEC" w:rsidRDefault="00250BEC" w:rsidP="00250BEC">
      <w:pPr>
        <w:widowControl w:val="0"/>
        <w:contextualSpacing/>
        <w:rPr>
          <w:rFonts w:ascii="PT Astra Serif" w:eastAsia="Calibri" w:hAnsi="PT Astra Serif" w:cs="Times New Roman"/>
        </w:rPr>
      </w:pPr>
      <w:r w:rsidRPr="00250BEC">
        <w:rPr>
          <w:rFonts w:ascii="PT Astra Serif" w:eastAsia="Calibri" w:hAnsi="PT Astra Serif" w:cs="Times New Roman"/>
        </w:rPr>
        <w:t xml:space="preserve">Снижению доли несостоявшихся закупок способствовало в том числе изменение схемы размещения закупок на поставку товаров для льготных категорий граждан. В 2025 году закупки таких товаров были организованы на потребность двух лет, что направлено на стабильность и бесперебойность обеспечения пациентов необходимыми препаратами. </w:t>
      </w:r>
    </w:p>
    <w:p w14:paraId="7D9D3616"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Calibri" w:hAnsi="PT Astra Serif" w:cs="Times New Roman"/>
        </w:rPr>
        <w:t xml:space="preserve">Переход на долгосрочные контракты уже показал свою эффективность. На 1 января 2026 года с учетом новых правил для отрасли здравоохранения на 2026 год было объявлено 192 закупки на сумму 1,4 млрд рублей. Год назад на 1 января 2025 года количество таких закупок было в 5 с лишним раз меньше: 36 закупок на сумму 377 млн рублей. </w:t>
      </w:r>
      <w:r w:rsidRPr="00250BEC">
        <w:rPr>
          <w:rFonts w:ascii="PT Astra Serif" w:eastAsia="Times New Roman" w:hAnsi="PT Astra Serif" w:cs="Times New Roman"/>
          <w:szCs w:val="28"/>
          <w:lang w:eastAsia="ru-RU"/>
        </w:rPr>
        <w:t xml:space="preserve">На диаграмме отражена структура </w:t>
      </w:r>
      <w:r w:rsidRPr="00250BEC">
        <w:rPr>
          <w:rFonts w:ascii="PT Astra Serif" w:eastAsia="Times New Roman" w:hAnsi="PT Astra Serif" w:cs="Times New Roman"/>
          <w:bCs/>
          <w:szCs w:val="28"/>
          <w:lang w:eastAsia="ru-RU"/>
        </w:rPr>
        <w:t xml:space="preserve">несостоявшихся </w:t>
      </w:r>
      <w:proofErr w:type="spellStart"/>
      <w:r w:rsidRPr="00250BEC">
        <w:rPr>
          <w:rFonts w:ascii="PT Astra Serif" w:eastAsia="Times New Roman" w:hAnsi="PT Astra Serif" w:cs="Times New Roman"/>
          <w:bCs/>
          <w:szCs w:val="28"/>
          <w:lang w:eastAsia="ru-RU"/>
        </w:rPr>
        <w:t>госзакупок</w:t>
      </w:r>
      <w:proofErr w:type="spellEnd"/>
      <w:r w:rsidRPr="00250BEC">
        <w:rPr>
          <w:rFonts w:ascii="PT Astra Serif" w:eastAsia="Times New Roman" w:hAnsi="PT Astra Serif" w:cs="Times New Roman"/>
          <w:bCs/>
          <w:szCs w:val="28"/>
          <w:lang w:eastAsia="ru-RU"/>
        </w:rPr>
        <w:t xml:space="preserve"> в разрезе причин признания их таковыми.</w:t>
      </w:r>
    </w:p>
    <w:p w14:paraId="1330E4E1" w14:textId="77777777" w:rsidR="00250BEC" w:rsidRPr="00250BEC" w:rsidRDefault="00250BEC" w:rsidP="00250BEC">
      <w:pPr>
        <w:widowControl w:val="0"/>
        <w:ind w:firstLine="0"/>
        <w:contextualSpacing/>
        <w:jc w:val="center"/>
        <w:rPr>
          <w:rFonts w:ascii="PT Astra Serif" w:eastAsia="Times New Roman" w:hAnsi="PT Astra Serif" w:cs="Times New Roman"/>
          <w:szCs w:val="28"/>
          <w:lang w:eastAsia="ru-RU"/>
        </w:rPr>
      </w:pPr>
      <w:r w:rsidRPr="00250BEC">
        <w:rPr>
          <w:rFonts w:ascii="PT Astra Serif" w:eastAsia="Times New Roman" w:hAnsi="PT Astra Serif" w:cs="Times New Roman"/>
          <w:noProof/>
          <w:sz w:val="20"/>
          <w:szCs w:val="20"/>
          <w:lang w:eastAsia="ru-RU"/>
        </w:rPr>
        <w:drawing>
          <wp:inline distT="0" distB="0" distL="0" distR="0" wp14:anchorId="654C3143" wp14:editId="370AD1EC">
            <wp:extent cx="4251711" cy="1745416"/>
            <wp:effectExtent l="0" t="0" r="0" b="7620"/>
            <wp:docPr id="8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21121" cy="1773910"/>
                    </a:xfrm>
                    <a:prstGeom prst="rect">
                      <a:avLst/>
                    </a:prstGeom>
                    <a:noFill/>
                  </pic:spPr>
                </pic:pic>
              </a:graphicData>
            </a:graphic>
          </wp:inline>
        </w:drawing>
      </w:r>
    </w:p>
    <w:p w14:paraId="55C94967" w14:textId="77777777" w:rsidR="00250BEC" w:rsidRPr="00250BEC" w:rsidRDefault="00250BEC" w:rsidP="00250BEC">
      <w:pPr>
        <w:widowControl w:val="0"/>
        <w:ind w:firstLine="0"/>
        <w:jc w:val="center"/>
        <w:rPr>
          <w:rFonts w:ascii="PT Astra Serif" w:eastAsia="Times New Roman" w:hAnsi="PT Astra Serif" w:cs="Times New Roman"/>
          <w:b/>
          <w:bCs/>
          <w:szCs w:val="28"/>
          <w:lang w:eastAsia="ru-RU"/>
        </w:rPr>
      </w:pPr>
    </w:p>
    <w:p w14:paraId="2611E111" w14:textId="77777777" w:rsidR="00250BEC" w:rsidRPr="00250BEC" w:rsidRDefault="00250BEC" w:rsidP="00250BEC">
      <w:pPr>
        <w:widowControl w:val="0"/>
        <w:ind w:firstLine="0"/>
        <w:jc w:val="center"/>
        <w:rPr>
          <w:rFonts w:ascii="PT Astra Serif" w:eastAsia="Times New Roman" w:hAnsi="PT Astra Serif" w:cs="Times New Roman"/>
          <w:b/>
          <w:bCs/>
          <w:szCs w:val="28"/>
          <w:lang w:eastAsia="ru-RU"/>
        </w:rPr>
      </w:pPr>
      <w:r w:rsidRPr="00250BEC">
        <w:rPr>
          <w:rFonts w:ascii="PT Astra Serif" w:eastAsia="Times New Roman" w:hAnsi="PT Astra Serif" w:cs="Times New Roman"/>
          <w:b/>
          <w:bCs/>
          <w:szCs w:val="28"/>
          <w:lang w:eastAsia="ru-RU"/>
        </w:rPr>
        <w:t>Стимулирование цифровизации закупок малого объёма</w:t>
      </w:r>
    </w:p>
    <w:p w14:paraId="16F40B31" w14:textId="77777777" w:rsidR="00250BEC" w:rsidRPr="00250BEC" w:rsidRDefault="00250BEC" w:rsidP="00250BEC">
      <w:pPr>
        <w:widowControl w:val="0"/>
        <w:ind w:firstLine="0"/>
        <w:jc w:val="center"/>
        <w:rPr>
          <w:rFonts w:ascii="PT Astra Serif" w:eastAsia="Times New Roman" w:hAnsi="PT Astra Serif" w:cs="Times New Roman"/>
          <w:b/>
          <w:bCs/>
          <w:szCs w:val="28"/>
          <w:lang w:eastAsia="ru-RU"/>
        </w:rPr>
      </w:pPr>
    </w:p>
    <w:p w14:paraId="2B5E0B4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Закупки малого объема – процедура приобретения продукции на небольшие суммы, позволяющая оперативно удовлетворять потребности заказчиков (по пунктам 4 и 5 части 1 статьи 93 Закона 44-ФЗ). </w:t>
      </w:r>
    </w:p>
    <w:p w14:paraId="51E275C8" w14:textId="77777777" w:rsidR="00250BEC" w:rsidRPr="00250BEC" w:rsidRDefault="00250BEC" w:rsidP="00250BEC">
      <w:pPr>
        <w:widowControl w:val="0"/>
        <w:contextualSpacing/>
        <w:rPr>
          <w:rFonts w:ascii="PT Astra Serif" w:eastAsia="Calibri" w:hAnsi="PT Astra Serif" w:cs="Times New Roman"/>
          <w:color w:val="000000"/>
          <w:szCs w:val="28"/>
        </w:rPr>
      </w:pPr>
      <w:r w:rsidRPr="00250BEC">
        <w:rPr>
          <w:rFonts w:ascii="PT Astra Serif" w:eastAsia="Calibri" w:hAnsi="PT Astra Serif" w:cs="Times New Roman"/>
          <w:szCs w:val="28"/>
        </w:rPr>
        <w:lastRenderedPageBreak/>
        <w:t xml:space="preserve">Осуществление </w:t>
      </w:r>
      <w:proofErr w:type="spellStart"/>
      <w:r w:rsidRPr="00250BEC">
        <w:rPr>
          <w:rFonts w:ascii="PT Astra Serif" w:eastAsia="Calibri" w:hAnsi="PT Astra Serif" w:cs="Times New Roman"/>
          <w:szCs w:val="28"/>
        </w:rPr>
        <w:t>госзакупок</w:t>
      </w:r>
      <w:proofErr w:type="spellEnd"/>
      <w:r w:rsidRPr="00250BEC">
        <w:rPr>
          <w:rFonts w:ascii="PT Astra Serif" w:eastAsia="Calibri" w:hAnsi="PT Astra Serif" w:cs="Times New Roman"/>
          <w:szCs w:val="28"/>
        </w:rPr>
        <w:t xml:space="preserve"> малого объема через электронные магазины закреплено распоряжением Правительства Ульяновской области от 18.03.2019 № 125-пр «О мерах по автоматизации закупок малого объема».</w:t>
      </w:r>
      <w:r w:rsidRPr="00250BEC">
        <w:rPr>
          <w:rFonts w:ascii="PT Astra Serif" w:eastAsia="Calibri" w:hAnsi="PT Astra Serif" w:cs="Times New Roman"/>
          <w:color w:val="000000"/>
          <w:szCs w:val="28"/>
        </w:rPr>
        <w:t xml:space="preserve"> </w:t>
      </w:r>
    </w:p>
    <w:p w14:paraId="77CD6A32" w14:textId="77777777" w:rsidR="00250BEC" w:rsidRPr="00250BEC" w:rsidRDefault="00250BEC" w:rsidP="00250BEC">
      <w:pPr>
        <w:widowControl w:val="0"/>
        <w:contextualSpacing/>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t xml:space="preserve">Для муниципальных заказчиков одним из ключевых стимулов перевода своих малых закупок в цифровой формат выступает </w:t>
      </w:r>
      <w:proofErr w:type="spellStart"/>
      <w:r w:rsidRPr="00250BEC">
        <w:rPr>
          <w:rFonts w:ascii="PT Astra Serif" w:eastAsia="Calibri" w:hAnsi="PT Astra Serif" w:cs="Times New Roman"/>
          <w:color w:val="000000"/>
          <w:szCs w:val="28"/>
        </w:rPr>
        <w:t>рейтингование</w:t>
      </w:r>
      <w:proofErr w:type="spellEnd"/>
      <w:r w:rsidRPr="00250BEC">
        <w:rPr>
          <w:rFonts w:ascii="PT Astra Serif" w:eastAsia="Calibri" w:hAnsi="PT Astra Serif" w:cs="Times New Roman"/>
          <w:color w:val="000000"/>
          <w:szCs w:val="28"/>
        </w:rPr>
        <w:t xml:space="preserve"> муниципальных образований Ульяновской области в части организации их закупочной деятельности, а именно через соответствующие критерии оценки, связанные с долей закупок малого объема, проведенных через электронные торговые системы.</w:t>
      </w:r>
    </w:p>
    <w:p w14:paraId="1E6FF9A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Через электронные магазины заказчиками было объявлено </w:t>
      </w:r>
      <w:r w:rsidRPr="00250BEC">
        <w:rPr>
          <w:rFonts w:ascii="PT Astra Serif" w:eastAsia="Calibri" w:hAnsi="PT Astra Serif" w:cs="Times New Roman"/>
          <w:bCs/>
          <w:szCs w:val="28"/>
        </w:rPr>
        <w:t>10 724 закупки на общую сумму 1,49 млрд рублей, при этом 70% из них привели</w:t>
      </w:r>
      <w:r w:rsidRPr="00250BEC">
        <w:rPr>
          <w:rFonts w:ascii="PT Astra Serif" w:eastAsia="Calibri" w:hAnsi="PT Astra Serif" w:cs="Times New Roman"/>
          <w:szCs w:val="28"/>
        </w:rPr>
        <w:t xml:space="preserve"> к заключению контрактов (их результативность по сравнению с 2024 годом выросла на 3,8%). Экономия по итогам их проведения составила 173,78</w:t>
      </w:r>
      <w:r w:rsidRPr="00250BEC">
        <w:rPr>
          <w:rFonts w:ascii="PT Astra Serif" w:eastAsia="Calibri" w:hAnsi="PT Astra Serif" w:cs="Times New Roman"/>
          <w:b/>
          <w:szCs w:val="28"/>
        </w:rPr>
        <w:t xml:space="preserve"> </w:t>
      </w:r>
      <w:r w:rsidRPr="00250BEC">
        <w:rPr>
          <w:rFonts w:ascii="PT Astra Serif" w:eastAsia="Calibri" w:hAnsi="PT Astra Serif" w:cs="Times New Roman"/>
          <w:bCs/>
          <w:szCs w:val="28"/>
        </w:rPr>
        <w:t xml:space="preserve">млн </w:t>
      </w:r>
      <w:r w:rsidRPr="00250BEC">
        <w:rPr>
          <w:rFonts w:ascii="PT Astra Serif" w:eastAsia="Calibri" w:hAnsi="PT Astra Serif" w:cs="Times New Roman"/>
          <w:szCs w:val="28"/>
        </w:rPr>
        <w:t>рублей, что превышает показатели 2024 года в 2,3 раза.</w:t>
      </w:r>
    </w:p>
    <w:p w14:paraId="48C8338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Сравнительный анализ 2024-2025 гг. осуществления </w:t>
      </w:r>
      <w:proofErr w:type="spellStart"/>
      <w:r w:rsidRPr="00250BEC">
        <w:rPr>
          <w:rFonts w:ascii="PT Astra Serif" w:eastAsia="Calibri" w:hAnsi="PT Astra Serif" w:cs="Times New Roman"/>
          <w:szCs w:val="28"/>
        </w:rPr>
        <w:t>госзакупок</w:t>
      </w:r>
      <w:proofErr w:type="spellEnd"/>
      <w:r w:rsidRPr="00250BEC">
        <w:rPr>
          <w:rFonts w:ascii="PT Astra Serif" w:eastAsia="Calibri" w:hAnsi="PT Astra Serif" w:cs="Times New Roman"/>
          <w:szCs w:val="28"/>
        </w:rPr>
        <w:t xml:space="preserve"> через электронные магазины представлен в таблице.</w:t>
      </w:r>
    </w:p>
    <w:p w14:paraId="436DE264" w14:textId="77777777" w:rsidR="00250BEC" w:rsidRPr="00B43C8A" w:rsidRDefault="00250BEC" w:rsidP="00250BEC">
      <w:pPr>
        <w:widowControl w:val="0"/>
        <w:ind w:firstLine="0"/>
        <w:rPr>
          <w:rFonts w:ascii="PT Astra Serif" w:eastAsia="Calibri" w:hAnsi="PT Astra Serif"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9"/>
        <w:gridCol w:w="1936"/>
        <w:gridCol w:w="1659"/>
      </w:tblGrid>
      <w:tr w:rsidR="00250BEC" w:rsidRPr="00250BEC" w14:paraId="4100266E" w14:textId="77777777" w:rsidTr="00250BEC">
        <w:trPr>
          <w:trHeight w:val="401"/>
          <w:jc w:val="center"/>
        </w:trPr>
        <w:tc>
          <w:tcPr>
            <w:tcW w:w="5949" w:type="dxa"/>
            <w:shd w:val="clear" w:color="auto" w:fill="auto"/>
            <w:vAlign w:val="center"/>
          </w:tcPr>
          <w:p w14:paraId="6992E513" w14:textId="77777777" w:rsidR="00250BEC" w:rsidRPr="00250BEC" w:rsidRDefault="00250BEC" w:rsidP="00250BEC">
            <w:pPr>
              <w:widowControl w:val="0"/>
              <w:ind w:firstLine="0"/>
              <w:jc w:val="center"/>
              <w:rPr>
                <w:rFonts w:ascii="PT Astra Serif" w:eastAsia="Calibri" w:hAnsi="PT Astra Serif" w:cs="Times New Roman"/>
                <w:b/>
                <w:bCs/>
                <w:sz w:val="20"/>
                <w:szCs w:val="20"/>
              </w:rPr>
            </w:pPr>
            <w:r w:rsidRPr="00250BEC">
              <w:rPr>
                <w:rFonts w:ascii="PT Astra Serif" w:eastAsia="Calibri" w:hAnsi="PT Astra Serif" w:cs="Times New Roman"/>
                <w:b/>
                <w:bCs/>
                <w:sz w:val="20"/>
                <w:szCs w:val="20"/>
              </w:rPr>
              <w:t>Показатели</w:t>
            </w:r>
          </w:p>
        </w:tc>
        <w:tc>
          <w:tcPr>
            <w:tcW w:w="1984" w:type="dxa"/>
            <w:shd w:val="clear" w:color="auto" w:fill="auto"/>
            <w:vAlign w:val="center"/>
          </w:tcPr>
          <w:p w14:paraId="436B066F" w14:textId="77777777" w:rsidR="00250BEC" w:rsidRPr="00250BEC" w:rsidRDefault="00250BEC" w:rsidP="00250BEC">
            <w:pPr>
              <w:widowControl w:val="0"/>
              <w:ind w:firstLine="0"/>
              <w:jc w:val="center"/>
              <w:rPr>
                <w:rFonts w:ascii="PT Astra Serif" w:eastAsia="Calibri" w:hAnsi="PT Astra Serif" w:cs="Times New Roman"/>
                <w:b/>
                <w:bCs/>
                <w:sz w:val="20"/>
                <w:szCs w:val="20"/>
              </w:rPr>
            </w:pPr>
            <w:r w:rsidRPr="00250BEC">
              <w:rPr>
                <w:rFonts w:ascii="PT Astra Serif" w:eastAsia="Calibri" w:hAnsi="PT Astra Serif" w:cs="Times New Roman"/>
                <w:b/>
                <w:bCs/>
                <w:sz w:val="20"/>
                <w:szCs w:val="20"/>
              </w:rPr>
              <w:t>2025 г .</w:t>
            </w:r>
          </w:p>
        </w:tc>
        <w:tc>
          <w:tcPr>
            <w:tcW w:w="1695" w:type="dxa"/>
            <w:shd w:val="clear" w:color="auto" w:fill="auto"/>
            <w:vAlign w:val="center"/>
          </w:tcPr>
          <w:p w14:paraId="7BE2A5D0" w14:textId="77777777" w:rsidR="00250BEC" w:rsidRPr="00250BEC" w:rsidRDefault="00250BEC" w:rsidP="00250BEC">
            <w:pPr>
              <w:widowControl w:val="0"/>
              <w:ind w:firstLine="0"/>
              <w:jc w:val="center"/>
              <w:rPr>
                <w:rFonts w:ascii="PT Astra Serif" w:eastAsia="Calibri" w:hAnsi="PT Astra Serif" w:cs="Times New Roman"/>
                <w:b/>
                <w:bCs/>
                <w:sz w:val="20"/>
                <w:szCs w:val="20"/>
              </w:rPr>
            </w:pPr>
            <w:r w:rsidRPr="00250BEC">
              <w:rPr>
                <w:rFonts w:ascii="PT Astra Serif" w:eastAsia="Calibri" w:hAnsi="PT Astra Serif" w:cs="Times New Roman"/>
                <w:b/>
                <w:bCs/>
                <w:sz w:val="20"/>
                <w:szCs w:val="20"/>
              </w:rPr>
              <w:t>2024 г.</w:t>
            </w:r>
          </w:p>
        </w:tc>
      </w:tr>
      <w:tr w:rsidR="00250BEC" w:rsidRPr="00250BEC" w14:paraId="6E8B2D50" w14:textId="77777777" w:rsidTr="00250BEC">
        <w:trPr>
          <w:jc w:val="center"/>
        </w:trPr>
        <w:tc>
          <w:tcPr>
            <w:tcW w:w="5949" w:type="dxa"/>
            <w:shd w:val="clear" w:color="auto" w:fill="auto"/>
            <w:vAlign w:val="center"/>
          </w:tcPr>
          <w:p w14:paraId="3DCF2C31"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Объявлено закупок, млн рублей</w:t>
            </w:r>
          </w:p>
        </w:tc>
        <w:tc>
          <w:tcPr>
            <w:tcW w:w="1984" w:type="dxa"/>
            <w:shd w:val="clear" w:color="auto" w:fill="auto"/>
            <w:vAlign w:val="center"/>
          </w:tcPr>
          <w:p w14:paraId="4FDF32A9"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Calibri" w:hAnsi="PT Astra Serif" w:cs="Times New Roman"/>
                <w:sz w:val="20"/>
                <w:szCs w:val="20"/>
              </w:rPr>
              <w:t>1485,65</w:t>
            </w:r>
          </w:p>
        </w:tc>
        <w:tc>
          <w:tcPr>
            <w:tcW w:w="1695" w:type="dxa"/>
            <w:shd w:val="clear" w:color="auto" w:fill="auto"/>
            <w:vAlign w:val="center"/>
          </w:tcPr>
          <w:p w14:paraId="40A75596"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Times New Roman" w:hAnsi="PT Astra Serif" w:cs="Times New Roman"/>
                <w:color w:val="000000"/>
                <w:sz w:val="20"/>
                <w:szCs w:val="20"/>
                <w:lang w:eastAsia="ru-RU"/>
              </w:rPr>
              <w:t>1454,55</w:t>
            </w:r>
          </w:p>
        </w:tc>
      </w:tr>
      <w:tr w:rsidR="00250BEC" w:rsidRPr="00250BEC" w14:paraId="17CA9BE2" w14:textId="77777777" w:rsidTr="00250BEC">
        <w:trPr>
          <w:jc w:val="center"/>
        </w:trPr>
        <w:tc>
          <w:tcPr>
            <w:tcW w:w="5949" w:type="dxa"/>
            <w:shd w:val="clear" w:color="auto" w:fill="auto"/>
            <w:vAlign w:val="center"/>
          </w:tcPr>
          <w:p w14:paraId="6C563D63"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Количество объявленных закупок, шт.</w:t>
            </w:r>
          </w:p>
          <w:p w14:paraId="437DEB63"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из них состоялось</w:t>
            </w:r>
          </w:p>
        </w:tc>
        <w:tc>
          <w:tcPr>
            <w:tcW w:w="1984" w:type="dxa"/>
            <w:shd w:val="clear" w:color="auto" w:fill="auto"/>
            <w:vAlign w:val="center"/>
          </w:tcPr>
          <w:p w14:paraId="50BC0882"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Calibri" w:hAnsi="PT Astra Serif" w:cs="Times New Roman"/>
                <w:sz w:val="20"/>
                <w:szCs w:val="20"/>
              </w:rPr>
              <w:t>10724</w:t>
            </w:r>
          </w:p>
          <w:p w14:paraId="589F515F"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Calibri" w:hAnsi="PT Astra Serif" w:cs="Times New Roman"/>
                <w:sz w:val="20"/>
                <w:szCs w:val="20"/>
              </w:rPr>
              <w:t>7545</w:t>
            </w:r>
          </w:p>
        </w:tc>
        <w:tc>
          <w:tcPr>
            <w:tcW w:w="1695" w:type="dxa"/>
            <w:shd w:val="clear" w:color="auto" w:fill="auto"/>
            <w:vAlign w:val="center"/>
          </w:tcPr>
          <w:p w14:paraId="730183CC" w14:textId="77777777" w:rsidR="00250BEC" w:rsidRPr="00250BEC" w:rsidRDefault="00250BEC" w:rsidP="00250BEC">
            <w:pPr>
              <w:widowControl w:val="0"/>
              <w:ind w:firstLine="0"/>
              <w:jc w:val="center"/>
              <w:rPr>
                <w:rFonts w:ascii="PT Astra Serif" w:eastAsia="Times New Roman" w:hAnsi="PT Astra Serif" w:cs="Times New Roman"/>
                <w:color w:val="000000"/>
                <w:sz w:val="20"/>
                <w:szCs w:val="20"/>
                <w:lang w:eastAsia="ru-RU"/>
              </w:rPr>
            </w:pPr>
            <w:r w:rsidRPr="00250BEC">
              <w:rPr>
                <w:rFonts w:ascii="PT Astra Serif" w:eastAsia="Times New Roman" w:hAnsi="PT Astra Serif" w:cs="Times New Roman"/>
                <w:color w:val="000000"/>
                <w:sz w:val="20"/>
                <w:szCs w:val="20"/>
                <w:lang w:eastAsia="ru-RU"/>
              </w:rPr>
              <w:t>11764</w:t>
            </w:r>
          </w:p>
          <w:p w14:paraId="1C2A2498"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Times New Roman" w:hAnsi="PT Astra Serif" w:cs="Times New Roman"/>
                <w:color w:val="000000"/>
                <w:sz w:val="20"/>
                <w:szCs w:val="20"/>
                <w:lang w:eastAsia="ru-RU"/>
              </w:rPr>
              <w:t>7834</w:t>
            </w:r>
          </w:p>
        </w:tc>
      </w:tr>
      <w:tr w:rsidR="00250BEC" w:rsidRPr="00250BEC" w14:paraId="79F07CF5" w14:textId="77777777" w:rsidTr="00250BEC">
        <w:trPr>
          <w:jc w:val="center"/>
        </w:trPr>
        <w:tc>
          <w:tcPr>
            <w:tcW w:w="5949" w:type="dxa"/>
            <w:shd w:val="clear" w:color="auto" w:fill="auto"/>
            <w:vAlign w:val="center"/>
          </w:tcPr>
          <w:p w14:paraId="52CAFD93"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Заключено контрактов на сумму, млн рублей</w:t>
            </w:r>
          </w:p>
        </w:tc>
        <w:tc>
          <w:tcPr>
            <w:tcW w:w="1984" w:type="dxa"/>
            <w:shd w:val="clear" w:color="auto" w:fill="auto"/>
            <w:vAlign w:val="center"/>
          </w:tcPr>
          <w:p w14:paraId="506ECD63"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Calibri" w:hAnsi="PT Astra Serif" w:cs="Times New Roman"/>
                <w:sz w:val="20"/>
                <w:szCs w:val="20"/>
              </w:rPr>
              <w:t>820,73</w:t>
            </w:r>
          </w:p>
        </w:tc>
        <w:tc>
          <w:tcPr>
            <w:tcW w:w="1695" w:type="dxa"/>
            <w:shd w:val="clear" w:color="auto" w:fill="auto"/>
            <w:vAlign w:val="center"/>
          </w:tcPr>
          <w:p w14:paraId="45CA38C3"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Times New Roman" w:hAnsi="PT Astra Serif" w:cs="Times New Roman"/>
                <w:color w:val="000000"/>
                <w:sz w:val="20"/>
                <w:szCs w:val="20"/>
                <w:lang w:eastAsia="ru-RU"/>
              </w:rPr>
              <w:t>806,44</w:t>
            </w:r>
          </w:p>
        </w:tc>
      </w:tr>
      <w:tr w:rsidR="00250BEC" w:rsidRPr="00250BEC" w14:paraId="13218292" w14:textId="77777777" w:rsidTr="00250BEC">
        <w:trPr>
          <w:jc w:val="center"/>
        </w:trPr>
        <w:tc>
          <w:tcPr>
            <w:tcW w:w="5949" w:type="dxa"/>
            <w:shd w:val="clear" w:color="auto" w:fill="auto"/>
            <w:vAlign w:val="center"/>
          </w:tcPr>
          <w:p w14:paraId="19F6C754"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Экономия по итогам процедур, млн рублей</w:t>
            </w:r>
          </w:p>
        </w:tc>
        <w:tc>
          <w:tcPr>
            <w:tcW w:w="1984" w:type="dxa"/>
            <w:shd w:val="clear" w:color="auto" w:fill="auto"/>
            <w:vAlign w:val="center"/>
          </w:tcPr>
          <w:p w14:paraId="2B49B2F7"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Calibri" w:hAnsi="PT Astra Serif" w:cs="Times New Roman"/>
                <w:sz w:val="20"/>
                <w:szCs w:val="20"/>
              </w:rPr>
              <w:t>173,78</w:t>
            </w:r>
          </w:p>
        </w:tc>
        <w:tc>
          <w:tcPr>
            <w:tcW w:w="1695" w:type="dxa"/>
            <w:shd w:val="clear" w:color="auto" w:fill="auto"/>
            <w:vAlign w:val="center"/>
          </w:tcPr>
          <w:p w14:paraId="45637237" w14:textId="77777777" w:rsidR="00250BEC" w:rsidRPr="00250BEC" w:rsidRDefault="00250BEC" w:rsidP="00250BEC">
            <w:pPr>
              <w:widowControl w:val="0"/>
              <w:ind w:firstLine="0"/>
              <w:jc w:val="center"/>
              <w:rPr>
                <w:rFonts w:ascii="PT Astra Serif" w:eastAsia="Calibri" w:hAnsi="PT Astra Serif" w:cs="Times New Roman"/>
                <w:sz w:val="20"/>
                <w:szCs w:val="20"/>
              </w:rPr>
            </w:pPr>
            <w:r w:rsidRPr="00250BEC">
              <w:rPr>
                <w:rFonts w:ascii="PT Astra Serif" w:eastAsia="Times New Roman" w:hAnsi="PT Astra Serif" w:cs="Times New Roman"/>
                <w:color w:val="000000"/>
                <w:sz w:val="20"/>
                <w:szCs w:val="20"/>
                <w:lang w:eastAsia="ru-RU"/>
              </w:rPr>
              <w:t>76,46</w:t>
            </w:r>
          </w:p>
        </w:tc>
      </w:tr>
    </w:tbl>
    <w:p w14:paraId="079AE5AC" w14:textId="77777777" w:rsidR="00250BEC" w:rsidRPr="00B43C8A" w:rsidRDefault="00250BEC" w:rsidP="00250BEC">
      <w:pPr>
        <w:widowControl w:val="0"/>
        <w:rPr>
          <w:rFonts w:ascii="PT Astra Serif" w:eastAsia="Calibri" w:hAnsi="PT Astra Serif" w:cs="Times New Roman"/>
          <w:sz w:val="20"/>
          <w:szCs w:val="20"/>
        </w:rPr>
      </w:pPr>
    </w:p>
    <w:p w14:paraId="5C69A7A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2025 году заказчиками использовалось 7 электронных магазинов. На первом месте по популярности среди заказчиков - ЕАТ.РФ (77%), второе место занимает </w:t>
      </w:r>
      <w:proofErr w:type="spellStart"/>
      <w:r w:rsidRPr="00250BEC">
        <w:rPr>
          <w:rFonts w:ascii="PT Astra Serif" w:eastAsia="Calibri" w:hAnsi="PT Astra Serif" w:cs="Times New Roman"/>
          <w:szCs w:val="28"/>
          <w:lang w:val="en-US"/>
        </w:rPr>
        <w:t>SberB</w:t>
      </w:r>
      <w:proofErr w:type="spellEnd"/>
      <w:r w:rsidRPr="00250BEC">
        <w:rPr>
          <w:rFonts w:ascii="PT Astra Serif" w:eastAsia="Calibri" w:hAnsi="PT Astra Serif" w:cs="Times New Roman"/>
          <w:szCs w:val="28"/>
        </w:rPr>
        <w:t>2</w:t>
      </w:r>
      <w:r w:rsidRPr="00250BEC">
        <w:rPr>
          <w:rFonts w:ascii="PT Astra Serif" w:eastAsia="Calibri" w:hAnsi="PT Astra Serif" w:cs="Times New Roman"/>
          <w:szCs w:val="28"/>
          <w:lang w:val="en-US"/>
        </w:rPr>
        <w:t>B</w:t>
      </w:r>
      <w:r w:rsidRPr="00250BEC">
        <w:rPr>
          <w:rFonts w:ascii="PT Astra Serif" w:eastAsia="Calibri" w:hAnsi="PT Astra Serif" w:cs="Times New Roman"/>
          <w:szCs w:val="28"/>
        </w:rPr>
        <w:t xml:space="preserve"> (13%), на третьем месте - ОТС-</w:t>
      </w:r>
      <w:proofErr w:type="spellStart"/>
      <w:r w:rsidRPr="00250BEC">
        <w:rPr>
          <w:rFonts w:ascii="PT Astra Serif" w:eastAsia="Calibri" w:hAnsi="PT Astra Serif" w:cs="Times New Roman"/>
          <w:szCs w:val="28"/>
        </w:rPr>
        <w:t>Маркет</w:t>
      </w:r>
      <w:proofErr w:type="spellEnd"/>
      <w:r w:rsidRPr="00250BEC">
        <w:rPr>
          <w:rFonts w:ascii="PT Astra Serif" w:eastAsia="Calibri" w:hAnsi="PT Astra Serif" w:cs="Times New Roman"/>
          <w:szCs w:val="28"/>
        </w:rPr>
        <w:t xml:space="preserve"> (8%), остальные 4 площадки (ЭТП ГПБ, РТС-Тендер, Фабрикант, </w:t>
      </w:r>
      <w:proofErr w:type="spellStart"/>
      <w:r w:rsidRPr="00250BEC">
        <w:rPr>
          <w:rFonts w:ascii="PT Astra Serif" w:eastAsia="Calibri" w:hAnsi="PT Astra Serif" w:cs="Times New Roman"/>
          <w:szCs w:val="28"/>
        </w:rPr>
        <w:t>Заказ.РФ</w:t>
      </w:r>
      <w:proofErr w:type="spellEnd"/>
      <w:r w:rsidRPr="00250BEC">
        <w:rPr>
          <w:rFonts w:ascii="PT Astra Serif" w:eastAsia="Calibri" w:hAnsi="PT Astra Serif" w:cs="Times New Roman"/>
          <w:szCs w:val="28"/>
        </w:rPr>
        <w:t xml:space="preserve">) – менее 1%. </w:t>
      </w:r>
    </w:p>
    <w:p w14:paraId="5C51F6B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Создание цифровой платформы малых закупок является одной из приоритетных задач на федеральном уровне. Для этого ранее уже принят целый пакет документов (Концепция совершенствования закупок малого объема, Дорожная карта, методические рекомендации и пр.).</w:t>
      </w:r>
    </w:p>
    <w:p w14:paraId="4F7332D5"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 2025 году Правительством РФ принято решение о проведении эксперимента по ведению единого каталога конкретных товаров (распоряжение Правительства РФ от 29.09.2025 № 2710-р).</w:t>
      </w:r>
    </w:p>
    <w:p w14:paraId="1171F97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Ключевыми целями эксперимента является: упрощение и унификация малых закупок, поддержка российских производителей, отработка формирования и ведения единого каталога, отработка взаимодействия информационных систем (ГИСП, ЕИС, Единый </w:t>
      </w:r>
      <w:proofErr w:type="spellStart"/>
      <w:r w:rsidRPr="00250BEC">
        <w:rPr>
          <w:rFonts w:ascii="PT Astra Serif" w:eastAsia="Calibri" w:hAnsi="PT Astra Serif" w:cs="Times New Roman"/>
          <w:szCs w:val="28"/>
        </w:rPr>
        <w:t>агрегатор</w:t>
      </w:r>
      <w:proofErr w:type="spellEnd"/>
      <w:r w:rsidRPr="00250BEC">
        <w:rPr>
          <w:rFonts w:ascii="PT Astra Serif" w:eastAsia="Calibri" w:hAnsi="PT Astra Serif" w:cs="Times New Roman"/>
          <w:szCs w:val="28"/>
        </w:rPr>
        <w:t xml:space="preserve"> торговли). Утвержден перечень товаров для эксперимента: бумага, компьютерная техника, картриджи, МФУ, мебель, питьевая вода и пр.</w:t>
      </w:r>
    </w:p>
    <w:p w14:paraId="5C7CD74C" w14:textId="77777777" w:rsidR="00250BEC" w:rsidRPr="00250BEC" w:rsidRDefault="00250BEC" w:rsidP="00250BEC">
      <w:pPr>
        <w:widowControl w:val="0"/>
        <w:rPr>
          <w:rFonts w:ascii="PT Astra Serif" w:eastAsia="Calibri" w:hAnsi="PT Astra Serif" w:cs="Times New Roman"/>
          <w:spacing w:val="-20"/>
          <w:szCs w:val="28"/>
        </w:rPr>
      </w:pPr>
      <w:r w:rsidRPr="00250BEC">
        <w:rPr>
          <w:rFonts w:ascii="PT Astra Serif" w:eastAsia="Calibri" w:hAnsi="PT Astra Serif" w:cs="Times New Roman"/>
          <w:szCs w:val="28"/>
        </w:rPr>
        <w:t xml:space="preserve">В эксперименте участвуют: </w:t>
      </w:r>
      <w:proofErr w:type="spellStart"/>
      <w:r w:rsidRPr="00250BEC">
        <w:rPr>
          <w:rFonts w:ascii="PT Astra Serif" w:eastAsia="Calibri" w:hAnsi="PT Astra Serif" w:cs="Times New Roman"/>
          <w:szCs w:val="28"/>
        </w:rPr>
        <w:t>Минпромторг</w:t>
      </w:r>
      <w:proofErr w:type="spellEnd"/>
      <w:r w:rsidRPr="00250BEC">
        <w:rPr>
          <w:rFonts w:ascii="PT Astra Serif" w:eastAsia="Calibri" w:hAnsi="PT Astra Serif" w:cs="Times New Roman"/>
          <w:szCs w:val="28"/>
        </w:rPr>
        <w:t xml:space="preserve"> РФ, Минфин РФ, Федеральное казначейство, </w:t>
      </w:r>
      <w:proofErr w:type="spellStart"/>
      <w:r w:rsidRPr="00250BEC">
        <w:rPr>
          <w:rFonts w:ascii="PT Astra Serif" w:eastAsia="Calibri" w:hAnsi="PT Astra Serif" w:cs="Times New Roman"/>
          <w:szCs w:val="28"/>
        </w:rPr>
        <w:t>Росстандарт</w:t>
      </w:r>
      <w:proofErr w:type="spellEnd"/>
      <w:r w:rsidRPr="00250BEC">
        <w:rPr>
          <w:rFonts w:ascii="PT Astra Serif" w:eastAsia="Calibri" w:hAnsi="PT Astra Serif" w:cs="Times New Roman"/>
          <w:szCs w:val="28"/>
        </w:rPr>
        <w:t xml:space="preserve"> и АО «Единый каталог товаров, работ и услуг» (оператор каталога).</w:t>
      </w:r>
      <w:r w:rsidRPr="00250BEC">
        <w:rPr>
          <w:rFonts w:eastAsia="Times New Roman" w:cs="Times New Roman"/>
          <w:sz w:val="24"/>
          <w:szCs w:val="24"/>
          <w:lang w:eastAsia="ru-RU"/>
        </w:rPr>
        <w:t xml:space="preserve"> </w:t>
      </w:r>
      <w:r w:rsidRPr="00250BEC">
        <w:rPr>
          <w:rFonts w:ascii="PT Astra Serif" w:eastAsia="Calibri" w:hAnsi="PT Astra Serif" w:cs="Times New Roman"/>
          <w:szCs w:val="28"/>
        </w:rPr>
        <w:t xml:space="preserve">На добровольной основе могут присоединиться операторы электронных площадок, поставщики, производители и </w:t>
      </w:r>
      <w:r w:rsidRPr="00250BEC">
        <w:rPr>
          <w:rFonts w:ascii="PT Astra Serif" w:eastAsia="Calibri" w:hAnsi="PT Astra Serif" w:cs="Times New Roman"/>
          <w:spacing w:val="-20"/>
          <w:szCs w:val="28"/>
        </w:rPr>
        <w:t>субъекты РФ.</w:t>
      </w:r>
    </w:p>
    <w:p w14:paraId="3C5C62D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Ульяновская область участвует в данном эксперименте, это решение </w:t>
      </w:r>
      <w:r w:rsidRPr="00250BEC">
        <w:rPr>
          <w:rFonts w:ascii="PT Astra Serif" w:eastAsia="Times New Roman" w:hAnsi="PT Astra Serif" w:cs="Times New Roman"/>
          <w:szCs w:val="28"/>
          <w:lang w:eastAsia="ru-RU"/>
        </w:rPr>
        <w:lastRenderedPageBreak/>
        <w:t xml:space="preserve">закреплено распоряжением Правительства Ульяновской области от 27.11.2025 № 578-пр), которым утвержден и перечень из 23 заказчиков, входящих </w:t>
      </w:r>
      <w:r w:rsidRPr="00250BEC">
        <w:rPr>
          <w:rFonts w:ascii="PT Astra Serif" w:eastAsia="Times New Roman" w:hAnsi="PT Astra Serif" w:cs="Times New Roman"/>
          <w:szCs w:val="28"/>
          <w:lang w:eastAsia="ru-RU"/>
        </w:rPr>
        <w:br/>
        <w:t xml:space="preserve">в пилотную группу. </w:t>
      </w:r>
    </w:p>
    <w:p w14:paraId="3F49937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На Агентство возложена координация участия пилотных заказчиков </w:t>
      </w:r>
      <w:r w:rsidRPr="00250BEC">
        <w:rPr>
          <w:rFonts w:ascii="PT Astra Serif" w:eastAsia="Times New Roman" w:hAnsi="PT Astra Serif" w:cs="Times New Roman"/>
          <w:szCs w:val="28"/>
          <w:lang w:eastAsia="ru-RU"/>
        </w:rPr>
        <w:br/>
        <w:t xml:space="preserve">в эксперименте, полученный опыт в дальнейшем будет использован при осуществлении методического обеспечения всех остальных заказчиков области. </w:t>
      </w:r>
    </w:p>
    <w:p w14:paraId="04AB64F9"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szCs w:val="28"/>
          <w:lang w:eastAsia="ru-RU"/>
        </w:rPr>
      </w:pPr>
    </w:p>
    <w:p w14:paraId="3E4D5A08"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t>Автоматизация и унификация закупочного процесса</w:t>
      </w:r>
    </w:p>
    <w:p w14:paraId="3883B9E0" w14:textId="77777777" w:rsidR="00250BEC" w:rsidRPr="00250BEC" w:rsidRDefault="00250BEC" w:rsidP="00250BEC">
      <w:pPr>
        <w:widowControl w:val="0"/>
        <w:autoSpaceDE w:val="0"/>
        <w:autoSpaceDN w:val="0"/>
        <w:adjustRightInd w:val="0"/>
        <w:ind w:firstLine="0"/>
        <w:jc w:val="center"/>
        <w:rPr>
          <w:rFonts w:ascii="PT Astra Serif" w:hAnsi="PT Astra Serif" w:cs="Mangal"/>
          <w:b/>
          <w:kern w:val="2"/>
          <w:szCs w:val="28"/>
          <w:u w:val="single"/>
          <w:lang w:eastAsia="hi-IN" w:bidi="hi-IN"/>
        </w:rPr>
      </w:pPr>
    </w:p>
    <w:p w14:paraId="307E9F77" w14:textId="77777777" w:rsidR="00250BEC" w:rsidRPr="00250BEC" w:rsidRDefault="00250BEC" w:rsidP="00250BEC">
      <w:pPr>
        <w:widowControl w:val="0"/>
        <w:rPr>
          <w:rFonts w:ascii="PT Astra Serif" w:hAnsi="PT Astra Serif" w:cs="Mangal"/>
          <w:kern w:val="2"/>
          <w:szCs w:val="28"/>
          <w:lang w:eastAsia="hi-IN" w:bidi="hi-IN"/>
        </w:rPr>
      </w:pPr>
      <w:bookmarkStart w:id="46" w:name="_Hlk190439309"/>
      <w:r w:rsidRPr="00250BEC">
        <w:rPr>
          <w:rFonts w:ascii="PT Astra Serif" w:eastAsia="Times New Roman" w:hAnsi="PT Astra Serif" w:cs="Times New Roman"/>
          <w:szCs w:val="28"/>
          <w:lang w:eastAsia="ru-RU"/>
        </w:rPr>
        <w:t>В 2025 году продолжена а</w:t>
      </w:r>
      <w:r w:rsidRPr="00250BEC">
        <w:rPr>
          <w:rFonts w:ascii="PT Astra Serif" w:hAnsi="PT Astra Serif" w:cs="Mangal"/>
          <w:kern w:val="2"/>
          <w:szCs w:val="28"/>
          <w:lang w:eastAsia="hi-IN" w:bidi="hi-IN"/>
        </w:rPr>
        <w:t xml:space="preserve">втоматизация и унификация закупочного процесса, в том числе через модернизацию ГИС «АЦК-Госзаказ». </w:t>
      </w:r>
    </w:p>
    <w:p w14:paraId="04B870F3" w14:textId="77777777" w:rsidR="00250BEC" w:rsidRPr="00250BEC" w:rsidRDefault="00250BEC" w:rsidP="00250BEC">
      <w:pPr>
        <w:widowControl w:val="0"/>
        <w:rPr>
          <w:rFonts w:ascii="PT Astra Serif" w:hAnsi="PT Astra Serif" w:cs="Mangal"/>
          <w:kern w:val="2"/>
          <w:szCs w:val="28"/>
          <w:lang w:eastAsia="hi-IN" w:bidi="hi-IN"/>
        </w:rPr>
      </w:pPr>
      <w:r w:rsidRPr="00250BEC">
        <w:rPr>
          <w:rFonts w:ascii="PT Astra Serif" w:hAnsi="PT Astra Serif" w:cs="Mangal"/>
          <w:kern w:val="2"/>
          <w:szCs w:val="28"/>
          <w:lang w:eastAsia="hi-IN" w:bidi="hi-IN"/>
        </w:rPr>
        <w:t>За 2025 год были проведены следующие работы:</w:t>
      </w:r>
    </w:p>
    <w:p w14:paraId="32D1D027" w14:textId="77777777" w:rsidR="00250BEC" w:rsidRPr="00250BEC" w:rsidRDefault="00250BEC" w:rsidP="00250BEC">
      <w:pPr>
        <w:widowControl w:val="0"/>
        <w:contextualSpacing/>
        <w:rPr>
          <w:rFonts w:ascii="PT Astra Serif" w:hAnsi="PT Astra Serif" w:cs="Mangal"/>
          <w:kern w:val="2"/>
          <w:szCs w:val="28"/>
          <w:lang w:eastAsia="hi-IN" w:bidi="hi-IN"/>
        </w:rPr>
      </w:pPr>
      <w:r w:rsidRPr="00250BEC">
        <w:rPr>
          <w:rFonts w:ascii="PT Astra Serif" w:hAnsi="PT Astra Serif" w:cs="Mangal"/>
          <w:kern w:val="2"/>
          <w:szCs w:val="28"/>
          <w:lang w:eastAsia="hi-IN" w:bidi="hi-IN"/>
        </w:rPr>
        <w:t>1) 33 обновления системы ГИС «АЦК-Госзаказ»;</w:t>
      </w:r>
    </w:p>
    <w:p w14:paraId="362B32A6" w14:textId="77777777" w:rsidR="00250BEC" w:rsidRPr="00250BEC" w:rsidRDefault="00250BEC" w:rsidP="00250BEC">
      <w:pPr>
        <w:widowControl w:val="0"/>
        <w:contextualSpacing/>
        <w:rPr>
          <w:rFonts w:ascii="PT Astra Serif" w:hAnsi="PT Astra Serif" w:cs="Mangal"/>
          <w:kern w:val="2"/>
          <w:szCs w:val="28"/>
          <w:lang w:eastAsia="hi-IN" w:bidi="hi-IN"/>
        </w:rPr>
      </w:pPr>
      <w:r w:rsidRPr="00250BEC">
        <w:rPr>
          <w:rFonts w:ascii="PT Astra Serif" w:hAnsi="PT Astra Serif" w:cs="Mangal"/>
          <w:kern w:val="2"/>
          <w:szCs w:val="28"/>
          <w:lang w:eastAsia="hi-IN" w:bidi="hi-IN"/>
        </w:rPr>
        <w:t>2) доработка ГИС «АЦК-Госзаказ» в части использования структурированного контракта;</w:t>
      </w:r>
    </w:p>
    <w:p w14:paraId="3242D2E9" w14:textId="77777777" w:rsidR="00250BEC" w:rsidRPr="00250BEC" w:rsidRDefault="00250BEC" w:rsidP="00250BEC">
      <w:pPr>
        <w:widowControl w:val="0"/>
        <w:contextualSpacing/>
        <w:rPr>
          <w:rFonts w:ascii="PT Astra Serif" w:hAnsi="PT Astra Serif" w:cs="Mangal"/>
          <w:kern w:val="2"/>
          <w:szCs w:val="28"/>
          <w:lang w:eastAsia="hi-IN" w:bidi="hi-IN"/>
        </w:rPr>
      </w:pPr>
      <w:r w:rsidRPr="00250BEC">
        <w:rPr>
          <w:rFonts w:ascii="PT Astra Serif" w:hAnsi="PT Astra Serif" w:cs="Mangal"/>
          <w:kern w:val="2"/>
          <w:szCs w:val="28"/>
          <w:lang w:eastAsia="hi-IN" w:bidi="hi-IN"/>
        </w:rPr>
        <w:t>3) мероприятия по поддержке в актуальном состоянии и развитии модуля конструктора шаблонов контрактов в ГИС «АЦК-Госзаказ».</w:t>
      </w:r>
      <w:r w:rsidRPr="00250BEC">
        <w:rPr>
          <w:rFonts w:eastAsia="Times New Roman" w:cs="Times New Roman"/>
          <w:sz w:val="24"/>
          <w:szCs w:val="24"/>
          <w:lang w:eastAsia="ru-RU"/>
        </w:rPr>
        <w:t xml:space="preserve"> </w:t>
      </w:r>
      <w:r w:rsidRPr="00250BEC">
        <w:rPr>
          <w:rFonts w:ascii="PT Astra Serif" w:hAnsi="PT Astra Serif" w:cs="Mangal"/>
          <w:kern w:val="2"/>
          <w:szCs w:val="28"/>
          <w:lang w:eastAsia="hi-IN" w:bidi="hi-IN"/>
        </w:rPr>
        <w:t>Конструктор контрактов, который за счёт типовых форм позволяет унифицировать подготовку контрактов, минимизировать ошибки и разночтения при их составлении, сократить временные и трудовые затраты.</w:t>
      </w:r>
    </w:p>
    <w:p w14:paraId="48A20EDC" w14:textId="77777777" w:rsidR="00250BEC" w:rsidRPr="00250BEC" w:rsidRDefault="00250BEC" w:rsidP="00250BEC">
      <w:pPr>
        <w:widowControl w:val="0"/>
        <w:rPr>
          <w:rFonts w:ascii="PT Astra Serif" w:hAnsi="PT Astra Serif" w:cs="Mangal"/>
          <w:kern w:val="2"/>
          <w:szCs w:val="28"/>
          <w:lang w:eastAsia="hi-IN" w:bidi="hi-IN"/>
        </w:rPr>
      </w:pPr>
      <w:r w:rsidRPr="00250BEC">
        <w:rPr>
          <w:rFonts w:ascii="PT Astra Serif" w:hAnsi="PT Astra Serif" w:cs="Mangal"/>
          <w:kern w:val="2"/>
          <w:szCs w:val="28"/>
          <w:lang w:eastAsia="hi-IN" w:bidi="hi-IN"/>
        </w:rPr>
        <w:t xml:space="preserve">На 01.01.2026 экспертами Агентства разработано 10 шаблонов контрактов по социально-значимой продукции, которые охватывают более 50% всех конкурентных закупок (продукты питания, лекарственные препараты, медицинские изделия, топливо, услуги охраны, радиоэлектронная продукция и пр.). </w:t>
      </w:r>
    </w:p>
    <w:p w14:paraId="0C20DC13" w14:textId="77777777" w:rsidR="00250BEC" w:rsidRPr="00250BEC" w:rsidRDefault="00250BEC" w:rsidP="00250BEC">
      <w:pPr>
        <w:widowControl w:val="0"/>
        <w:rPr>
          <w:rFonts w:ascii="PT Astra Serif" w:hAnsi="PT Astra Serif" w:cs="Mangal"/>
          <w:kern w:val="2"/>
          <w:szCs w:val="28"/>
          <w:lang w:eastAsia="hi-IN" w:bidi="hi-IN"/>
        </w:rPr>
      </w:pPr>
      <w:r w:rsidRPr="00250BEC">
        <w:rPr>
          <w:rFonts w:ascii="PT Astra Serif" w:hAnsi="PT Astra Serif" w:cs="Mangal"/>
          <w:kern w:val="2"/>
          <w:szCs w:val="28"/>
          <w:lang w:eastAsia="hi-IN" w:bidi="hi-IN"/>
        </w:rPr>
        <w:t xml:space="preserve">4) работы по переводу ГИС «АЦК-Госзаказ» на </w:t>
      </w:r>
      <w:r w:rsidRPr="00250BEC">
        <w:rPr>
          <w:rFonts w:ascii="PT Astra Serif" w:eastAsia="Times New Roman" w:hAnsi="PT Astra Serif" w:cs="Times New Roman"/>
          <w:szCs w:val="28"/>
          <w:shd w:val="clear" w:color="auto" w:fill="FFFFFF"/>
          <w:lang w:eastAsia="ru-RU"/>
        </w:rPr>
        <w:t>отечественную систему управления базами данных</w:t>
      </w:r>
      <w:r w:rsidRPr="00250BEC">
        <w:rPr>
          <w:rFonts w:ascii="PT Astra Serif" w:hAnsi="PT Astra Serif" w:cs="Mangal"/>
          <w:kern w:val="2"/>
          <w:szCs w:val="28"/>
          <w:lang w:eastAsia="hi-IN" w:bidi="hi-IN"/>
        </w:rPr>
        <w:t>.</w:t>
      </w:r>
    </w:p>
    <w:p w14:paraId="63A789AF" w14:textId="77777777" w:rsidR="00250BEC" w:rsidRPr="00250BEC" w:rsidRDefault="00250BEC" w:rsidP="00250BEC">
      <w:pPr>
        <w:widowControl w:val="0"/>
        <w:rPr>
          <w:rFonts w:ascii="PT Astra Serif" w:hAnsi="PT Astra Serif" w:cs="Mangal"/>
          <w:kern w:val="2"/>
          <w:szCs w:val="28"/>
          <w:lang w:eastAsia="hi-IN" w:bidi="hi-IN"/>
        </w:rPr>
      </w:pPr>
      <w:r w:rsidRPr="00250BEC">
        <w:rPr>
          <w:rFonts w:ascii="PT Astra Serif" w:hAnsi="PT Astra Serif" w:cs="Mangal"/>
          <w:kern w:val="2"/>
          <w:szCs w:val="28"/>
          <w:lang w:eastAsia="hi-IN" w:bidi="hi-IN"/>
        </w:rPr>
        <w:t xml:space="preserve">Также была продолжена работа по обработке обращений пользователей </w:t>
      </w:r>
      <w:r w:rsidRPr="00250BEC">
        <w:rPr>
          <w:rFonts w:ascii="PT Astra Serif" w:hAnsi="PT Astra Serif" w:cs="Mangal"/>
          <w:kern w:val="2"/>
          <w:szCs w:val="28"/>
          <w:lang w:eastAsia="hi-IN" w:bidi="hi-IN"/>
        </w:rPr>
        <w:br/>
        <w:t>в ГИС «АЦК-Госзаказ» в автоматическом режиме. За 2025 год было обработано 13 408 обращений что на 7% больше показателей 2024 года (12 545 обращений), это связно, в первую очередь, с переходом на использование структурированного контракта.</w:t>
      </w:r>
    </w:p>
    <w:bookmarkEnd w:id="46"/>
    <w:p w14:paraId="2D59F50A" w14:textId="77777777" w:rsidR="00250BEC" w:rsidRPr="00250BEC" w:rsidRDefault="00250BEC" w:rsidP="00250BEC">
      <w:pPr>
        <w:widowControl w:val="0"/>
        <w:rPr>
          <w:rFonts w:ascii="PT Astra Serif" w:eastAsia="Times New Roman" w:hAnsi="PT Astra Serif" w:cs="Times New Roman"/>
          <w:szCs w:val="28"/>
          <w:shd w:val="clear" w:color="auto" w:fill="FFFFFF"/>
          <w:lang w:eastAsia="ru-RU"/>
        </w:rPr>
      </w:pPr>
      <w:r w:rsidRPr="00250BEC">
        <w:rPr>
          <w:rFonts w:ascii="PT Astra Serif" w:eastAsia="Times New Roman" w:hAnsi="PT Astra Serif" w:cs="Times New Roman"/>
          <w:szCs w:val="28"/>
          <w:shd w:val="clear" w:color="auto" w:fill="FFFFFF"/>
          <w:lang w:eastAsia="ru-RU"/>
        </w:rPr>
        <w:t>Проведены работы по разработке и реализации системы защиты ГИС «АЦК-Госзаказ», в соответствии с которой на автоматизированных рабочих местах пользователей установлены сертифицированные средства защиты информации, позволяющие защитить ГИС от негативного внешнего воздействия. Учреждением 08.12.2025 получен Аттестат соответствия требованиям по защите информации, подтверждающий соответствие ГИС «АЦК-Госзаказ» требованиям приказа ФСТЭК от 11.02.2013 №17.</w:t>
      </w:r>
    </w:p>
    <w:p w14:paraId="6F1A3AC6" w14:textId="77777777" w:rsidR="00250BEC" w:rsidRPr="00250BEC" w:rsidRDefault="00250BEC" w:rsidP="00250BEC">
      <w:pPr>
        <w:widowControl w:val="0"/>
        <w:rPr>
          <w:rFonts w:ascii="PT Astra Serif" w:eastAsia="Times New Roman" w:hAnsi="PT Astra Serif" w:cs="Times New Roman"/>
          <w:szCs w:val="28"/>
          <w:shd w:val="clear" w:color="auto" w:fill="FFFFFF"/>
          <w:lang w:eastAsia="ru-RU"/>
        </w:rPr>
      </w:pPr>
      <w:r w:rsidRPr="00250BEC">
        <w:rPr>
          <w:rFonts w:ascii="PT Astra Serif" w:eastAsia="Times New Roman" w:hAnsi="PT Astra Serif" w:cs="Times New Roman"/>
          <w:szCs w:val="28"/>
          <w:shd w:val="clear" w:color="auto" w:fill="FFFFFF"/>
          <w:lang w:eastAsia="ru-RU"/>
        </w:rPr>
        <w:t>Приобретена лицензия на отечественную систему управления базами данных и осуществлен переход на ее использование.</w:t>
      </w:r>
    </w:p>
    <w:p w14:paraId="2D3EF334" w14:textId="1D4F5D44" w:rsidR="00250BEC" w:rsidRDefault="00250BEC" w:rsidP="00250BEC">
      <w:pPr>
        <w:widowControl w:val="0"/>
        <w:rPr>
          <w:rFonts w:ascii="PT Astra Serif" w:eastAsia="Times New Roman" w:hAnsi="PT Astra Serif" w:cs="Times New Roman"/>
          <w:b/>
          <w:color w:val="000000"/>
          <w:szCs w:val="28"/>
          <w:lang w:eastAsia="ru-RU"/>
        </w:rPr>
      </w:pPr>
    </w:p>
    <w:p w14:paraId="08B9C23D" w14:textId="73CEEAB4" w:rsidR="00B43C8A" w:rsidRDefault="00B43C8A" w:rsidP="00250BEC">
      <w:pPr>
        <w:widowControl w:val="0"/>
        <w:rPr>
          <w:rFonts w:ascii="PT Astra Serif" w:eastAsia="Times New Roman" w:hAnsi="PT Astra Serif" w:cs="Times New Roman"/>
          <w:b/>
          <w:color w:val="000000"/>
          <w:szCs w:val="28"/>
          <w:lang w:eastAsia="ru-RU"/>
        </w:rPr>
      </w:pPr>
    </w:p>
    <w:p w14:paraId="640EEA22" w14:textId="77777777" w:rsidR="00B43C8A" w:rsidRPr="00250BEC" w:rsidRDefault="00B43C8A" w:rsidP="00250BEC">
      <w:pPr>
        <w:widowControl w:val="0"/>
        <w:rPr>
          <w:rFonts w:ascii="PT Astra Serif" w:eastAsia="Times New Roman" w:hAnsi="PT Astra Serif" w:cs="Times New Roman"/>
          <w:b/>
          <w:color w:val="000000"/>
          <w:szCs w:val="28"/>
          <w:lang w:eastAsia="ru-RU"/>
        </w:rPr>
      </w:pPr>
    </w:p>
    <w:p w14:paraId="6304E210" w14:textId="77777777" w:rsidR="00250BEC" w:rsidRPr="00250BEC" w:rsidRDefault="00250BEC" w:rsidP="00250BEC">
      <w:pPr>
        <w:widowControl w:val="0"/>
        <w:ind w:firstLine="0"/>
        <w:jc w:val="center"/>
        <w:rPr>
          <w:rFonts w:ascii="PT Astra Serif" w:eastAsia="Times New Roman" w:hAnsi="PT Astra Serif" w:cs="Times New Roman"/>
          <w:b/>
          <w:color w:val="000000"/>
          <w:szCs w:val="28"/>
          <w:lang w:eastAsia="ru-RU"/>
        </w:rPr>
      </w:pPr>
      <w:r w:rsidRPr="00250BEC">
        <w:rPr>
          <w:rFonts w:ascii="PT Astra Serif" w:eastAsia="Times New Roman" w:hAnsi="PT Astra Serif" w:cs="Times New Roman"/>
          <w:b/>
          <w:color w:val="000000"/>
          <w:szCs w:val="28"/>
          <w:lang w:eastAsia="ru-RU"/>
        </w:rPr>
        <w:lastRenderedPageBreak/>
        <w:t>Итоги корпоративных закупок (Закон 223-ФЗ)</w:t>
      </w:r>
    </w:p>
    <w:p w14:paraId="4D61674A" w14:textId="77777777" w:rsidR="00250BEC" w:rsidRPr="00250BEC" w:rsidRDefault="00250BEC" w:rsidP="00250BEC">
      <w:pPr>
        <w:widowControl w:val="0"/>
        <w:ind w:firstLine="0"/>
        <w:jc w:val="center"/>
        <w:rPr>
          <w:rFonts w:ascii="PT Astra Serif" w:eastAsia="Times New Roman" w:hAnsi="PT Astra Serif" w:cs="Times New Roman"/>
          <w:b/>
          <w:color w:val="000000"/>
          <w:szCs w:val="28"/>
          <w:lang w:eastAsia="ru-RU"/>
        </w:rPr>
      </w:pPr>
    </w:p>
    <w:p w14:paraId="2CC455CE" w14:textId="77777777" w:rsidR="00250BEC" w:rsidRPr="00250BEC" w:rsidRDefault="00250BEC" w:rsidP="00250BEC">
      <w:pPr>
        <w:widowControl w:val="0"/>
        <w:rPr>
          <w:rFonts w:ascii="PT Astra Serif" w:eastAsia="Times New Roman" w:hAnsi="PT Astra Serif" w:cs="PT Astra Serif"/>
          <w:szCs w:val="28"/>
          <w:lang w:eastAsia="ru-RU"/>
        </w:rPr>
      </w:pPr>
      <w:r w:rsidRPr="00250BEC">
        <w:rPr>
          <w:rFonts w:ascii="PT Astra Serif" w:eastAsia="Calibri" w:hAnsi="PT Astra Serif" w:cs="Times New Roman"/>
          <w:szCs w:val="28"/>
          <w:lang w:eastAsia="ru-RU"/>
        </w:rPr>
        <w:t>По состоянию на 01.01.2026 года в Ульяновской области корпоративные закупки осуществляли 190 заказчиков, из них регионального уровня – 96; муниципального уровня – 94.</w:t>
      </w:r>
    </w:p>
    <w:p w14:paraId="031C841A"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Сведения о заказчиках в разрезе организационно-правовых форм деятельности, ведомственной принадлежности и уровнях представлены </w:t>
      </w:r>
      <w:r w:rsidRPr="00250BEC">
        <w:rPr>
          <w:rFonts w:ascii="PT Astra Serif" w:eastAsia="Times New Roman" w:hAnsi="PT Astra Serif" w:cs="Times New Roman"/>
          <w:szCs w:val="28"/>
          <w:lang w:eastAsia="ru-RU"/>
        </w:rPr>
        <w:br/>
        <w:t>в таблицах.</w:t>
      </w:r>
    </w:p>
    <w:p w14:paraId="780478C3" w14:textId="77777777" w:rsidR="00250BEC" w:rsidRPr="00B43C8A" w:rsidRDefault="00250BEC" w:rsidP="00250BEC">
      <w:pPr>
        <w:widowControl w:val="0"/>
        <w:rPr>
          <w:rFonts w:ascii="PT Astra Serif" w:eastAsia="Times New Roman" w:hAnsi="PT Astra Serif" w:cs="Times New Roman"/>
          <w:sz w:val="20"/>
          <w:szCs w:val="20"/>
          <w:lang w:eastAsia="ru-RU"/>
        </w:rPr>
      </w:pP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89"/>
        <w:gridCol w:w="2835"/>
        <w:gridCol w:w="2977"/>
      </w:tblGrid>
      <w:tr w:rsidR="00250BEC" w:rsidRPr="00250BEC" w14:paraId="66879BFB" w14:textId="77777777" w:rsidTr="00250BEC">
        <w:tc>
          <w:tcPr>
            <w:tcW w:w="534" w:type="dxa"/>
            <w:shd w:val="clear" w:color="auto" w:fill="auto"/>
            <w:vAlign w:val="center"/>
          </w:tcPr>
          <w:p w14:paraId="5E99CE32"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 п/п</w:t>
            </w:r>
          </w:p>
        </w:tc>
        <w:tc>
          <w:tcPr>
            <w:tcW w:w="3289" w:type="dxa"/>
            <w:shd w:val="clear" w:color="auto" w:fill="auto"/>
            <w:vAlign w:val="center"/>
          </w:tcPr>
          <w:p w14:paraId="4D884096"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Организационно-правовые формы деятельности</w:t>
            </w:r>
          </w:p>
        </w:tc>
        <w:tc>
          <w:tcPr>
            <w:tcW w:w="2835" w:type="dxa"/>
            <w:shd w:val="clear" w:color="auto" w:fill="auto"/>
            <w:vAlign w:val="center"/>
          </w:tcPr>
          <w:p w14:paraId="7F228DF5"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Количество региональных заказчиков</w:t>
            </w:r>
          </w:p>
        </w:tc>
        <w:tc>
          <w:tcPr>
            <w:tcW w:w="2977" w:type="dxa"/>
            <w:shd w:val="clear" w:color="auto" w:fill="auto"/>
            <w:vAlign w:val="center"/>
          </w:tcPr>
          <w:p w14:paraId="6BACFD8B"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Количество муниципальных заказчиков</w:t>
            </w:r>
          </w:p>
        </w:tc>
      </w:tr>
      <w:tr w:rsidR="00250BEC" w:rsidRPr="00250BEC" w14:paraId="1DDF4331" w14:textId="77777777" w:rsidTr="00250BEC">
        <w:tc>
          <w:tcPr>
            <w:tcW w:w="534" w:type="dxa"/>
            <w:shd w:val="clear" w:color="auto" w:fill="auto"/>
            <w:vAlign w:val="center"/>
          </w:tcPr>
          <w:p w14:paraId="7B77C7F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3289" w:type="dxa"/>
            <w:vAlign w:val="center"/>
          </w:tcPr>
          <w:p w14:paraId="3D3F627D"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Автономные учреждения</w:t>
            </w:r>
          </w:p>
        </w:tc>
        <w:tc>
          <w:tcPr>
            <w:tcW w:w="2835" w:type="dxa"/>
            <w:vAlign w:val="center"/>
          </w:tcPr>
          <w:p w14:paraId="43B236BE"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53</w:t>
            </w:r>
          </w:p>
        </w:tc>
        <w:tc>
          <w:tcPr>
            <w:tcW w:w="2977" w:type="dxa"/>
            <w:vAlign w:val="center"/>
          </w:tcPr>
          <w:p w14:paraId="26EAEEFE"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21</w:t>
            </w:r>
          </w:p>
        </w:tc>
      </w:tr>
      <w:tr w:rsidR="00250BEC" w:rsidRPr="00250BEC" w14:paraId="164259F8" w14:textId="77777777" w:rsidTr="00250BEC">
        <w:tc>
          <w:tcPr>
            <w:tcW w:w="534" w:type="dxa"/>
            <w:shd w:val="clear" w:color="auto" w:fill="auto"/>
            <w:vAlign w:val="center"/>
          </w:tcPr>
          <w:p w14:paraId="19217C21"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2.</w:t>
            </w:r>
          </w:p>
        </w:tc>
        <w:tc>
          <w:tcPr>
            <w:tcW w:w="3289" w:type="dxa"/>
            <w:vAlign w:val="center"/>
          </w:tcPr>
          <w:p w14:paraId="34A3C2D9"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Унитарные предприятия</w:t>
            </w:r>
          </w:p>
        </w:tc>
        <w:tc>
          <w:tcPr>
            <w:tcW w:w="2835" w:type="dxa"/>
            <w:vAlign w:val="center"/>
          </w:tcPr>
          <w:p w14:paraId="0976D5E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2977" w:type="dxa"/>
            <w:vAlign w:val="center"/>
          </w:tcPr>
          <w:p w14:paraId="2EF8B4F1"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19</w:t>
            </w:r>
          </w:p>
        </w:tc>
      </w:tr>
      <w:tr w:rsidR="00250BEC" w:rsidRPr="00250BEC" w14:paraId="5649095C" w14:textId="77777777" w:rsidTr="00250BEC">
        <w:tc>
          <w:tcPr>
            <w:tcW w:w="534" w:type="dxa"/>
            <w:shd w:val="clear" w:color="auto" w:fill="auto"/>
            <w:vAlign w:val="center"/>
          </w:tcPr>
          <w:p w14:paraId="0A823F7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3.</w:t>
            </w:r>
          </w:p>
        </w:tc>
        <w:tc>
          <w:tcPr>
            <w:tcW w:w="3289" w:type="dxa"/>
            <w:vAlign w:val="center"/>
          </w:tcPr>
          <w:p w14:paraId="41C94678"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Бюджетные учреждения</w:t>
            </w:r>
          </w:p>
        </w:tc>
        <w:tc>
          <w:tcPr>
            <w:tcW w:w="2835" w:type="dxa"/>
            <w:vAlign w:val="center"/>
          </w:tcPr>
          <w:p w14:paraId="61A130B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15</w:t>
            </w:r>
          </w:p>
        </w:tc>
        <w:tc>
          <w:tcPr>
            <w:tcW w:w="2977" w:type="dxa"/>
            <w:vAlign w:val="center"/>
          </w:tcPr>
          <w:p w14:paraId="7FD62B5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46</w:t>
            </w:r>
          </w:p>
        </w:tc>
      </w:tr>
      <w:tr w:rsidR="00250BEC" w:rsidRPr="00250BEC" w14:paraId="57CBEF1A" w14:textId="77777777" w:rsidTr="00250BEC">
        <w:tc>
          <w:tcPr>
            <w:tcW w:w="534" w:type="dxa"/>
            <w:vAlign w:val="center"/>
          </w:tcPr>
          <w:p w14:paraId="4AF8F22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3289" w:type="dxa"/>
            <w:vAlign w:val="center"/>
          </w:tcPr>
          <w:p w14:paraId="4B6E92F1"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Иные организации</w:t>
            </w:r>
          </w:p>
        </w:tc>
        <w:tc>
          <w:tcPr>
            <w:tcW w:w="2835" w:type="dxa"/>
            <w:vAlign w:val="center"/>
          </w:tcPr>
          <w:p w14:paraId="6C07FA0B"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24</w:t>
            </w:r>
          </w:p>
        </w:tc>
        <w:tc>
          <w:tcPr>
            <w:tcW w:w="2977" w:type="dxa"/>
            <w:vAlign w:val="center"/>
          </w:tcPr>
          <w:p w14:paraId="091077A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8</w:t>
            </w:r>
          </w:p>
        </w:tc>
      </w:tr>
      <w:tr w:rsidR="00250BEC" w:rsidRPr="00250BEC" w14:paraId="04BEDBE1" w14:textId="77777777" w:rsidTr="00250BEC">
        <w:tc>
          <w:tcPr>
            <w:tcW w:w="3823" w:type="dxa"/>
            <w:gridSpan w:val="2"/>
            <w:vAlign w:val="center"/>
          </w:tcPr>
          <w:p w14:paraId="45A0AEAF" w14:textId="77777777" w:rsidR="00250BEC" w:rsidRPr="00250BEC" w:rsidRDefault="00250BEC" w:rsidP="00250BEC">
            <w:pPr>
              <w:widowControl w:val="0"/>
              <w:ind w:firstLine="0"/>
              <w:jc w:val="right"/>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ИТОГО</w:t>
            </w:r>
          </w:p>
        </w:tc>
        <w:tc>
          <w:tcPr>
            <w:tcW w:w="2835" w:type="dxa"/>
            <w:vAlign w:val="center"/>
          </w:tcPr>
          <w:p w14:paraId="405A3B2D"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96</w:t>
            </w:r>
          </w:p>
        </w:tc>
        <w:tc>
          <w:tcPr>
            <w:tcW w:w="2977" w:type="dxa"/>
            <w:vAlign w:val="center"/>
          </w:tcPr>
          <w:p w14:paraId="609D11C0" w14:textId="77777777" w:rsidR="00250BEC" w:rsidRPr="00250BEC" w:rsidRDefault="00250BEC" w:rsidP="00250BEC">
            <w:pPr>
              <w:widowControl w:val="0"/>
              <w:ind w:firstLine="0"/>
              <w:jc w:val="center"/>
              <w:rPr>
                <w:rFonts w:ascii="PT Astra Serif" w:eastAsia="Times New Roman" w:hAnsi="PT Astra Serif" w:cs="Times New Roman"/>
                <w:b/>
                <w:sz w:val="20"/>
                <w:szCs w:val="20"/>
                <w:lang w:val="en-US" w:eastAsia="ru-RU"/>
              </w:rPr>
            </w:pPr>
            <w:r w:rsidRPr="00250BEC">
              <w:rPr>
                <w:rFonts w:ascii="PT Astra Serif" w:eastAsia="Times New Roman" w:hAnsi="PT Astra Serif" w:cs="Times New Roman"/>
                <w:b/>
                <w:sz w:val="20"/>
                <w:szCs w:val="20"/>
                <w:lang w:eastAsia="ru-RU"/>
              </w:rPr>
              <w:t>94</w:t>
            </w:r>
          </w:p>
        </w:tc>
      </w:tr>
    </w:tbl>
    <w:p w14:paraId="2905F426" w14:textId="77777777" w:rsidR="00250BEC" w:rsidRPr="00250BEC" w:rsidRDefault="00250BEC" w:rsidP="00250BEC">
      <w:pPr>
        <w:widowControl w:val="0"/>
        <w:ind w:firstLine="0"/>
        <w:jc w:val="right"/>
        <w:rPr>
          <w:rFonts w:ascii="PT Astra Serif" w:eastAsia="Times New Roman" w:hAnsi="PT Astra Serif" w:cs="Times New Roman"/>
          <w:szCs w:val="28"/>
          <w:lang w:eastAsia="ru-RU"/>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3430"/>
        <w:gridCol w:w="1418"/>
        <w:gridCol w:w="1417"/>
        <w:gridCol w:w="1418"/>
        <w:gridCol w:w="1417"/>
      </w:tblGrid>
      <w:tr w:rsidR="00250BEC" w:rsidRPr="00250BEC" w14:paraId="24EC3D48" w14:textId="77777777" w:rsidTr="00250BEC">
        <w:trPr>
          <w:tblHeader/>
        </w:trPr>
        <w:tc>
          <w:tcPr>
            <w:tcW w:w="539" w:type="dxa"/>
            <w:shd w:val="clear" w:color="auto" w:fill="auto"/>
            <w:vAlign w:val="center"/>
          </w:tcPr>
          <w:p w14:paraId="64740C20" w14:textId="77777777" w:rsidR="00250BEC" w:rsidRPr="00250BEC" w:rsidRDefault="00250BEC" w:rsidP="00250BEC">
            <w:pPr>
              <w:widowControl w:val="0"/>
              <w:ind w:firstLine="0"/>
              <w:contextualSpacing/>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 xml:space="preserve">№ </w:t>
            </w:r>
          </w:p>
          <w:p w14:paraId="53021BEA" w14:textId="77777777" w:rsidR="00250BEC" w:rsidRPr="00250BEC" w:rsidRDefault="00250BEC" w:rsidP="00250BEC">
            <w:pPr>
              <w:widowControl w:val="0"/>
              <w:ind w:firstLine="0"/>
              <w:contextualSpacing/>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п/п</w:t>
            </w:r>
          </w:p>
        </w:tc>
        <w:tc>
          <w:tcPr>
            <w:tcW w:w="3430" w:type="dxa"/>
            <w:shd w:val="clear" w:color="auto" w:fill="auto"/>
            <w:vAlign w:val="center"/>
          </w:tcPr>
          <w:p w14:paraId="12F5B641"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Региональный уровень</w:t>
            </w:r>
          </w:p>
        </w:tc>
        <w:tc>
          <w:tcPr>
            <w:tcW w:w="1418" w:type="dxa"/>
            <w:shd w:val="clear" w:color="auto" w:fill="auto"/>
            <w:vAlign w:val="center"/>
          </w:tcPr>
          <w:p w14:paraId="775D91B5"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Автономные учреждения</w:t>
            </w:r>
          </w:p>
        </w:tc>
        <w:tc>
          <w:tcPr>
            <w:tcW w:w="1417" w:type="dxa"/>
            <w:shd w:val="clear" w:color="auto" w:fill="auto"/>
            <w:vAlign w:val="center"/>
          </w:tcPr>
          <w:p w14:paraId="5BABD280"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Унитарные предприятия</w:t>
            </w:r>
          </w:p>
        </w:tc>
        <w:tc>
          <w:tcPr>
            <w:tcW w:w="1418" w:type="dxa"/>
            <w:shd w:val="clear" w:color="auto" w:fill="auto"/>
            <w:vAlign w:val="center"/>
          </w:tcPr>
          <w:p w14:paraId="69B75B2E"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Бюджетные учреждения</w:t>
            </w:r>
          </w:p>
        </w:tc>
        <w:tc>
          <w:tcPr>
            <w:tcW w:w="1417" w:type="dxa"/>
            <w:shd w:val="clear" w:color="auto" w:fill="auto"/>
            <w:vAlign w:val="center"/>
          </w:tcPr>
          <w:p w14:paraId="3A31D604" w14:textId="77777777" w:rsidR="00250BEC" w:rsidRPr="00250BEC" w:rsidRDefault="00250BEC" w:rsidP="00250BEC">
            <w:pPr>
              <w:widowControl w:val="0"/>
              <w:ind w:firstLine="0"/>
              <w:jc w:val="center"/>
              <w:rPr>
                <w:rFonts w:ascii="PT Astra Serif" w:eastAsia="Times New Roman" w:hAnsi="PT Astra Serif" w:cs="Times New Roman"/>
                <w:b/>
                <w:sz w:val="20"/>
                <w:szCs w:val="20"/>
                <w:lang w:eastAsia="ru-RU"/>
              </w:rPr>
            </w:pPr>
            <w:r w:rsidRPr="00250BEC">
              <w:rPr>
                <w:rFonts w:ascii="PT Astra Serif" w:eastAsia="Times New Roman" w:hAnsi="PT Astra Serif" w:cs="Times New Roman"/>
                <w:b/>
                <w:sz w:val="20"/>
                <w:szCs w:val="20"/>
                <w:lang w:eastAsia="ru-RU"/>
              </w:rPr>
              <w:t>Иные организации</w:t>
            </w:r>
          </w:p>
        </w:tc>
      </w:tr>
      <w:tr w:rsidR="00250BEC" w:rsidRPr="00250BEC" w14:paraId="56D27141" w14:textId="77777777" w:rsidTr="00250BEC">
        <w:tc>
          <w:tcPr>
            <w:tcW w:w="539" w:type="dxa"/>
            <w:shd w:val="clear" w:color="auto" w:fill="FFFFFF"/>
            <w:vAlign w:val="center"/>
          </w:tcPr>
          <w:p w14:paraId="15F7C73B" w14:textId="77777777" w:rsidR="00250BEC" w:rsidRPr="00250BEC" w:rsidRDefault="00250BEC" w:rsidP="00250BEC">
            <w:pPr>
              <w:widowControl w:val="0"/>
              <w:ind w:firstLine="54"/>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3430" w:type="dxa"/>
            <w:shd w:val="clear" w:color="auto" w:fill="FFFFFF"/>
            <w:vAlign w:val="center"/>
          </w:tcPr>
          <w:p w14:paraId="5DA2CE44" w14:textId="77777777" w:rsidR="00250BEC" w:rsidRPr="00250BEC" w:rsidRDefault="00250BEC" w:rsidP="00250BEC">
            <w:pPr>
              <w:widowControl w:val="0"/>
              <w:ind w:firstLine="0"/>
              <w:jc w:val="left"/>
              <w:rPr>
                <w:rFonts w:ascii="PT Astra Serif" w:eastAsia="Calibri" w:hAnsi="PT Astra Serif" w:cs="Times New Roman"/>
                <w:sz w:val="20"/>
                <w:szCs w:val="20"/>
                <w:lang w:eastAsia="ru-RU"/>
              </w:rPr>
            </w:pPr>
            <w:r w:rsidRPr="00250BEC">
              <w:rPr>
                <w:rFonts w:ascii="PT Astra Serif" w:eastAsia="Times New Roman" w:hAnsi="PT Astra Serif" w:cs="Times New Roman"/>
                <w:sz w:val="20"/>
                <w:szCs w:val="20"/>
                <w:lang w:eastAsia="ru-RU"/>
              </w:rPr>
              <w:t>Правительство Ульяновской области</w:t>
            </w:r>
          </w:p>
        </w:tc>
        <w:tc>
          <w:tcPr>
            <w:tcW w:w="1418" w:type="dxa"/>
            <w:shd w:val="clear" w:color="auto" w:fill="FFFFFF"/>
            <w:vAlign w:val="center"/>
          </w:tcPr>
          <w:p w14:paraId="49CFEA8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19</w:t>
            </w:r>
          </w:p>
        </w:tc>
        <w:tc>
          <w:tcPr>
            <w:tcW w:w="1417" w:type="dxa"/>
            <w:shd w:val="clear" w:color="auto" w:fill="FFFFFF"/>
            <w:vAlign w:val="center"/>
          </w:tcPr>
          <w:p w14:paraId="486454F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4C1C7C7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7BDFE14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r>
      <w:tr w:rsidR="00250BEC" w:rsidRPr="00250BEC" w14:paraId="5BEA67A3" w14:textId="77777777" w:rsidTr="00250BEC">
        <w:tc>
          <w:tcPr>
            <w:tcW w:w="539" w:type="dxa"/>
            <w:vAlign w:val="center"/>
          </w:tcPr>
          <w:p w14:paraId="624FAC3E"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2.</w:t>
            </w:r>
          </w:p>
        </w:tc>
        <w:tc>
          <w:tcPr>
            <w:tcW w:w="3430" w:type="dxa"/>
            <w:shd w:val="clear" w:color="auto" w:fill="FFFFFF"/>
            <w:vAlign w:val="center"/>
          </w:tcPr>
          <w:p w14:paraId="258FBA5D"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здравоохранения Ульяновской области</w:t>
            </w:r>
          </w:p>
        </w:tc>
        <w:tc>
          <w:tcPr>
            <w:tcW w:w="1418" w:type="dxa"/>
            <w:shd w:val="clear" w:color="auto" w:fill="FFFFFF"/>
            <w:vAlign w:val="center"/>
          </w:tcPr>
          <w:p w14:paraId="15ED549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4CD2A6F4"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485BBBC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1417" w:type="dxa"/>
            <w:shd w:val="clear" w:color="auto" w:fill="FFFFFF"/>
            <w:vAlign w:val="center"/>
          </w:tcPr>
          <w:p w14:paraId="023F92AB"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2162D1EF" w14:textId="77777777" w:rsidTr="00250BEC">
        <w:tc>
          <w:tcPr>
            <w:tcW w:w="539" w:type="dxa"/>
            <w:vAlign w:val="center"/>
          </w:tcPr>
          <w:p w14:paraId="4A96B6ED"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3.</w:t>
            </w:r>
          </w:p>
        </w:tc>
        <w:tc>
          <w:tcPr>
            <w:tcW w:w="3430" w:type="dxa"/>
            <w:shd w:val="clear" w:color="auto" w:fill="FFFFFF"/>
            <w:vAlign w:val="center"/>
          </w:tcPr>
          <w:p w14:paraId="12F4835C" w14:textId="77777777" w:rsidR="00250BEC" w:rsidRPr="00250BEC" w:rsidRDefault="00250BEC" w:rsidP="00250BEC">
            <w:pPr>
              <w:widowControl w:val="0"/>
              <w:ind w:firstLine="0"/>
              <w:jc w:val="left"/>
              <w:rPr>
                <w:rFonts w:ascii="PT Astra Serif" w:eastAsia="Calibri" w:hAnsi="PT Astra Serif" w:cs="Times New Roman"/>
                <w:sz w:val="20"/>
                <w:szCs w:val="20"/>
              </w:rPr>
            </w:pPr>
            <w:r w:rsidRPr="00250BEC">
              <w:rPr>
                <w:rFonts w:ascii="PT Astra Serif" w:eastAsia="Calibri" w:hAnsi="PT Astra Serif" w:cs="Times New Roman"/>
                <w:sz w:val="20"/>
                <w:szCs w:val="20"/>
              </w:rPr>
              <w:t>Министерство просвещения и воспитания Ульяновской области</w:t>
            </w:r>
          </w:p>
        </w:tc>
        <w:tc>
          <w:tcPr>
            <w:tcW w:w="1418" w:type="dxa"/>
            <w:shd w:val="clear" w:color="auto" w:fill="FFFFFF"/>
            <w:vAlign w:val="center"/>
          </w:tcPr>
          <w:p w14:paraId="49600B0E"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6</w:t>
            </w:r>
          </w:p>
        </w:tc>
        <w:tc>
          <w:tcPr>
            <w:tcW w:w="1417" w:type="dxa"/>
            <w:shd w:val="clear" w:color="auto" w:fill="FFFFFF"/>
            <w:vAlign w:val="center"/>
          </w:tcPr>
          <w:p w14:paraId="0494FF7E"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631A2B5C"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7</w:t>
            </w:r>
          </w:p>
        </w:tc>
        <w:tc>
          <w:tcPr>
            <w:tcW w:w="1417" w:type="dxa"/>
            <w:shd w:val="clear" w:color="auto" w:fill="FFFFFF"/>
            <w:vAlign w:val="center"/>
          </w:tcPr>
          <w:p w14:paraId="7DFE572A"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61792A4F" w14:textId="77777777" w:rsidTr="00250BEC">
        <w:tc>
          <w:tcPr>
            <w:tcW w:w="539" w:type="dxa"/>
            <w:vAlign w:val="center"/>
          </w:tcPr>
          <w:p w14:paraId="671C720C"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3430" w:type="dxa"/>
            <w:shd w:val="clear" w:color="auto" w:fill="FFFFFF"/>
            <w:vAlign w:val="center"/>
          </w:tcPr>
          <w:p w14:paraId="4950275A"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транспорта Ульяновской области</w:t>
            </w:r>
          </w:p>
        </w:tc>
        <w:tc>
          <w:tcPr>
            <w:tcW w:w="1418" w:type="dxa"/>
            <w:shd w:val="clear" w:color="auto" w:fill="FFFFFF"/>
            <w:vAlign w:val="center"/>
          </w:tcPr>
          <w:p w14:paraId="23027E3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31B1BC2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0A8B3341"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193A025B"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13</w:t>
            </w:r>
          </w:p>
        </w:tc>
      </w:tr>
      <w:tr w:rsidR="00250BEC" w:rsidRPr="00250BEC" w14:paraId="40CB13DD" w14:textId="77777777" w:rsidTr="00250BEC">
        <w:tc>
          <w:tcPr>
            <w:tcW w:w="539" w:type="dxa"/>
            <w:vAlign w:val="center"/>
          </w:tcPr>
          <w:p w14:paraId="0058FCF5"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5.</w:t>
            </w:r>
          </w:p>
        </w:tc>
        <w:tc>
          <w:tcPr>
            <w:tcW w:w="3430" w:type="dxa"/>
            <w:shd w:val="clear" w:color="auto" w:fill="FFFFFF"/>
            <w:vAlign w:val="center"/>
          </w:tcPr>
          <w:p w14:paraId="70ECF7D3" w14:textId="77777777" w:rsidR="00250BEC" w:rsidRPr="00250BEC" w:rsidRDefault="00250BEC" w:rsidP="00250BEC">
            <w:pPr>
              <w:widowControl w:val="0"/>
              <w:ind w:firstLine="0"/>
              <w:jc w:val="left"/>
              <w:rPr>
                <w:rFonts w:ascii="PT Astra Serif" w:eastAsia="Calibri" w:hAnsi="PT Astra Serif" w:cs="Times New Roman"/>
                <w:sz w:val="20"/>
                <w:szCs w:val="20"/>
                <w:lang w:eastAsia="ru-RU"/>
              </w:rPr>
            </w:pPr>
            <w:r w:rsidRPr="00250BEC">
              <w:rPr>
                <w:rFonts w:ascii="PT Astra Serif" w:eastAsia="Times New Roman" w:hAnsi="PT Astra Serif" w:cs="Times New Roman"/>
                <w:sz w:val="20"/>
                <w:szCs w:val="20"/>
                <w:lang w:eastAsia="ru-RU"/>
              </w:rPr>
              <w:t>Министерство промышленности, инвестиций и науки Ульяновской области</w:t>
            </w:r>
          </w:p>
        </w:tc>
        <w:tc>
          <w:tcPr>
            <w:tcW w:w="1418" w:type="dxa"/>
            <w:shd w:val="clear" w:color="auto" w:fill="FFFFFF"/>
            <w:vAlign w:val="center"/>
          </w:tcPr>
          <w:p w14:paraId="4DEC5C0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7F9362D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5444AED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69F395EA"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5</w:t>
            </w:r>
          </w:p>
        </w:tc>
      </w:tr>
      <w:tr w:rsidR="00250BEC" w:rsidRPr="00250BEC" w14:paraId="604D63FA" w14:textId="77777777" w:rsidTr="00250BEC">
        <w:tc>
          <w:tcPr>
            <w:tcW w:w="539" w:type="dxa"/>
            <w:vAlign w:val="center"/>
          </w:tcPr>
          <w:p w14:paraId="49C5E7AA"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6.</w:t>
            </w:r>
          </w:p>
        </w:tc>
        <w:tc>
          <w:tcPr>
            <w:tcW w:w="3430" w:type="dxa"/>
            <w:shd w:val="clear" w:color="auto" w:fill="FFFFFF"/>
            <w:vAlign w:val="center"/>
          </w:tcPr>
          <w:p w14:paraId="4855518E"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 xml:space="preserve">Министерство агропромышленного комплекса и развития сельских территорий </w:t>
            </w:r>
            <w:r w:rsidRPr="00250BEC">
              <w:rPr>
                <w:rFonts w:ascii="PT Astra Serif" w:eastAsia="Calibri" w:hAnsi="PT Astra Serif" w:cs="Times New Roman"/>
                <w:sz w:val="20"/>
                <w:szCs w:val="20"/>
                <w:lang w:eastAsia="ru-RU"/>
              </w:rPr>
              <w:t>Ульяновской области</w:t>
            </w:r>
          </w:p>
        </w:tc>
        <w:tc>
          <w:tcPr>
            <w:tcW w:w="1418" w:type="dxa"/>
            <w:shd w:val="clear" w:color="auto" w:fill="FFFFFF"/>
            <w:vAlign w:val="center"/>
          </w:tcPr>
          <w:p w14:paraId="0C26848A"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3CB74E5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5F453FE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7EB0D0F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2</w:t>
            </w:r>
          </w:p>
        </w:tc>
      </w:tr>
      <w:tr w:rsidR="00250BEC" w:rsidRPr="00250BEC" w14:paraId="43588261" w14:textId="77777777" w:rsidTr="00250BEC">
        <w:tc>
          <w:tcPr>
            <w:tcW w:w="539" w:type="dxa"/>
            <w:vAlign w:val="center"/>
          </w:tcPr>
          <w:p w14:paraId="14015C58"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7.</w:t>
            </w:r>
          </w:p>
        </w:tc>
        <w:tc>
          <w:tcPr>
            <w:tcW w:w="3430" w:type="dxa"/>
            <w:shd w:val="clear" w:color="auto" w:fill="FFFFFF"/>
            <w:vAlign w:val="center"/>
          </w:tcPr>
          <w:p w14:paraId="13404C60"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природных ресурсов и экологии Ульяновской области</w:t>
            </w:r>
          </w:p>
        </w:tc>
        <w:tc>
          <w:tcPr>
            <w:tcW w:w="1418" w:type="dxa"/>
            <w:shd w:val="clear" w:color="auto" w:fill="FFFFFF"/>
            <w:vAlign w:val="center"/>
          </w:tcPr>
          <w:p w14:paraId="24BEBF64"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1417" w:type="dxa"/>
            <w:shd w:val="clear" w:color="auto" w:fill="FFFFFF"/>
            <w:vAlign w:val="center"/>
          </w:tcPr>
          <w:p w14:paraId="44C121D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403D008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7F498AA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03632DB9" w14:textId="77777777" w:rsidTr="00250BEC">
        <w:tc>
          <w:tcPr>
            <w:tcW w:w="539" w:type="dxa"/>
            <w:vAlign w:val="center"/>
          </w:tcPr>
          <w:p w14:paraId="358EA41F"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8.</w:t>
            </w:r>
          </w:p>
        </w:tc>
        <w:tc>
          <w:tcPr>
            <w:tcW w:w="3430" w:type="dxa"/>
            <w:shd w:val="clear" w:color="auto" w:fill="FFFFFF"/>
            <w:vAlign w:val="center"/>
          </w:tcPr>
          <w:p w14:paraId="3C3B0DC8"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искусства и культурной политики Ульяновской области</w:t>
            </w:r>
          </w:p>
        </w:tc>
        <w:tc>
          <w:tcPr>
            <w:tcW w:w="1418" w:type="dxa"/>
            <w:shd w:val="clear" w:color="auto" w:fill="FFFFFF"/>
            <w:vAlign w:val="center"/>
          </w:tcPr>
          <w:p w14:paraId="408C874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7</w:t>
            </w:r>
          </w:p>
        </w:tc>
        <w:tc>
          <w:tcPr>
            <w:tcW w:w="1417" w:type="dxa"/>
            <w:shd w:val="clear" w:color="auto" w:fill="FFFFFF"/>
            <w:vAlign w:val="center"/>
          </w:tcPr>
          <w:p w14:paraId="6A2F600C"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3684ACB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1AE2A1BA"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4143AFF0" w14:textId="77777777" w:rsidTr="00250BEC">
        <w:tc>
          <w:tcPr>
            <w:tcW w:w="539" w:type="dxa"/>
            <w:vAlign w:val="center"/>
          </w:tcPr>
          <w:p w14:paraId="0EDDBAD2"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9.</w:t>
            </w:r>
          </w:p>
        </w:tc>
        <w:tc>
          <w:tcPr>
            <w:tcW w:w="3430" w:type="dxa"/>
            <w:shd w:val="clear" w:color="auto" w:fill="FFFFFF"/>
            <w:vAlign w:val="center"/>
          </w:tcPr>
          <w:p w14:paraId="6B54CEFF"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физической культуры и спорта Ульяновской области</w:t>
            </w:r>
          </w:p>
        </w:tc>
        <w:tc>
          <w:tcPr>
            <w:tcW w:w="1418" w:type="dxa"/>
            <w:shd w:val="clear" w:color="auto" w:fill="FFFFFF"/>
            <w:vAlign w:val="center"/>
          </w:tcPr>
          <w:p w14:paraId="2F95FC2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3</w:t>
            </w:r>
          </w:p>
        </w:tc>
        <w:tc>
          <w:tcPr>
            <w:tcW w:w="1417" w:type="dxa"/>
            <w:shd w:val="clear" w:color="auto" w:fill="FFFFFF"/>
            <w:vAlign w:val="center"/>
          </w:tcPr>
          <w:p w14:paraId="27F6629E"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32321F11"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47DE969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54CD9DAC" w14:textId="77777777" w:rsidTr="00250BEC">
        <w:tc>
          <w:tcPr>
            <w:tcW w:w="539" w:type="dxa"/>
            <w:vAlign w:val="center"/>
          </w:tcPr>
          <w:p w14:paraId="5CC173E9"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10.</w:t>
            </w:r>
          </w:p>
        </w:tc>
        <w:tc>
          <w:tcPr>
            <w:tcW w:w="3430" w:type="dxa"/>
            <w:shd w:val="clear" w:color="auto" w:fill="FFFFFF"/>
            <w:vAlign w:val="center"/>
          </w:tcPr>
          <w:p w14:paraId="048896CD"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социального развития Ульяновской области</w:t>
            </w:r>
          </w:p>
        </w:tc>
        <w:tc>
          <w:tcPr>
            <w:tcW w:w="1418" w:type="dxa"/>
            <w:shd w:val="clear" w:color="auto" w:fill="FFFFFF"/>
            <w:vAlign w:val="center"/>
          </w:tcPr>
          <w:p w14:paraId="070DF23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14</w:t>
            </w:r>
          </w:p>
        </w:tc>
        <w:tc>
          <w:tcPr>
            <w:tcW w:w="1417" w:type="dxa"/>
            <w:shd w:val="clear" w:color="auto" w:fill="FFFFFF"/>
            <w:vAlign w:val="center"/>
          </w:tcPr>
          <w:p w14:paraId="3D1112B9"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530823A4"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7A4C1BA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r>
      <w:tr w:rsidR="00250BEC" w:rsidRPr="00250BEC" w14:paraId="0D7AAD87" w14:textId="77777777" w:rsidTr="00250BEC">
        <w:tc>
          <w:tcPr>
            <w:tcW w:w="539" w:type="dxa"/>
            <w:vAlign w:val="center"/>
          </w:tcPr>
          <w:p w14:paraId="6F26BEC0"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11.</w:t>
            </w:r>
          </w:p>
        </w:tc>
        <w:tc>
          <w:tcPr>
            <w:tcW w:w="3430" w:type="dxa"/>
            <w:shd w:val="clear" w:color="auto" w:fill="FFFFFF"/>
            <w:vAlign w:val="center"/>
          </w:tcPr>
          <w:p w14:paraId="3C70C1D6" w14:textId="77777777" w:rsidR="00250BEC" w:rsidRPr="00250BEC" w:rsidRDefault="00250BEC" w:rsidP="00250BEC">
            <w:pPr>
              <w:widowControl w:val="0"/>
              <w:ind w:firstLine="0"/>
              <w:jc w:val="left"/>
              <w:rPr>
                <w:rFonts w:ascii="PT Astra Serif" w:eastAsia="Calibri"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молодёжного развития Ульяновской области</w:t>
            </w:r>
          </w:p>
        </w:tc>
        <w:tc>
          <w:tcPr>
            <w:tcW w:w="1418" w:type="dxa"/>
            <w:shd w:val="clear" w:color="auto" w:fill="FFFFFF"/>
            <w:vAlign w:val="center"/>
          </w:tcPr>
          <w:p w14:paraId="4CC912C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1417" w:type="dxa"/>
            <w:shd w:val="clear" w:color="auto" w:fill="FFFFFF"/>
            <w:vAlign w:val="center"/>
          </w:tcPr>
          <w:p w14:paraId="58E1FC3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70958BFD"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34286A16"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1EF20309" w14:textId="77777777" w:rsidTr="00250BEC">
        <w:trPr>
          <w:trHeight w:val="60"/>
        </w:trPr>
        <w:tc>
          <w:tcPr>
            <w:tcW w:w="539" w:type="dxa"/>
            <w:vAlign w:val="center"/>
          </w:tcPr>
          <w:p w14:paraId="365FDE39"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12.</w:t>
            </w:r>
          </w:p>
        </w:tc>
        <w:tc>
          <w:tcPr>
            <w:tcW w:w="3430" w:type="dxa"/>
            <w:shd w:val="clear" w:color="auto" w:fill="FFFFFF"/>
            <w:vAlign w:val="center"/>
          </w:tcPr>
          <w:p w14:paraId="16DD03CE"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Calibri" w:hAnsi="PT Astra Serif" w:cs="Times New Roman"/>
                <w:sz w:val="20"/>
                <w:szCs w:val="20"/>
                <w:lang w:eastAsia="ru-RU"/>
              </w:rPr>
              <w:t>Министерство жилищно-коммунального хозяйства и строительства Ульяновской области</w:t>
            </w:r>
          </w:p>
        </w:tc>
        <w:tc>
          <w:tcPr>
            <w:tcW w:w="1418" w:type="dxa"/>
            <w:shd w:val="clear" w:color="auto" w:fill="FFFFFF"/>
            <w:vAlign w:val="center"/>
          </w:tcPr>
          <w:p w14:paraId="37E7BA2C"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1417" w:type="dxa"/>
            <w:shd w:val="clear" w:color="auto" w:fill="FFFFFF"/>
            <w:vAlign w:val="center"/>
          </w:tcPr>
          <w:p w14:paraId="4FDDF6A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1418" w:type="dxa"/>
            <w:shd w:val="clear" w:color="auto" w:fill="FFFFFF"/>
            <w:vAlign w:val="center"/>
          </w:tcPr>
          <w:p w14:paraId="114B9E17"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1CFC87CA" w14:textId="77777777" w:rsidR="00250BEC" w:rsidRPr="00250BEC" w:rsidRDefault="00250BEC" w:rsidP="00250BEC">
            <w:pPr>
              <w:widowControl w:val="0"/>
              <w:ind w:firstLine="0"/>
              <w:jc w:val="center"/>
              <w:rPr>
                <w:rFonts w:ascii="PT Astra Serif" w:eastAsia="Times New Roman" w:hAnsi="PT Astra Serif" w:cs="Times New Roman"/>
                <w:sz w:val="20"/>
                <w:szCs w:val="20"/>
                <w:lang w:val="en-US" w:eastAsia="ru-RU"/>
              </w:rPr>
            </w:pPr>
            <w:r w:rsidRPr="00250BEC">
              <w:rPr>
                <w:rFonts w:ascii="PT Astra Serif" w:eastAsia="Times New Roman" w:hAnsi="PT Astra Serif" w:cs="Times New Roman"/>
                <w:sz w:val="20"/>
                <w:szCs w:val="20"/>
                <w:lang w:eastAsia="ru-RU"/>
              </w:rPr>
              <w:t>1</w:t>
            </w:r>
          </w:p>
        </w:tc>
      </w:tr>
      <w:tr w:rsidR="00250BEC" w:rsidRPr="00250BEC" w14:paraId="034EF44D" w14:textId="77777777" w:rsidTr="00250BEC">
        <w:tc>
          <w:tcPr>
            <w:tcW w:w="539" w:type="dxa"/>
            <w:vAlign w:val="center"/>
          </w:tcPr>
          <w:p w14:paraId="456B4204"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13.</w:t>
            </w:r>
          </w:p>
        </w:tc>
        <w:tc>
          <w:tcPr>
            <w:tcW w:w="3430" w:type="dxa"/>
            <w:shd w:val="clear" w:color="auto" w:fill="FFFFFF"/>
            <w:vAlign w:val="center"/>
          </w:tcPr>
          <w:p w14:paraId="3ED073D0"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Агентство ветеринарии Ульяновской области</w:t>
            </w:r>
          </w:p>
        </w:tc>
        <w:tc>
          <w:tcPr>
            <w:tcW w:w="1418" w:type="dxa"/>
            <w:shd w:val="clear" w:color="auto" w:fill="FFFFFF"/>
            <w:vAlign w:val="center"/>
          </w:tcPr>
          <w:p w14:paraId="5DF7BCAA"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040DB841"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1D6237B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4</w:t>
            </w:r>
          </w:p>
        </w:tc>
        <w:tc>
          <w:tcPr>
            <w:tcW w:w="1417" w:type="dxa"/>
            <w:shd w:val="clear" w:color="auto" w:fill="FFFFFF"/>
            <w:vAlign w:val="center"/>
          </w:tcPr>
          <w:p w14:paraId="5BFFE70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1BAB3C2D" w14:textId="77777777" w:rsidTr="00250BEC">
        <w:tc>
          <w:tcPr>
            <w:tcW w:w="539" w:type="dxa"/>
            <w:vAlign w:val="center"/>
          </w:tcPr>
          <w:p w14:paraId="06FEF203"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14.</w:t>
            </w:r>
          </w:p>
        </w:tc>
        <w:tc>
          <w:tcPr>
            <w:tcW w:w="3430" w:type="dxa"/>
            <w:shd w:val="clear" w:color="auto" w:fill="FFFFFF"/>
            <w:vAlign w:val="center"/>
          </w:tcPr>
          <w:p w14:paraId="7D970DDE"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Агентство регионального государственного строительного надзора и государственной экспертизы Ульяновской области</w:t>
            </w:r>
          </w:p>
        </w:tc>
        <w:tc>
          <w:tcPr>
            <w:tcW w:w="1418" w:type="dxa"/>
            <w:shd w:val="clear" w:color="auto" w:fill="FFFFFF"/>
            <w:vAlign w:val="center"/>
          </w:tcPr>
          <w:p w14:paraId="26FBF800"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c>
          <w:tcPr>
            <w:tcW w:w="1417" w:type="dxa"/>
            <w:shd w:val="clear" w:color="auto" w:fill="FFFFFF"/>
            <w:vAlign w:val="center"/>
          </w:tcPr>
          <w:p w14:paraId="2B65D40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7C838A3F"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5D5B8932"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r>
      <w:tr w:rsidR="00250BEC" w:rsidRPr="00250BEC" w14:paraId="0FE5DD81" w14:textId="77777777" w:rsidTr="00250BEC">
        <w:tc>
          <w:tcPr>
            <w:tcW w:w="539" w:type="dxa"/>
            <w:vAlign w:val="center"/>
          </w:tcPr>
          <w:p w14:paraId="13304B3D" w14:textId="77777777" w:rsidR="00250BEC" w:rsidRPr="00250BEC" w:rsidRDefault="00250BEC" w:rsidP="00250BEC">
            <w:pPr>
              <w:widowControl w:val="0"/>
              <w:ind w:firstLine="0"/>
              <w:contextualSpacing/>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15.</w:t>
            </w:r>
          </w:p>
        </w:tc>
        <w:tc>
          <w:tcPr>
            <w:tcW w:w="3430" w:type="dxa"/>
            <w:shd w:val="clear" w:color="auto" w:fill="FFFFFF"/>
            <w:vAlign w:val="center"/>
          </w:tcPr>
          <w:p w14:paraId="3EC3222D" w14:textId="77777777" w:rsidR="00250BEC" w:rsidRPr="00250BEC" w:rsidRDefault="00250BEC" w:rsidP="00250BEC">
            <w:pPr>
              <w:widowControl w:val="0"/>
              <w:ind w:firstLine="0"/>
              <w:jc w:val="left"/>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Министерство имущественных отношений, градостроительной деятельности и цифрового развития Ульяновской области</w:t>
            </w:r>
          </w:p>
        </w:tc>
        <w:tc>
          <w:tcPr>
            <w:tcW w:w="1418" w:type="dxa"/>
            <w:shd w:val="clear" w:color="auto" w:fill="FFFFFF"/>
            <w:vAlign w:val="center"/>
          </w:tcPr>
          <w:p w14:paraId="5F02E8F8"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0DB05D05"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8" w:type="dxa"/>
            <w:shd w:val="clear" w:color="auto" w:fill="FFFFFF"/>
            <w:vAlign w:val="center"/>
          </w:tcPr>
          <w:p w14:paraId="41ED4403"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w:t>
            </w:r>
          </w:p>
        </w:tc>
        <w:tc>
          <w:tcPr>
            <w:tcW w:w="1417" w:type="dxa"/>
            <w:shd w:val="clear" w:color="auto" w:fill="FFFFFF"/>
            <w:vAlign w:val="center"/>
          </w:tcPr>
          <w:p w14:paraId="4656ED99" w14:textId="77777777" w:rsidR="00250BEC" w:rsidRPr="00250BEC" w:rsidRDefault="00250BEC" w:rsidP="00250BEC">
            <w:pPr>
              <w:widowControl w:val="0"/>
              <w:ind w:firstLine="0"/>
              <w:jc w:val="center"/>
              <w:rPr>
                <w:rFonts w:ascii="PT Astra Serif" w:eastAsia="Times New Roman" w:hAnsi="PT Astra Serif" w:cs="Times New Roman"/>
                <w:sz w:val="20"/>
                <w:szCs w:val="20"/>
                <w:lang w:eastAsia="ru-RU"/>
              </w:rPr>
            </w:pPr>
            <w:r w:rsidRPr="00250BEC">
              <w:rPr>
                <w:rFonts w:ascii="PT Astra Serif" w:eastAsia="Times New Roman" w:hAnsi="PT Astra Serif" w:cs="Times New Roman"/>
                <w:sz w:val="20"/>
                <w:szCs w:val="20"/>
                <w:lang w:eastAsia="ru-RU"/>
              </w:rPr>
              <w:t>1</w:t>
            </w:r>
          </w:p>
        </w:tc>
      </w:tr>
      <w:tr w:rsidR="00250BEC" w:rsidRPr="00250BEC" w14:paraId="4FA5B60A" w14:textId="77777777" w:rsidTr="00250BEC">
        <w:tc>
          <w:tcPr>
            <w:tcW w:w="3969" w:type="dxa"/>
            <w:gridSpan w:val="2"/>
            <w:vAlign w:val="center"/>
          </w:tcPr>
          <w:p w14:paraId="006F45F4" w14:textId="77777777" w:rsidR="00250BEC" w:rsidRPr="00250BEC" w:rsidRDefault="00250BEC" w:rsidP="00250BEC">
            <w:pPr>
              <w:widowControl w:val="0"/>
              <w:ind w:firstLine="0"/>
              <w:jc w:val="center"/>
              <w:rPr>
                <w:rFonts w:ascii="PT Astra Serif" w:eastAsia="Times New Roman" w:hAnsi="PT Astra Serif" w:cs="Times New Roman"/>
                <w:bCs/>
                <w:sz w:val="20"/>
                <w:szCs w:val="20"/>
                <w:lang w:eastAsia="ru-RU"/>
              </w:rPr>
            </w:pPr>
            <w:r w:rsidRPr="00250BEC">
              <w:rPr>
                <w:rFonts w:ascii="PT Astra Serif" w:eastAsia="Times New Roman" w:hAnsi="PT Astra Serif" w:cs="Times New Roman"/>
                <w:bCs/>
                <w:sz w:val="20"/>
                <w:szCs w:val="20"/>
                <w:lang w:eastAsia="ru-RU"/>
              </w:rPr>
              <w:t>ИТОГО</w:t>
            </w:r>
          </w:p>
        </w:tc>
        <w:tc>
          <w:tcPr>
            <w:tcW w:w="1418" w:type="dxa"/>
            <w:vAlign w:val="center"/>
          </w:tcPr>
          <w:p w14:paraId="47DB5BEF" w14:textId="77777777" w:rsidR="00250BEC" w:rsidRPr="00250BEC" w:rsidRDefault="00250BEC" w:rsidP="00250BEC">
            <w:pPr>
              <w:widowControl w:val="0"/>
              <w:ind w:firstLine="0"/>
              <w:jc w:val="center"/>
              <w:rPr>
                <w:rFonts w:ascii="PT Astra Serif" w:eastAsia="Times New Roman" w:hAnsi="PT Astra Serif" w:cs="Times New Roman"/>
                <w:bCs/>
                <w:sz w:val="20"/>
                <w:szCs w:val="20"/>
                <w:lang w:eastAsia="ru-RU"/>
              </w:rPr>
            </w:pPr>
            <w:r w:rsidRPr="00250BEC">
              <w:rPr>
                <w:rFonts w:ascii="PT Astra Serif" w:eastAsia="Times New Roman" w:hAnsi="PT Astra Serif" w:cs="Times New Roman"/>
                <w:bCs/>
                <w:sz w:val="20"/>
                <w:szCs w:val="20"/>
                <w:lang w:eastAsia="ru-RU"/>
              </w:rPr>
              <w:t>53</w:t>
            </w:r>
          </w:p>
        </w:tc>
        <w:tc>
          <w:tcPr>
            <w:tcW w:w="1417" w:type="dxa"/>
            <w:vAlign w:val="center"/>
          </w:tcPr>
          <w:p w14:paraId="4562C5CE" w14:textId="77777777" w:rsidR="00250BEC" w:rsidRPr="00250BEC" w:rsidRDefault="00250BEC" w:rsidP="00250BEC">
            <w:pPr>
              <w:widowControl w:val="0"/>
              <w:ind w:firstLine="0"/>
              <w:jc w:val="center"/>
              <w:rPr>
                <w:rFonts w:ascii="PT Astra Serif" w:eastAsia="Times New Roman" w:hAnsi="PT Astra Serif" w:cs="Times New Roman"/>
                <w:bCs/>
                <w:sz w:val="20"/>
                <w:szCs w:val="20"/>
                <w:lang w:eastAsia="ru-RU"/>
              </w:rPr>
            </w:pPr>
            <w:r w:rsidRPr="00250BEC">
              <w:rPr>
                <w:rFonts w:ascii="PT Astra Serif" w:eastAsia="Times New Roman" w:hAnsi="PT Astra Serif" w:cs="Times New Roman"/>
                <w:bCs/>
                <w:sz w:val="20"/>
                <w:szCs w:val="20"/>
                <w:lang w:eastAsia="ru-RU"/>
              </w:rPr>
              <w:t>4</w:t>
            </w:r>
          </w:p>
        </w:tc>
        <w:tc>
          <w:tcPr>
            <w:tcW w:w="1418" w:type="dxa"/>
            <w:vAlign w:val="center"/>
          </w:tcPr>
          <w:p w14:paraId="794B36F1" w14:textId="77777777" w:rsidR="00250BEC" w:rsidRPr="00250BEC" w:rsidRDefault="00250BEC" w:rsidP="00250BEC">
            <w:pPr>
              <w:widowControl w:val="0"/>
              <w:ind w:firstLine="0"/>
              <w:jc w:val="center"/>
              <w:rPr>
                <w:rFonts w:ascii="PT Astra Serif" w:eastAsia="Times New Roman" w:hAnsi="PT Astra Serif" w:cs="Times New Roman"/>
                <w:bCs/>
                <w:sz w:val="20"/>
                <w:szCs w:val="20"/>
                <w:lang w:eastAsia="ru-RU"/>
              </w:rPr>
            </w:pPr>
            <w:r w:rsidRPr="00250BEC">
              <w:rPr>
                <w:rFonts w:ascii="PT Astra Serif" w:eastAsia="Times New Roman" w:hAnsi="PT Astra Serif" w:cs="Times New Roman"/>
                <w:bCs/>
                <w:sz w:val="20"/>
                <w:szCs w:val="20"/>
                <w:lang w:eastAsia="ru-RU"/>
              </w:rPr>
              <w:t>15</w:t>
            </w:r>
          </w:p>
        </w:tc>
        <w:tc>
          <w:tcPr>
            <w:tcW w:w="1417" w:type="dxa"/>
            <w:vAlign w:val="center"/>
          </w:tcPr>
          <w:p w14:paraId="5587A3DA" w14:textId="77777777" w:rsidR="00250BEC" w:rsidRPr="00250BEC" w:rsidRDefault="00250BEC" w:rsidP="00250BEC">
            <w:pPr>
              <w:widowControl w:val="0"/>
              <w:ind w:firstLine="0"/>
              <w:jc w:val="center"/>
              <w:rPr>
                <w:rFonts w:ascii="PT Astra Serif" w:eastAsia="Times New Roman" w:hAnsi="PT Astra Serif" w:cs="Times New Roman"/>
                <w:bCs/>
                <w:sz w:val="20"/>
                <w:szCs w:val="20"/>
                <w:lang w:eastAsia="ru-RU"/>
              </w:rPr>
            </w:pPr>
            <w:r w:rsidRPr="00250BEC">
              <w:rPr>
                <w:rFonts w:ascii="PT Astra Serif" w:eastAsia="Times New Roman" w:hAnsi="PT Astra Serif" w:cs="Times New Roman"/>
                <w:bCs/>
                <w:sz w:val="20"/>
                <w:szCs w:val="20"/>
                <w:lang w:eastAsia="ru-RU"/>
              </w:rPr>
              <w:t>24</w:t>
            </w:r>
          </w:p>
        </w:tc>
      </w:tr>
    </w:tbl>
    <w:p w14:paraId="7C0D959F" w14:textId="77777777" w:rsidR="00B43C8A" w:rsidRDefault="00B43C8A" w:rsidP="00250BEC">
      <w:pPr>
        <w:widowControl w:val="0"/>
        <w:ind w:right="-1" w:firstLine="567"/>
        <w:rPr>
          <w:rFonts w:ascii="PT Astra Serif" w:eastAsia="Times New Roman" w:hAnsi="PT Astra Serif" w:cs="Times New Roman"/>
          <w:color w:val="000000"/>
          <w:szCs w:val="28"/>
          <w:lang w:eastAsia="ru-RU"/>
        </w:rPr>
      </w:pPr>
    </w:p>
    <w:p w14:paraId="2345814A" w14:textId="7D352D08" w:rsidR="00250BEC" w:rsidRPr="00250BEC" w:rsidRDefault="00250BEC" w:rsidP="00250BEC">
      <w:pPr>
        <w:widowControl w:val="0"/>
        <w:ind w:right="-1" w:firstLine="567"/>
        <w:rPr>
          <w:rFonts w:ascii="PT Astra Serif" w:eastAsia="Times New Roman" w:hAnsi="PT Astra Serif" w:cs="Times New Roman"/>
          <w:szCs w:val="28"/>
          <w:lang w:eastAsia="ru-RU"/>
        </w:rPr>
      </w:pPr>
      <w:r w:rsidRPr="00250BEC">
        <w:rPr>
          <w:rFonts w:ascii="PT Astra Serif" w:eastAsia="Times New Roman" w:hAnsi="PT Astra Serif" w:cs="Times New Roman"/>
          <w:color w:val="000000"/>
          <w:szCs w:val="28"/>
          <w:lang w:eastAsia="ru-RU"/>
        </w:rPr>
        <w:lastRenderedPageBreak/>
        <w:t>Общая сумма размещения по</w:t>
      </w:r>
      <w:r w:rsidRPr="00250BEC">
        <w:rPr>
          <w:rFonts w:ascii="PT Astra Serif" w:eastAsia="Times New Roman" w:hAnsi="PT Astra Serif" w:cs="Times New Roman"/>
          <w:szCs w:val="28"/>
          <w:lang w:eastAsia="ru-RU"/>
        </w:rPr>
        <w:t xml:space="preserve"> корпоративным закупкам за 2025 год составила 8,2 млрд рублей, что более чем на миллиард превышает объем размещения 2024 года. Общая экономия составила 350 млн рублей. </w:t>
      </w:r>
    </w:p>
    <w:p w14:paraId="3C7DBDB0" w14:textId="77777777" w:rsidR="00250BEC" w:rsidRPr="00250BEC" w:rsidRDefault="00250BEC" w:rsidP="00250BEC">
      <w:pPr>
        <w:widowControl w:val="0"/>
        <w:ind w:firstLine="0"/>
        <w:jc w:val="center"/>
        <w:rPr>
          <w:rFonts w:ascii="PT Astra Serif" w:eastAsia="Times New Roman" w:hAnsi="PT Astra Serif" w:cs="Times New Roman"/>
          <w:noProof/>
          <w:szCs w:val="28"/>
          <w:lang w:eastAsia="ru-RU"/>
        </w:rPr>
      </w:pPr>
      <w:r w:rsidRPr="00250BEC">
        <w:rPr>
          <w:rFonts w:ascii="PT Astra Serif" w:eastAsia="Times New Roman" w:hAnsi="PT Astra Serif" w:cs="Times New Roman"/>
          <w:noProof/>
          <w:szCs w:val="28"/>
          <w:lang w:eastAsia="ru-RU"/>
        </w:rPr>
        <w:drawing>
          <wp:inline distT="0" distB="0" distL="0" distR="0" wp14:anchorId="35242ADE" wp14:editId="478D6236">
            <wp:extent cx="5952535" cy="1455725"/>
            <wp:effectExtent l="0" t="0" r="0" b="0"/>
            <wp:docPr id="8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7200" cy="1473985"/>
                    </a:xfrm>
                    <a:prstGeom prst="rect">
                      <a:avLst/>
                    </a:prstGeom>
                    <a:noFill/>
                  </pic:spPr>
                </pic:pic>
              </a:graphicData>
            </a:graphic>
          </wp:inline>
        </w:drawing>
      </w:r>
    </w:p>
    <w:p w14:paraId="3EE2DF8E" w14:textId="77777777" w:rsidR="00250BEC" w:rsidRPr="00B43C8A" w:rsidRDefault="00250BEC" w:rsidP="00250BEC">
      <w:pPr>
        <w:widowControl w:val="0"/>
        <w:ind w:firstLine="567"/>
        <w:rPr>
          <w:rFonts w:ascii="PT Astra Serif" w:eastAsia="Times New Roman" w:hAnsi="PT Astra Serif" w:cs="Times New Roman"/>
          <w:sz w:val="20"/>
          <w:szCs w:val="20"/>
          <w:lang w:eastAsia="ru-RU"/>
        </w:rPr>
      </w:pPr>
    </w:p>
    <w:p w14:paraId="20A72387" w14:textId="77777777" w:rsidR="00250BEC" w:rsidRPr="00250BEC" w:rsidRDefault="00250BEC" w:rsidP="00250BEC">
      <w:pPr>
        <w:widowControl w:val="0"/>
        <w:ind w:firstLine="567"/>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Заключено контрактов с СМСП на 4,5 млрд рублей, это 55% от общей суммы размещения и на 22% больше, чем в 2024 году (3,7 млрд руб.).</w:t>
      </w:r>
    </w:p>
    <w:p w14:paraId="470ABCD2" w14:textId="77777777" w:rsidR="00250BEC" w:rsidRPr="00250BEC" w:rsidRDefault="00250BEC" w:rsidP="00250BEC">
      <w:pPr>
        <w:widowControl w:val="0"/>
        <w:ind w:firstLine="567"/>
        <w:jc w:val="center"/>
        <w:rPr>
          <w:rFonts w:ascii="PT Astra Serif" w:eastAsia="Times New Roman" w:hAnsi="PT Astra Serif" w:cs="Times New Roman"/>
          <w:szCs w:val="28"/>
          <w:lang w:eastAsia="ru-RU"/>
        </w:rPr>
      </w:pPr>
      <w:r w:rsidRPr="00250BEC">
        <w:rPr>
          <w:rFonts w:ascii="PT Astra Serif" w:eastAsia="Times New Roman" w:hAnsi="PT Astra Serif" w:cs="Times New Roman"/>
          <w:noProof/>
          <w:sz w:val="20"/>
          <w:szCs w:val="20"/>
          <w:lang w:eastAsia="ru-RU"/>
        </w:rPr>
        <w:drawing>
          <wp:inline distT="0" distB="0" distL="0" distR="0" wp14:anchorId="15FD8A1C" wp14:editId="3AA81B81">
            <wp:extent cx="5212770" cy="1673225"/>
            <wp:effectExtent l="0" t="0" r="6985" b="3175"/>
            <wp:docPr id="87" name="Диаграмма 1">
              <a:extLst xmlns:a="http://schemas.openxmlformats.org/drawingml/2006/main">
                <a:ext uri="{FF2B5EF4-FFF2-40B4-BE49-F238E27FC236}">
                  <a16:creationId xmlns:a16="http://schemas.microsoft.com/office/drawing/2014/main" id="{2FC5EC9B-8E16-4CE4-BA2B-868EA6D047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1FAA8C6" w14:textId="77777777" w:rsidR="00250BEC" w:rsidRPr="00B43C8A" w:rsidRDefault="00250BEC" w:rsidP="00250BEC">
      <w:pPr>
        <w:widowControl w:val="0"/>
        <w:shd w:val="clear" w:color="auto" w:fill="FFFFFF"/>
        <w:ind w:firstLine="567"/>
        <w:rPr>
          <w:rFonts w:ascii="PT Astra Serif" w:eastAsia="Times New Roman" w:hAnsi="PT Astra Serif" w:cs="Times New Roman"/>
          <w:sz w:val="20"/>
          <w:szCs w:val="20"/>
          <w:lang w:eastAsia="ru-RU"/>
        </w:rPr>
      </w:pPr>
    </w:p>
    <w:p w14:paraId="0829574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Закон 223-ФЗ также уделяет особое внимание поддержке СМСП при осуществлении закупок. Это обеспечивается аналогично Закону 44-ФЗ через созданную систему преимуществ при осуществлении закупок </w:t>
      </w:r>
      <w:r w:rsidRPr="00250BEC">
        <w:rPr>
          <w:rFonts w:ascii="PT Astra Serif" w:eastAsia="Times New Roman" w:hAnsi="PT Astra Serif" w:cs="Times New Roman"/>
          <w:szCs w:val="28"/>
          <w:lang w:eastAsia="ru-RU"/>
        </w:rPr>
        <w:br/>
        <w:t xml:space="preserve">и необходимость соблюдения обязательной годовой доли закупок в размере не менее 25% (в том числе 20% по </w:t>
      </w:r>
      <w:proofErr w:type="spellStart"/>
      <w:r w:rsidRPr="00250BEC">
        <w:rPr>
          <w:rFonts w:ascii="PT Astra Serif" w:eastAsia="Times New Roman" w:hAnsi="PT Astra Serif" w:cs="Times New Roman"/>
          <w:szCs w:val="28"/>
          <w:lang w:eastAsia="ru-RU"/>
        </w:rPr>
        <w:t>спецторгам</w:t>
      </w:r>
      <w:proofErr w:type="spellEnd"/>
      <w:r w:rsidRPr="00250BEC">
        <w:rPr>
          <w:rFonts w:ascii="PT Astra Serif" w:eastAsia="Times New Roman" w:hAnsi="PT Astra Serif" w:cs="Times New Roman"/>
          <w:szCs w:val="28"/>
          <w:lang w:eastAsia="ru-RU"/>
        </w:rPr>
        <w:t>), а также предусмотрена административная ответственность по КоАП РФ за невыполнение заказчиками этой обязанности. Кроме того, заказчики, не выполнившие эту обязанность, переходят на размещение по Закону 44-ФЗ.</w:t>
      </w:r>
    </w:p>
    <w:p w14:paraId="3506CE43"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Корпоративные заказчики также осуществляют малые закупки </w:t>
      </w:r>
      <w:r w:rsidRPr="00250BEC">
        <w:rPr>
          <w:rFonts w:ascii="PT Astra Serif" w:eastAsia="Times New Roman" w:hAnsi="PT Astra Serif" w:cs="Times New Roman"/>
          <w:szCs w:val="28"/>
          <w:lang w:eastAsia="ru-RU"/>
        </w:rPr>
        <w:br/>
        <w:t xml:space="preserve">в цифровом формате. Для этого Агентством в типовое о положение о закупке дополнительно был введен неконкурентный способ – «закупка в электронном магазине у СМСП». </w:t>
      </w:r>
    </w:p>
    <w:p w14:paraId="6123AE08"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Через электронные магазины в 2025 году заказчиками было размещено 196,8 млн рублей (что превышает показатели 2024 года на 8%), экономия по ним составила 26,4 млн. рублей (прирост к 2024 году 7%).</w:t>
      </w:r>
    </w:p>
    <w:p w14:paraId="30D8415C" w14:textId="77777777" w:rsidR="00250BEC" w:rsidRPr="00B43C8A" w:rsidRDefault="00250BEC" w:rsidP="00250BEC">
      <w:pPr>
        <w:widowControl w:val="0"/>
        <w:rPr>
          <w:rFonts w:ascii="PT Astra Serif" w:eastAsia="Times New Roman" w:hAnsi="PT Astra Serif" w:cs="Times New Roman"/>
          <w:sz w:val="20"/>
          <w:szCs w:val="20"/>
          <w:lang w:eastAsia="ru-RU"/>
        </w:rPr>
      </w:pPr>
    </w:p>
    <w:tbl>
      <w:tblPr>
        <w:tblStyle w:val="200"/>
        <w:tblW w:w="0" w:type="auto"/>
        <w:tblLook w:val="04A0" w:firstRow="1" w:lastRow="0" w:firstColumn="1" w:lastColumn="0" w:noHBand="0" w:noVBand="1"/>
      </w:tblPr>
      <w:tblGrid>
        <w:gridCol w:w="3114"/>
        <w:gridCol w:w="3115"/>
        <w:gridCol w:w="3115"/>
      </w:tblGrid>
      <w:tr w:rsidR="00250BEC" w:rsidRPr="00250BEC" w14:paraId="6A271D46" w14:textId="77777777" w:rsidTr="00250BEC">
        <w:trPr>
          <w:trHeight w:val="269"/>
        </w:trPr>
        <w:tc>
          <w:tcPr>
            <w:tcW w:w="3114" w:type="dxa"/>
          </w:tcPr>
          <w:p w14:paraId="73503D7C"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b/>
                <w:sz w:val="20"/>
                <w:szCs w:val="24"/>
                <w:u w:color="000000"/>
              </w:rPr>
            </w:pPr>
            <w:r w:rsidRPr="00250BEC">
              <w:rPr>
                <w:rFonts w:ascii="PT Astra Serif" w:eastAsia="Times New Roman" w:hAnsi="PT Astra Serif"/>
                <w:b/>
                <w:sz w:val="20"/>
                <w:szCs w:val="24"/>
                <w:u w:color="000000"/>
              </w:rPr>
              <w:t>Показатели</w:t>
            </w:r>
          </w:p>
        </w:tc>
        <w:tc>
          <w:tcPr>
            <w:tcW w:w="3115" w:type="dxa"/>
          </w:tcPr>
          <w:p w14:paraId="6853C0CB"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b/>
                <w:sz w:val="20"/>
                <w:szCs w:val="24"/>
                <w:u w:color="000000"/>
              </w:rPr>
            </w:pPr>
            <w:r w:rsidRPr="00250BEC">
              <w:rPr>
                <w:rFonts w:ascii="PT Astra Serif" w:eastAsia="Times New Roman" w:hAnsi="PT Astra Serif"/>
                <w:b/>
                <w:sz w:val="20"/>
                <w:szCs w:val="24"/>
                <w:u w:color="000000"/>
              </w:rPr>
              <w:t>2025 г.</w:t>
            </w:r>
          </w:p>
        </w:tc>
        <w:tc>
          <w:tcPr>
            <w:tcW w:w="3115" w:type="dxa"/>
          </w:tcPr>
          <w:p w14:paraId="70182A99"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b/>
                <w:sz w:val="20"/>
                <w:szCs w:val="24"/>
                <w:u w:color="000000"/>
              </w:rPr>
            </w:pPr>
            <w:r w:rsidRPr="00250BEC">
              <w:rPr>
                <w:rFonts w:ascii="PT Astra Serif" w:eastAsia="Times New Roman" w:hAnsi="PT Astra Serif"/>
                <w:b/>
                <w:sz w:val="20"/>
                <w:szCs w:val="24"/>
                <w:u w:color="000000"/>
              </w:rPr>
              <w:t>2024 г.</w:t>
            </w:r>
          </w:p>
        </w:tc>
      </w:tr>
      <w:tr w:rsidR="00250BEC" w:rsidRPr="00250BEC" w14:paraId="5F022465" w14:textId="77777777" w:rsidTr="00250BEC">
        <w:tc>
          <w:tcPr>
            <w:tcW w:w="3114" w:type="dxa"/>
          </w:tcPr>
          <w:p w14:paraId="799B03A2" w14:textId="77777777" w:rsidR="00250BEC" w:rsidRPr="00250BEC" w:rsidRDefault="00250BEC" w:rsidP="00250BEC">
            <w:pPr>
              <w:widowControl w:val="0"/>
              <w:spacing w:before="100" w:beforeAutospacing="1" w:afterAutospacing="1"/>
              <w:ind w:firstLine="0"/>
              <w:rPr>
                <w:rFonts w:ascii="PT Astra Serif" w:eastAsia="Times New Roman" w:hAnsi="PT Astra Serif"/>
                <w:sz w:val="20"/>
                <w:szCs w:val="24"/>
                <w:u w:color="000000"/>
              </w:rPr>
            </w:pPr>
            <w:r w:rsidRPr="00250BEC">
              <w:rPr>
                <w:rFonts w:ascii="PT Astra Serif" w:eastAsia="Times New Roman" w:hAnsi="PT Astra Serif"/>
                <w:sz w:val="20"/>
                <w:szCs w:val="24"/>
                <w:u w:color="000000"/>
              </w:rPr>
              <w:t>Размещено , млн руб.</w:t>
            </w:r>
          </w:p>
        </w:tc>
        <w:tc>
          <w:tcPr>
            <w:tcW w:w="3115" w:type="dxa"/>
          </w:tcPr>
          <w:p w14:paraId="4AE74BB2"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sz w:val="20"/>
                <w:szCs w:val="24"/>
                <w:u w:color="000000"/>
              </w:rPr>
            </w:pPr>
            <w:r w:rsidRPr="00250BEC">
              <w:rPr>
                <w:rFonts w:ascii="PT Astra Serif" w:eastAsia="Times New Roman" w:hAnsi="PT Astra Serif"/>
                <w:sz w:val="20"/>
                <w:szCs w:val="24"/>
                <w:u w:color="000000"/>
              </w:rPr>
              <w:t>196,8</w:t>
            </w:r>
          </w:p>
        </w:tc>
        <w:tc>
          <w:tcPr>
            <w:tcW w:w="3115" w:type="dxa"/>
          </w:tcPr>
          <w:p w14:paraId="264FD098"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sz w:val="20"/>
                <w:szCs w:val="24"/>
                <w:u w:color="000000"/>
              </w:rPr>
            </w:pPr>
            <w:r w:rsidRPr="00250BEC">
              <w:rPr>
                <w:rFonts w:ascii="PT Astra Serif" w:eastAsia="Times New Roman" w:hAnsi="PT Astra Serif"/>
                <w:sz w:val="20"/>
                <w:szCs w:val="24"/>
                <w:u w:color="000000"/>
              </w:rPr>
              <w:t>181,7</w:t>
            </w:r>
          </w:p>
        </w:tc>
      </w:tr>
      <w:tr w:rsidR="00250BEC" w:rsidRPr="00250BEC" w14:paraId="440D3795" w14:textId="77777777" w:rsidTr="00250BEC">
        <w:tc>
          <w:tcPr>
            <w:tcW w:w="3114" w:type="dxa"/>
          </w:tcPr>
          <w:p w14:paraId="703B13F9" w14:textId="77777777" w:rsidR="00250BEC" w:rsidRPr="00250BEC" w:rsidRDefault="00250BEC" w:rsidP="00250BEC">
            <w:pPr>
              <w:widowControl w:val="0"/>
              <w:spacing w:before="100" w:beforeAutospacing="1" w:afterAutospacing="1"/>
              <w:ind w:firstLine="0"/>
              <w:rPr>
                <w:rFonts w:ascii="PT Astra Serif" w:eastAsia="Times New Roman" w:hAnsi="PT Astra Serif"/>
                <w:sz w:val="20"/>
                <w:szCs w:val="24"/>
                <w:u w:color="000000"/>
              </w:rPr>
            </w:pPr>
            <w:r w:rsidRPr="00250BEC">
              <w:rPr>
                <w:rFonts w:ascii="PT Astra Serif" w:eastAsia="Times New Roman" w:hAnsi="PT Astra Serif"/>
                <w:sz w:val="20"/>
                <w:szCs w:val="24"/>
                <w:u w:color="000000"/>
              </w:rPr>
              <w:t>Экономия, млн руб.</w:t>
            </w:r>
          </w:p>
        </w:tc>
        <w:tc>
          <w:tcPr>
            <w:tcW w:w="3115" w:type="dxa"/>
          </w:tcPr>
          <w:p w14:paraId="257A3D22"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sz w:val="20"/>
                <w:szCs w:val="24"/>
                <w:u w:color="000000"/>
              </w:rPr>
            </w:pPr>
            <w:r w:rsidRPr="00250BEC">
              <w:rPr>
                <w:rFonts w:ascii="PT Astra Serif" w:eastAsia="Times New Roman" w:hAnsi="PT Astra Serif"/>
                <w:sz w:val="20"/>
                <w:szCs w:val="24"/>
                <w:u w:color="000000"/>
              </w:rPr>
              <w:t>26,4</w:t>
            </w:r>
          </w:p>
        </w:tc>
        <w:tc>
          <w:tcPr>
            <w:tcW w:w="3115" w:type="dxa"/>
          </w:tcPr>
          <w:p w14:paraId="5D87F6A0" w14:textId="77777777" w:rsidR="00250BEC" w:rsidRPr="00250BEC" w:rsidRDefault="00250BEC" w:rsidP="00250BEC">
            <w:pPr>
              <w:widowControl w:val="0"/>
              <w:spacing w:before="100" w:beforeAutospacing="1" w:afterAutospacing="1"/>
              <w:ind w:firstLine="0"/>
              <w:jc w:val="center"/>
              <w:rPr>
                <w:rFonts w:ascii="PT Astra Serif" w:eastAsia="Times New Roman" w:hAnsi="PT Astra Serif"/>
                <w:sz w:val="20"/>
                <w:szCs w:val="24"/>
                <w:u w:color="000000"/>
              </w:rPr>
            </w:pPr>
            <w:r w:rsidRPr="00250BEC">
              <w:rPr>
                <w:rFonts w:ascii="PT Astra Serif" w:eastAsia="Times New Roman" w:hAnsi="PT Astra Serif"/>
                <w:sz w:val="20"/>
                <w:szCs w:val="24"/>
                <w:u w:color="000000"/>
              </w:rPr>
              <w:t>24,7</w:t>
            </w:r>
          </w:p>
        </w:tc>
      </w:tr>
    </w:tbl>
    <w:p w14:paraId="4A1A38B4" w14:textId="77777777" w:rsidR="00250BEC" w:rsidRPr="00B43C8A" w:rsidRDefault="00250BEC" w:rsidP="00250BEC">
      <w:pPr>
        <w:widowControl w:val="0"/>
        <w:rPr>
          <w:rFonts w:ascii="PT Astra Serif" w:eastAsia="Times New Roman" w:hAnsi="PT Astra Serif" w:cs="Times New Roman"/>
          <w:sz w:val="20"/>
          <w:szCs w:val="20"/>
          <w:lang w:eastAsia="ru-RU"/>
        </w:rPr>
      </w:pPr>
    </w:p>
    <w:p w14:paraId="6AFE289B" w14:textId="77777777" w:rsidR="00250BEC" w:rsidRPr="00250BEC" w:rsidRDefault="00250BEC" w:rsidP="00250BEC">
      <w:pPr>
        <w:widowControl w:val="0"/>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Среди корпоративных заказчиков популярны такие же электронные магазины, как и для заказчиков по Закону 44-ФЗ.</w:t>
      </w:r>
    </w:p>
    <w:p w14:paraId="3368ACA2" w14:textId="77777777" w:rsidR="00250BEC" w:rsidRPr="00250BEC" w:rsidRDefault="00250BEC" w:rsidP="00250BEC">
      <w:pPr>
        <w:widowControl w:val="0"/>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В практике корпоративных закупок обжалование используется как инструмент защиты участниками закупок очень редко (есть только единичные </w:t>
      </w:r>
      <w:r w:rsidRPr="00250BEC">
        <w:rPr>
          <w:rFonts w:ascii="PT Astra Serif" w:eastAsia="Times New Roman" w:hAnsi="PT Astra Serif" w:cs="Times New Roman"/>
          <w:bCs/>
          <w:szCs w:val="28"/>
          <w:lang w:eastAsia="ru-RU"/>
        </w:rPr>
        <w:lastRenderedPageBreak/>
        <w:t>случаи). В таблице представлен сравнительный анализ за 2024 - 2025 гг.</w:t>
      </w:r>
    </w:p>
    <w:p w14:paraId="51B39319" w14:textId="77777777" w:rsidR="00250BEC" w:rsidRPr="00B43C8A" w:rsidRDefault="00250BEC" w:rsidP="00250BEC">
      <w:pPr>
        <w:widowControl w:val="0"/>
        <w:rPr>
          <w:rFonts w:ascii="PT Astra Serif" w:eastAsia="Times New Roman" w:hAnsi="PT Astra Serif" w:cs="Times New Roman"/>
          <w:bCs/>
          <w:sz w:val="20"/>
          <w:szCs w:val="20"/>
          <w:lang w:eastAsia="ru-RU"/>
        </w:rPr>
      </w:pPr>
    </w:p>
    <w:tbl>
      <w:tblPr>
        <w:tblStyle w:val="102"/>
        <w:tblW w:w="9356" w:type="dxa"/>
        <w:tblInd w:w="-5" w:type="dxa"/>
        <w:tblLook w:val="04A0" w:firstRow="1" w:lastRow="0" w:firstColumn="1" w:lastColumn="0" w:noHBand="0" w:noVBand="1"/>
      </w:tblPr>
      <w:tblGrid>
        <w:gridCol w:w="3119"/>
        <w:gridCol w:w="1700"/>
        <w:gridCol w:w="1702"/>
        <w:gridCol w:w="2835"/>
      </w:tblGrid>
      <w:tr w:rsidR="00250BEC" w:rsidRPr="00250BEC" w14:paraId="0CD4792E" w14:textId="77777777" w:rsidTr="00250BEC">
        <w:trPr>
          <w:trHeight w:val="411"/>
        </w:trPr>
        <w:tc>
          <w:tcPr>
            <w:tcW w:w="4819" w:type="dxa"/>
            <w:gridSpan w:val="2"/>
            <w:shd w:val="clear" w:color="auto" w:fill="auto"/>
          </w:tcPr>
          <w:p w14:paraId="711F1486" w14:textId="77777777" w:rsidR="00250BEC" w:rsidRPr="00250BEC" w:rsidRDefault="00250BEC" w:rsidP="00250BEC">
            <w:pPr>
              <w:widowControl w:val="0"/>
              <w:ind w:firstLine="0"/>
              <w:jc w:val="center"/>
              <w:rPr>
                <w:rFonts w:ascii="PT Astra Serif" w:eastAsia="Calibri" w:hAnsi="PT Astra Serif"/>
                <w:b/>
                <w:bCs/>
                <w:sz w:val="20"/>
                <w:szCs w:val="24"/>
              </w:rPr>
            </w:pPr>
            <w:r w:rsidRPr="00250BEC">
              <w:rPr>
                <w:rFonts w:ascii="PT Astra Serif" w:eastAsia="Calibri" w:hAnsi="PT Astra Serif"/>
                <w:b/>
                <w:bCs/>
                <w:sz w:val="20"/>
                <w:szCs w:val="24"/>
              </w:rPr>
              <w:t>Рассмотрено жалоб, шт.</w:t>
            </w:r>
          </w:p>
        </w:tc>
        <w:tc>
          <w:tcPr>
            <w:tcW w:w="4537" w:type="dxa"/>
            <w:gridSpan w:val="2"/>
            <w:shd w:val="clear" w:color="auto" w:fill="auto"/>
          </w:tcPr>
          <w:p w14:paraId="50634ED7" w14:textId="77777777" w:rsidR="00250BEC" w:rsidRPr="00250BEC" w:rsidRDefault="00250BEC" w:rsidP="00250BEC">
            <w:pPr>
              <w:widowControl w:val="0"/>
              <w:ind w:firstLine="0"/>
              <w:jc w:val="center"/>
              <w:rPr>
                <w:rFonts w:ascii="PT Astra Serif" w:eastAsia="Calibri" w:hAnsi="PT Astra Serif"/>
                <w:b/>
                <w:bCs/>
                <w:sz w:val="20"/>
                <w:szCs w:val="24"/>
              </w:rPr>
            </w:pPr>
            <w:r w:rsidRPr="00250BEC">
              <w:rPr>
                <w:rFonts w:ascii="PT Astra Serif" w:eastAsia="Calibri" w:hAnsi="PT Astra Serif"/>
                <w:b/>
                <w:bCs/>
                <w:sz w:val="20"/>
                <w:szCs w:val="24"/>
              </w:rPr>
              <w:t>Жалобы, признанные обоснованными, шт.</w:t>
            </w:r>
          </w:p>
        </w:tc>
      </w:tr>
      <w:tr w:rsidR="00250BEC" w:rsidRPr="00250BEC" w14:paraId="5EB20487" w14:textId="77777777" w:rsidTr="00250BEC">
        <w:trPr>
          <w:trHeight w:val="219"/>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4E39A2D7"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
                <w:sz w:val="20"/>
                <w:szCs w:val="24"/>
              </w:rPr>
              <w:t>2024 г.</w:t>
            </w:r>
          </w:p>
        </w:tc>
        <w:tc>
          <w:tcPr>
            <w:tcW w:w="1700" w:type="dxa"/>
            <w:tcBorders>
              <w:top w:val="single" w:sz="4" w:space="0" w:color="auto"/>
              <w:left w:val="single" w:sz="4" w:space="0" w:color="auto"/>
              <w:bottom w:val="single" w:sz="4" w:space="0" w:color="auto"/>
              <w:right w:val="single" w:sz="4" w:space="0" w:color="auto"/>
            </w:tcBorders>
            <w:shd w:val="clear" w:color="auto" w:fill="auto"/>
          </w:tcPr>
          <w:p w14:paraId="1428F6BD"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
                <w:sz w:val="20"/>
                <w:szCs w:val="24"/>
              </w:rPr>
              <w:t>2025 г.</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28E61F8"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
                <w:sz w:val="20"/>
                <w:szCs w:val="24"/>
              </w:rPr>
              <w:t>2024 г.</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B510824"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
                <w:sz w:val="20"/>
                <w:szCs w:val="24"/>
              </w:rPr>
              <w:t>2025 г.</w:t>
            </w:r>
          </w:p>
        </w:tc>
      </w:tr>
      <w:tr w:rsidR="00250BEC" w:rsidRPr="00250BEC" w14:paraId="0D674AAF" w14:textId="77777777" w:rsidTr="00250BE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6E648967"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Cs/>
                <w:sz w:val="20"/>
                <w:szCs w:val="24"/>
              </w:rPr>
              <w:t>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14:paraId="21F836DF"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Cs/>
                <w:sz w:val="20"/>
                <w:szCs w:val="24"/>
              </w:rPr>
              <w:t>8</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tcPr>
          <w:p w14:paraId="4A5DC5A1"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Cs/>
                <w:sz w:val="20"/>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73894F" w14:textId="77777777" w:rsidR="00250BEC" w:rsidRPr="00250BEC" w:rsidRDefault="00250BEC" w:rsidP="00250BEC">
            <w:pPr>
              <w:widowControl w:val="0"/>
              <w:ind w:firstLine="0"/>
              <w:jc w:val="center"/>
              <w:rPr>
                <w:rFonts w:ascii="PT Astra Serif" w:eastAsia="Calibri" w:hAnsi="PT Astra Serif"/>
                <w:bCs/>
                <w:sz w:val="20"/>
                <w:szCs w:val="24"/>
              </w:rPr>
            </w:pPr>
            <w:r w:rsidRPr="00250BEC">
              <w:rPr>
                <w:rFonts w:ascii="PT Astra Serif" w:eastAsia="Calibri" w:hAnsi="PT Astra Serif"/>
                <w:bCs/>
                <w:sz w:val="20"/>
                <w:szCs w:val="24"/>
              </w:rPr>
              <w:t>6</w:t>
            </w:r>
          </w:p>
        </w:tc>
      </w:tr>
    </w:tbl>
    <w:p w14:paraId="4EA8CAC7" w14:textId="77777777" w:rsidR="00250BEC" w:rsidRPr="00B43C8A" w:rsidRDefault="00250BEC" w:rsidP="00250BEC">
      <w:pPr>
        <w:widowControl w:val="0"/>
        <w:tabs>
          <w:tab w:val="left" w:pos="567"/>
        </w:tabs>
        <w:rPr>
          <w:rFonts w:ascii="PT Astra Serif" w:eastAsia="Calibri" w:hAnsi="PT Astra Serif" w:cs="Times New Roman"/>
          <w:sz w:val="20"/>
          <w:szCs w:val="20"/>
          <w:lang w:eastAsia="ru-RU"/>
        </w:rPr>
      </w:pPr>
    </w:p>
    <w:p w14:paraId="3C781EC4" w14:textId="77777777" w:rsidR="00250BEC" w:rsidRPr="00250BEC" w:rsidRDefault="00250BEC" w:rsidP="00250BEC">
      <w:pPr>
        <w:widowControl w:val="0"/>
        <w:tabs>
          <w:tab w:val="left" w:pos="567"/>
        </w:tabs>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 xml:space="preserve">По итогам анализа видно, что количество обоснованных жалоб в 2025 году выросло, что напрямую связано с глобальными изменениями при проведении закупок для корпоративных заказчиков в части введения требований национального режима (вступили в действие с 01.01.2025). </w:t>
      </w:r>
    </w:p>
    <w:p w14:paraId="67412350" w14:textId="77777777" w:rsidR="00250BEC" w:rsidRPr="00250BEC" w:rsidRDefault="00250BEC" w:rsidP="00250BEC">
      <w:pPr>
        <w:widowControl w:val="0"/>
        <w:tabs>
          <w:tab w:val="left" w:pos="567"/>
        </w:tabs>
        <w:ind w:firstLine="0"/>
        <w:jc w:val="center"/>
        <w:rPr>
          <w:rFonts w:ascii="PT Astra Serif" w:eastAsia="Calibri" w:hAnsi="PT Astra Serif" w:cs="Times New Roman"/>
          <w:b/>
          <w:bCs/>
          <w:szCs w:val="28"/>
          <w:lang w:eastAsia="ru-RU"/>
        </w:rPr>
      </w:pPr>
    </w:p>
    <w:p w14:paraId="48F4934C" w14:textId="77777777" w:rsidR="00250BEC" w:rsidRPr="00250BEC" w:rsidRDefault="00250BEC" w:rsidP="00250BEC">
      <w:pPr>
        <w:widowControl w:val="0"/>
        <w:tabs>
          <w:tab w:val="left" w:pos="567"/>
        </w:tabs>
        <w:ind w:firstLine="0"/>
        <w:jc w:val="center"/>
        <w:rPr>
          <w:rFonts w:ascii="PT Astra Serif" w:eastAsia="Calibri" w:hAnsi="PT Astra Serif" w:cs="Times New Roman"/>
          <w:b/>
          <w:bCs/>
          <w:i/>
          <w:szCs w:val="28"/>
          <w:lang w:eastAsia="ru-RU"/>
        </w:rPr>
      </w:pPr>
      <w:r w:rsidRPr="00250BEC">
        <w:rPr>
          <w:rFonts w:ascii="PT Astra Serif" w:eastAsia="Calibri" w:hAnsi="PT Astra Serif" w:cs="Times New Roman"/>
          <w:b/>
          <w:bCs/>
          <w:szCs w:val="28"/>
          <w:lang w:eastAsia="ru-RU"/>
        </w:rPr>
        <w:t>Проведение оценки соответствия и мониторинга соответствия</w:t>
      </w:r>
    </w:p>
    <w:p w14:paraId="69C39F47" w14:textId="77777777" w:rsidR="00250BEC" w:rsidRPr="00250BEC" w:rsidRDefault="00250BEC" w:rsidP="00250BEC">
      <w:pPr>
        <w:widowControl w:val="0"/>
        <w:ind w:firstLine="0"/>
        <w:jc w:val="center"/>
        <w:rPr>
          <w:rFonts w:ascii="PT Astra Serif" w:eastAsia="Times New Roman" w:hAnsi="PT Astra Serif" w:cs="Times New Roman"/>
          <w:szCs w:val="28"/>
          <w:lang w:eastAsia="ru-RU"/>
        </w:rPr>
      </w:pPr>
    </w:p>
    <w:p w14:paraId="10C24A60"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Times New Roman" w:hAnsi="PT Astra Serif" w:cs="Times New Roman"/>
          <w:szCs w:val="28"/>
          <w:lang w:eastAsia="ru-RU"/>
        </w:rPr>
        <w:t xml:space="preserve">Агентство проводит оценку соответствия и мониторинг соответствия </w:t>
      </w:r>
      <w:r w:rsidRPr="00250BEC">
        <w:rPr>
          <w:rFonts w:ascii="PT Astra Serif" w:eastAsia="Times New Roman" w:hAnsi="PT Astra Serif" w:cs="Times New Roman"/>
          <w:szCs w:val="28"/>
          <w:lang w:eastAsia="ru-RU"/>
        </w:rPr>
        <w:br/>
        <w:t xml:space="preserve">в ЕИС. Правила и критерии оценки соответствия и мониторинга соответствия установлены Законом 223-ФЗ, постановлением Правительства РФ от 29.10.2015 № 1169 «О порядке проведения мониторинга соответствия планов закупки товаров, работ, услуг, планов закупки инновационной продукции, высокотехнологичной продукции, лекарственных средств, изменений, внесенных в такие планы, оценки соответствия проектов таких планов, проектов изменений, вносимых в такие планы, требованиям законодательства Российской Федерации, предусматривающим участие субъектов малого </w:t>
      </w:r>
      <w:r w:rsidRPr="00250BEC">
        <w:rPr>
          <w:rFonts w:ascii="PT Astra Serif" w:eastAsia="Times New Roman" w:hAnsi="PT Astra Serif" w:cs="Times New Roman"/>
          <w:szCs w:val="28"/>
          <w:lang w:eastAsia="ru-RU"/>
        </w:rPr>
        <w:br/>
        <w:t>и среднего предпринимательства в закупке, порядке и сроках приостановки реализации указанных планов по результатам таких оценки и мониторинга».</w:t>
      </w:r>
    </w:p>
    <w:p w14:paraId="08AC07B7" w14:textId="77777777" w:rsidR="00250BEC" w:rsidRPr="00250BEC" w:rsidRDefault="00250BEC" w:rsidP="00250BEC">
      <w:pPr>
        <w:widowControl w:val="0"/>
        <w:rPr>
          <w:rFonts w:ascii="PT Astra Serif" w:eastAsia="Times New Roman" w:hAnsi="PT Astra Serif" w:cs="PT Astra Serif"/>
          <w:szCs w:val="28"/>
          <w:lang w:eastAsia="ru-RU"/>
        </w:rPr>
      </w:pPr>
      <w:r w:rsidRPr="00250BEC">
        <w:rPr>
          <w:rFonts w:ascii="PT Astra Serif" w:eastAsia="Times New Roman" w:hAnsi="PT Astra Serif" w:cs="Times New Roman"/>
          <w:szCs w:val="28"/>
          <w:lang w:eastAsia="ru-RU"/>
        </w:rPr>
        <w:t>Критерии отнесения заказчиков (крупнейшие заказчики) к процедуре оценки соответствия</w:t>
      </w:r>
      <w:r w:rsidRPr="00250BEC">
        <w:rPr>
          <w:rFonts w:ascii="PT Astra Serif" w:eastAsia="Times New Roman" w:hAnsi="PT Astra Serif" w:cs="PT Astra Serif"/>
          <w:szCs w:val="28"/>
          <w:lang w:eastAsia="ru-RU"/>
        </w:rPr>
        <w:t xml:space="preserve"> представлены в таблице.</w:t>
      </w:r>
    </w:p>
    <w:p w14:paraId="4AB0ABDB" w14:textId="77777777" w:rsidR="00250BEC" w:rsidRPr="00B43C8A" w:rsidRDefault="00250BEC" w:rsidP="00250BEC">
      <w:pPr>
        <w:widowControl w:val="0"/>
        <w:rPr>
          <w:rFonts w:ascii="PT Astra Serif" w:eastAsia="Times New Roman" w:hAnsi="PT Astra Serif" w:cs="PT Astra Serif"/>
          <w:sz w:val="20"/>
          <w:szCs w:val="20"/>
          <w:lang w:eastAsia="ru-RU"/>
        </w:rPr>
      </w:pPr>
    </w:p>
    <w:tbl>
      <w:tblPr>
        <w:tblStyle w:val="102"/>
        <w:tblW w:w="9385" w:type="dxa"/>
        <w:tblInd w:w="108" w:type="dxa"/>
        <w:tblLook w:val="04A0" w:firstRow="1" w:lastRow="0" w:firstColumn="1" w:lastColumn="0" w:noHBand="0" w:noVBand="1"/>
      </w:tblPr>
      <w:tblGrid>
        <w:gridCol w:w="4990"/>
        <w:gridCol w:w="2268"/>
        <w:gridCol w:w="2127"/>
      </w:tblGrid>
      <w:tr w:rsidR="00250BEC" w:rsidRPr="00250BEC" w14:paraId="50056C04" w14:textId="77777777" w:rsidTr="00250BEC">
        <w:tc>
          <w:tcPr>
            <w:tcW w:w="4990" w:type="dxa"/>
            <w:shd w:val="clear" w:color="auto" w:fill="auto"/>
            <w:vAlign w:val="center"/>
          </w:tcPr>
          <w:p w14:paraId="76BDC91F"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Организационно-правовая форма</w:t>
            </w:r>
          </w:p>
        </w:tc>
        <w:tc>
          <w:tcPr>
            <w:tcW w:w="2268" w:type="dxa"/>
            <w:shd w:val="clear" w:color="auto" w:fill="auto"/>
            <w:vAlign w:val="center"/>
          </w:tcPr>
          <w:p w14:paraId="69D99EEC"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Выручка (величина активов) за предшествующий год</w:t>
            </w:r>
          </w:p>
        </w:tc>
        <w:tc>
          <w:tcPr>
            <w:tcW w:w="2127" w:type="dxa"/>
            <w:shd w:val="clear" w:color="auto" w:fill="auto"/>
            <w:vAlign w:val="center"/>
          </w:tcPr>
          <w:p w14:paraId="5CB2BCE4"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Объем договоров за предшествующий год</w:t>
            </w:r>
          </w:p>
        </w:tc>
      </w:tr>
      <w:tr w:rsidR="00250BEC" w:rsidRPr="00250BEC" w14:paraId="5962ABF9" w14:textId="77777777" w:rsidTr="00250BEC">
        <w:tc>
          <w:tcPr>
            <w:tcW w:w="4990" w:type="dxa"/>
            <w:shd w:val="clear" w:color="auto" w:fill="auto"/>
            <w:vAlign w:val="center"/>
          </w:tcPr>
          <w:p w14:paraId="7B0DB296"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1. Хозяйственные общества</w:t>
            </w:r>
          </w:p>
          <w:p w14:paraId="57891C3A"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2. Субъекты естественных монополий, организации, осуществляющие регулируемые виды деятельности</w:t>
            </w:r>
          </w:p>
          <w:p w14:paraId="420CC11A"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3. Дочерние организации, а также дочерние организации дочерних организаций с долей участия организаций, указанных в пунктах 1 и 2 более 50%</w:t>
            </w:r>
          </w:p>
        </w:tc>
        <w:tc>
          <w:tcPr>
            <w:tcW w:w="2268" w:type="dxa"/>
            <w:shd w:val="clear" w:color="auto" w:fill="auto"/>
            <w:vAlign w:val="center"/>
          </w:tcPr>
          <w:p w14:paraId="7E58C8B9" w14:textId="1BBC4B22"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более 500</w:t>
            </w:r>
          </w:p>
          <w:p w14:paraId="2F196FF2"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млн рублей</w:t>
            </w:r>
          </w:p>
        </w:tc>
        <w:tc>
          <w:tcPr>
            <w:tcW w:w="2127" w:type="dxa"/>
            <w:shd w:val="clear" w:color="auto" w:fill="auto"/>
            <w:vAlign w:val="center"/>
          </w:tcPr>
          <w:p w14:paraId="7DE871CC"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не установлено</w:t>
            </w:r>
          </w:p>
        </w:tc>
      </w:tr>
      <w:tr w:rsidR="00250BEC" w:rsidRPr="00250BEC" w14:paraId="6E8A5D41" w14:textId="77777777" w:rsidTr="00250BEC">
        <w:tc>
          <w:tcPr>
            <w:tcW w:w="4990" w:type="dxa"/>
            <w:shd w:val="clear" w:color="auto" w:fill="auto"/>
            <w:vAlign w:val="center"/>
          </w:tcPr>
          <w:p w14:paraId="396C5BE1"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4. Автономные учреждения субъекта РФ</w:t>
            </w:r>
          </w:p>
        </w:tc>
        <w:tc>
          <w:tcPr>
            <w:tcW w:w="2268" w:type="dxa"/>
            <w:shd w:val="clear" w:color="auto" w:fill="auto"/>
            <w:vAlign w:val="center"/>
          </w:tcPr>
          <w:p w14:paraId="0D0D9A36"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не установлено</w:t>
            </w:r>
          </w:p>
        </w:tc>
        <w:tc>
          <w:tcPr>
            <w:tcW w:w="2127" w:type="dxa"/>
            <w:shd w:val="clear" w:color="auto" w:fill="auto"/>
            <w:vAlign w:val="center"/>
          </w:tcPr>
          <w:p w14:paraId="5DE1CA6E" w14:textId="219B1E89"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более 250</w:t>
            </w:r>
          </w:p>
          <w:p w14:paraId="3A1FBC5F"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млн рублей</w:t>
            </w:r>
          </w:p>
        </w:tc>
      </w:tr>
    </w:tbl>
    <w:p w14:paraId="4D287129" w14:textId="77777777" w:rsidR="00250BEC" w:rsidRPr="00B43C8A" w:rsidRDefault="00250BEC" w:rsidP="00250BEC">
      <w:pPr>
        <w:widowControl w:val="0"/>
        <w:rPr>
          <w:rFonts w:ascii="PT Astra Serif" w:eastAsia="Times New Roman" w:hAnsi="PT Astra Serif" w:cs="Times New Roman"/>
          <w:sz w:val="20"/>
          <w:szCs w:val="20"/>
          <w:lang w:eastAsia="ru-RU"/>
        </w:rPr>
      </w:pPr>
    </w:p>
    <w:p w14:paraId="238A1720"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Согласно распоряжению Правительства РФ от 19.04.2016 № 717-р оценка соответствия Агентством в 2025 году проводилась по 6 заказчикам </w:t>
      </w:r>
      <w:r w:rsidRPr="00250BEC">
        <w:rPr>
          <w:rFonts w:ascii="PT Astra Serif" w:eastAsia="Times New Roman" w:hAnsi="PT Astra Serif" w:cs="Times New Roman"/>
          <w:szCs w:val="28"/>
          <w:lang w:eastAsia="ru-RU"/>
        </w:rPr>
        <w:br/>
        <w:t>(в 2024 году было 5 заказчиков):</w:t>
      </w:r>
    </w:p>
    <w:p w14:paraId="03A5E951"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1) АО «Тепличное»;</w:t>
      </w:r>
    </w:p>
    <w:p w14:paraId="0EF46EDE"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2) ОГКП «Корпорация развития коммунального комплекса Ульяновской области»;</w:t>
      </w:r>
    </w:p>
    <w:p w14:paraId="524DF517"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3) МУП «Ульяновская городская электросеть»;</w:t>
      </w:r>
    </w:p>
    <w:p w14:paraId="13C06746"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4) УМУП «Городская теплосеть»;</w:t>
      </w:r>
    </w:p>
    <w:p w14:paraId="57469BD4"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5) УМУП ВКХ «</w:t>
      </w:r>
      <w:proofErr w:type="spellStart"/>
      <w:r w:rsidRPr="00250BEC">
        <w:rPr>
          <w:rFonts w:ascii="PT Astra Serif" w:eastAsia="Times New Roman" w:hAnsi="PT Astra Serif" w:cs="PT Astra Serif"/>
          <w:szCs w:val="28"/>
          <w:lang w:eastAsia="ru-RU"/>
        </w:rPr>
        <w:t>Ульяновскводоканал</w:t>
      </w:r>
      <w:proofErr w:type="spellEnd"/>
      <w:r w:rsidRPr="00250BEC">
        <w:rPr>
          <w:rFonts w:ascii="PT Astra Serif" w:eastAsia="Times New Roman" w:hAnsi="PT Astra Serif" w:cs="PT Astra Serif"/>
          <w:szCs w:val="28"/>
          <w:lang w:eastAsia="ru-RU"/>
        </w:rPr>
        <w:t>»;</w:t>
      </w:r>
    </w:p>
    <w:p w14:paraId="4AD50515" w14:textId="77777777" w:rsidR="00250BEC" w:rsidRPr="00250BEC" w:rsidRDefault="00250BEC" w:rsidP="00250BEC">
      <w:pPr>
        <w:widowControl w:val="0"/>
        <w:autoSpaceDE w:val="0"/>
        <w:autoSpaceDN w:val="0"/>
        <w:adjustRightInd w:val="0"/>
        <w:rPr>
          <w:rFonts w:ascii="PT Astra Serif" w:eastAsia="Times New Roman" w:hAnsi="PT Astra Serif" w:cs="PT Astra Serif"/>
          <w:szCs w:val="28"/>
          <w:lang w:eastAsia="ru-RU"/>
        </w:rPr>
      </w:pPr>
      <w:r w:rsidRPr="00250BEC">
        <w:rPr>
          <w:rFonts w:ascii="PT Astra Serif" w:eastAsia="Times New Roman" w:hAnsi="PT Astra Serif" w:cs="PT Astra Serif"/>
          <w:szCs w:val="28"/>
          <w:lang w:eastAsia="ru-RU"/>
        </w:rPr>
        <w:t>6) МУП «</w:t>
      </w:r>
      <w:proofErr w:type="spellStart"/>
      <w:r w:rsidRPr="00250BEC">
        <w:rPr>
          <w:rFonts w:ascii="PT Astra Serif" w:eastAsia="Times New Roman" w:hAnsi="PT Astra Serif" w:cs="PT Astra Serif"/>
          <w:szCs w:val="28"/>
          <w:lang w:eastAsia="ru-RU"/>
        </w:rPr>
        <w:t>Ульяновскэлектротранс</w:t>
      </w:r>
      <w:proofErr w:type="spellEnd"/>
      <w:r w:rsidRPr="00250BEC">
        <w:rPr>
          <w:rFonts w:ascii="PT Astra Serif" w:eastAsia="Times New Roman" w:hAnsi="PT Astra Serif" w:cs="PT Astra Serif"/>
          <w:szCs w:val="28"/>
          <w:lang w:eastAsia="ru-RU"/>
        </w:rPr>
        <w:t>».</w:t>
      </w:r>
    </w:p>
    <w:p w14:paraId="6930D423" w14:textId="77777777" w:rsidR="00250BEC" w:rsidRPr="00250BEC" w:rsidRDefault="00250BEC" w:rsidP="00250BEC">
      <w:pPr>
        <w:widowControl w:val="0"/>
        <w:tabs>
          <w:tab w:val="left" w:pos="426"/>
        </w:tabs>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lastRenderedPageBreak/>
        <w:t>Сравнительный анализ по процедуре оценки соответствия за 2024 - 2025 гг. представлен в таблице.</w:t>
      </w:r>
    </w:p>
    <w:p w14:paraId="114736EF" w14:textId="77777777" w:rsidR="00250BEC" w:rsidRPr="00250BEC" w:rsidRDefault="00250BEC" w:rsidP="00250BEC">
      <w:pPr>
        <w:widowControl w:val="0"/>
        <w:ind w:firstLine="0"/>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noProof/>
          <w:szCs w:val="28"/>
          <w:lang w:eastAsia="ru-RU"/>
        </w:rPr>
        <w:drawing>
          <wp:inline distT="0" distB="0" distL="0" distR="0" wp14:anchorId="5E33FAB4" wp14:editId="0B25B93D">
            <wp:extent cx="6041537" cy="1382572"/>
            <wp:effectExtent l="0" t="0" r="0" b="0"/>
            <wp:docPr id="8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98299" cy="1395562"/>
                    </a:xfrm>
                    <a:prstGeom prst="rect">
                      <a:avLst/>
                    </a:prstGeom>
                    <a:noFill/>
                  </pic:spPr>
                </pic:pic>
              </a:graphicData>
            </a:graphic>
          </wp:inline>
        </w:drawing>
      </w:r>
    </w:p>
    <w:p w14:paraId="741317BB" w14:textId="77777777" w:rsidR="00250BEC" w:rsidRPr="00B43C8A" w:rsidRDefault="00250BEC" w:rsidP="00250BEC">
      <w:pPr>
        <w:widowControl w:val="0"/>
        <w:rPr>
          <w:rFonts w:ascii="PT Astra Serif" w:eastAsia="Times New Roman" w:hAnsi="PT Astra Serif" w:cs="Times New Roman"/>
          <w:bCs/>
          <w:sz w:val="20"/>
          <w:szCs w:val="20"/>
          <w:lang w:eastAsia="ru-RU"/>
        </w:rPr>
      </w:pPr>
    </w:p>
    <w:p w14:paraId="1B8267E2" w14:textId="77777777" w:rsidR="00250BEC" w:rsidRPr="00250BEC" w:rsidRDefault="00250BEC" w:rsidP="00250BEC">
      <w:pPr>
        <w:widowControl w:val="0"/>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Итоги проведения оценки соответствия в 2025 году показывают, что незначительно увеличилась доля выданных Агентством уведомлений/ заключений о несоответствии (на 2%), что в основном обусловлено включением нового заказчика в процедуру (его адаптацией).</w:t>
      </w:r>
    </w:p>
    <w:p w14:paraId="74D801D2" w14:textId="77777777" w:rsidR="00250BEC" w:rsidRPr="00250BEC" w:rsidRDefault="00250BEC" w:rsidP="00250BEC">
      <w:pPr>
        <w:widowControl w:val="0"/>
        <w:rPr>
          <w:rFonts w:ascii="PT Astra Serif" w:eastAsia="Times New Roman" w:hAnsi="PT Astra Serif" w:cs="PT Astra Serif"/>
          <w:szCs w:val="28"/>
          <w:lang w:eastAsia="ru-RU"/>
        </w:rPr>
      </w:pPr>
      <w:r w:rsidRPr="00250BEC">
        <w:rPr>
          <w:rFonts w:ascii="PT Astra Serif" w:eastAsia="Times New Roman" w:hAnsi="PT Astra Serif" w:cs="Times New Roman"/>
          <w:szCs w:val="28"/>
          <w:lang w:eastAsia="ru-RU"/>
        </w:rPr>
        <w:t>Критерии отнесения заказчиков (крупнейшие заказчики) к процедуре мониторингу соответствия</w:t>
      </w:r>
      <w:r w:rsidRPr="00250BEC">
        <w:rPr>
          <w:rFonts w:ascii="PT Astra Serif" w:eastAsia="Times New Roman" w:hAnsi="PT Astra Serif" w:cs="PT Astra Serif"/>
          <w:szCs w:val="28"/>
          <w:lang w:eastAsia="ru-RU"/>
        </w:rPr>
        <w:t xml:space="preserve"> представлены в таблице.</w:t>
      </w:r>
    </w:p>
    <w:p w14:paraId="1DCAC263" w14:textId="77777777" w:rsidR="00250BEC" w:rsidRPr="00B43C8A" w:rsidRDefault="00250BEC" w:rsidP="00250BEC">
      <w:pPr>
        <w:widowControl w:val="0"/>
        <w:jc w:val="right"/>
        <w:rPr>
          <w:rFonts w:ascii="PT Astra Serif" w:eastAsia="Times New Roman" w:hAnsi="PT Astra Serif" w:cs="Times New Roman"/>
          <w:sz w:val="20"/>
          <w:szCs w:val="20"/>
          <w:lang w:eastAsia="ru-RU"/>
        </w:rPr>
      </w:pPr>
    </w:p>
    <w:tbl>
      <w:tblPr>
        <w:tblStyle w:val="102"/>
        <w:tblW w:w="9634" w:type="dxa"/>
        <w:tblLook w:val="04A0" w:firstRow="1" w:lastRow="0" w:firstColumn="1" w:lastColumn="0" w:noHBand="0" w:noVBand="1"/>
      </w:tblPr>
      <w:tblGrid>
        <w:gridCol w:w="5240"/>
        <w:gridCol w:w="2268"/>
        <w:gridCol w:w="2126"/>
      </w:tblGrid>
      <w:tr w:rsidR="00250BEC" w:rsidRPr="00250BEC" w14:paraId="335BC579" w14:textId="77777777" w:rsidTr="00250BEC">
        <w:trPr>
          <w:tblHeader/>
        </w:trPr>
        <w:tc>
          <w:tcPr>
            <w:tcW w:w="5240" w:type="dxa"/>
            <w:shd w:val="clear" w:color="auto" w:fill="auto"/>
            <w:vAlign w:val="center"/>
          </w:tcPr>
          <w:p w14:paraId="0690156D"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Организационно-правовая форма</w:t>
            </w:r>
          </w:p>
        </w:tc>
        <w:tc>
          <w:tcPr>
            <w:tcW w:w="2268" w:type="dxa"/>
            <w:shd w:val="clear" w:color="auto" w:fill="auto"/>
            <w:vAlign w:val="center"/>
          </w:tcPr>
          <w:p w14:paraId="6092B8AF"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Выручка (величина активов) за предшествующий год</w:t>
            </w:r>
          </w:p>
        </w:tc>
        <w:tc>
          <w:tcPr>
            <w:tcW w:w="2126" w:type="dxa"/>
            <w:shd w:val="clear" w:color="auto" w:fill="auto"/>
            <w:vAlign w:val="center"/>
          </w:tcPr>
          <w:p w14:paraId="77C3F35A" w14:textId="77777777" w:rsidR="00250BEC" w:rsidRPr="00250BEC" w:rsidRDefault="00250BEC" w:rsidP="00250BEC">
            <w:pPr>
              <w:widowControl w:val="0"/>
              <w:ind w:firstLine="0"/>
              <w:jc w:val="center"/>
              <w:rPr>
                <w:rFonts w:ascii="PT Astra Serif" w:eastAsia="Calibri" w:hAnsi="PT Astra Serif"/>
                <w:b/>
                <w:sz w:val="20"/>
                <w:szCs w:val="24"/>
              </w:rPr>
            </w:pPr>
            <w:r w:rsidRPr="00250BEC">
              <w:rPr>
                <w:rFonts w:ascii="PT Astra Serif" w:eastAsia="Calibri" w:hAnsi="PT Astra Serif"/>
                <w:b/>
                <w:sz w:val="20"/>
                <w:szCs w:val="24"/>
              </w:rPr>
              <w:t>Объем договоров за предшествующий год</w:t>
            </w:r>
          </w:p>
        </w:tc>
      </w:tr>
      <w:tr w:rsidR="00250BEC" w:rsidRPr="00250BEC" w14:paraId="533468A8" w14:textId="77777777" w:rsidTr="00250BEC">
        <w:tc>
          <w:tcPr>
            <w:tcW w:w="5240" w:type="dxa"/>
            <w:shd w:val="clear" w:color="auto" w:fill="auto"/>
            <w:vAlign w:val="center"/>
          </w:tcPr>
          <w:p w14:paraId="62B37D82"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1. Хозяйственные общества</w:t>
            </w:r>
          </w:p>
          <w:p w14:paraId="1AE2DA2B"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2. Субъекты естественных монополий, организации, осуществляющие регулируемые виды деятельности</w:t>
            </w:r>
          </w:p>
          <w:p w14:paraId="0BD8535B"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3. Дочерние организации, а также дочерние организации дочерних организаций с долей участия организаций, указанных в пунктах 1 и 2 более 50%</w:t>
            </w:r>
          </w:p>
        </w:tc>
        <w:tc>
          <w:tcPr>
            <w:tcW w:w="2268" w:type="dxa"/>
            <w:shd w:val="clear" w:color="auto" w:fill="auto"/>
            <w:vAlign w:val="center"/>
          </w:tcPr>
          <w:p w14:paraId="05027239"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 xml:space="preserve">менее 500 </w:t>
            </w:r>
          </w:p>
          <w:p w14:paraId="49E4B5F8"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млн рублей</w:t>
            </w:r>
          </w:p>
        </w:tc>
        <w:tc>
          <w:tcPr>
            <w:tcW w:w="2126" w:type="dxa"/>
            <w:shd w:val="clear" w:color="auto" w:fill="auto"/>
            <w:vAlign w:val="center"/>
          </w:tcPr>
          <w:p w14:paraId="6625CCF3"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не установлено</w:t>
            </w:r>
          </w:p>
        </w:tc>
      </w:tr>
      <w:tr w:rsidR="00250BEC" w:rsidRPr="00250BEC" w14:paraId="0B5CC431" w14:textId="77777777" w:rsidTr="00250BEC">
        <w:tc>
          <w:tcPr>
            <w:tcW w:w="5240" w:type="dxa"/>
            <w:shd w:val="clear" w:color="auto" w:fill="auto"/>
            <w:vAlign w:val="center"/>
          </w:tcPr>
          <w:p w14:paraId="1C9FE1D4" w14:textId="77777777" w:rsidR="00250BEC" w:rsidRPr="00250BEC" w:rsidRDefault="00250BEC" w:rsidP="00250BEC">
            <w:pPr>
              <w:widowControl w:val="0"/>
              <w:ind w:firstLine="0"/>
              <w:rPr>
                <w:rFonts w:ascii="PT Astra Serif" w:eastAsia="Calibri" w:hAnsi="PT Astra Serif"/>
                <w:sz w:val="20"/>
                <w:szCs w:val="24"/>
              </w:rPr>
            </w:pPr>
            <w:r w:rsidRPr="00250BEC">
              <w:rPr>
                <w:rFonts w:ascii="PT Astra Serif" w:eastAsia="Calibri" w:hAnsi="PT Astra Serif"/>
                <w:sz w:val="20"/>
                <w:szCs w:val="24"/>
              </w:rPr>
              <w:t>4. Автономные учреждения субъекта РФ</w:t>
            </w:r>
          </w:p>
        </w:tc>
        <w:tc>
          <w:tcPr>
            <w:tcW w:w="2268" w:type="dxa"/>
            <w:shd w:val="clear" w:color="auto" w:fill="auto"/>
            <w:vAlign w:val="center"/>
          </w:tcPr>
          <w:p w14:paraId="3CA751F7"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не установлено</w:t>
            </w:r>
          </w:p>
        </w:tc>
        <w:tc>
          <w:tcPr>
            <w:tcW w:w="2126" w:type="dxa"/>
            <w:shd w:val="clear" w:color="auto" w:fill="auto"/>
            <w:vAlign w:val="center"/>
          </w:tcPr>
          <w:p w14:paraId="7A00434C"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 xml:space="preserve">менее 250 </w:t>
            </w:r>
          </w:p>
          <w:p w14:paraId="7722C141" w14:textId="77777777" w:rsidR="00250BEC" w:rsidRPr="00250BEC" w:rsidRDefault="00250BEC" w:rsidP="00250BEC">
            <w:pPr>
              <w:widowControl w:val="0"/>
              <w:ind w:firstLine="0"/>
              <w:jc w:val="center"/>
              <w:rPr>
                <w:rFonts w:ascii="PT Astra Serif" w:eastAsia="Calibri" w:hAnsi="PT Astra Serif"/>
                <w:sz w:val="20"/>
                <w:szCs w:val="24"/>
              </w:rPr>
            </w:pPr>
            <w:r w:rsidRPr="00250BEC">
              <w:rPr>
                <w:rFonts w:ascii="PT Astra Serif" w:eastAsia="Calibri" w:hAnsi="PT Astra Serif"/>
                <w:sz w:val="20"/>
                <w:szCs w:val="24"/>
              </w:rPr>
              <w:t>млн рублей</w:t>
            </w:r>
          </w:p>
        </w:tc>
      </w:tr>
    </w:tbl>
    <w:p w14:paraId="00DF3CBC" w14:textId="77777777" w:rsidR="00250BEC" w:rsidRPr="00B43C8A" w:rsidRDefault="00250BEC" w:rsidP="00250BEC">
      <w:pPr>
        <w:widowControl w:val="0"/>
        <w:rPr>
          <w:rFonts w:ascii="PT Astra Serif" w:eastAsia="Times New Roman" w:hAnsi="PT Astra Serif" w:cs="Times New Roman"/>
          <w:sz w:val="20"/>
          <w:szCs w:val="20"/>
          <w:lang w:eastAsia="ru-RU"/>
        </w:rPr>
      </w:pPr>
    </w:p>
    <w:p w14:paraId="0F299CDD"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Мониторинг соответствия в 2025 году проводился в отношении 91 заказчика (в 2024 году – 86 заказчиков).</w:t>
      </w:r>
    </w:p>
    <w:p w14:paraId="4A739657"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Сравнительный анализ по процедуре оценки соответствия за 2024 - 2025 гг. представлен в таблице.</w:t>
      </w:r>
    </w:p>
    <w:p w14:paraId="4F5B5498" w14:textId="77777777" w:rsidR="00250BEC" w:rsidRPr="00250BEC" w:rsidRDefault="00250BEC" w:rsidP="00250BEC">
      <w:pPr>
        <w:widowControl w:val="0"/>
        <w:ind w:firstLine="0"/>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noProof/>
          <w:szCs w:val="28"/>
          <w:lang w:eastAsia="ru-RU"/>
        </w:rPr>
        <w:drawing>
          <wp:inline distT="0" distB="0" distL="0" distR="0" wp14:anchorId="41401793" wp14:editId="62059CA7">
            <wp:extent cx="6177915" cy="1502796"/>
            <wp:effectExtent l="0" t="0" r="0" b="0"/>
            <wp:docPr id="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05975" cy="1533947"/>
                    </a:xfrm>
                    <a:prstGeom prst="rect">
                      <a:avLst/>
                    </a:prstGeom>
                    <a:noFill/>
                  </pic:spPr>
                </pic:pic>
              </a:graphicData>
            </a:graphic>
          </wp:inline>
        </w:drawing>
      </w:r>
    </w:p>
    <w:p w14:paraId="7DC92A39" w14:textId="77777777" w:rsidR="00250BEC" w:rsidRPr="00B43C8A" w:rsidRDefault="00250BEC" w:rsidP="00250BEC">
      <w:pPr>
        <w:widowControl w:val="0"/>
        <w:rPr>
          <w:rFonts w:ascii="PT Astra Serif" w:eastAsia="Times New Roman" w:hAnsi="PT Astra Serif" w:cs="Times New Roman"/>
          <w:bCs/>
          <w:sz w:val="20"/>
          <w:szCs w:val="20"/>
          <w:lang w:eastAsia="ru-RU"/>
        </w:rPr>
      </w:pPr>
    </w:p>
    <w:p w14:paraId="2965D933" w14:textId="463197BB" w:rsidR="00250BEC" w:rsidRDefault="00250BEC" w:rsidP="00250BEC">
      <w:pPr>
        <w:widowControl w:val="0"/>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По итогам проведения мониторинга соответствия в 2025 году доля выданных Агентством уведомлений/заключений о несоответствии по сравнению с прошлым годом снизилась с 9% до 6%.</w:t>
      </w:r>
    </w:p>
    <w:p w14:paraId="7796B9A5" w14:textId="77777777" w:rsidR="00250BEC" w:rsidRPr="00250BEC" w:rsidRDefault="00250BEC" w:rsidP="00250BEC">
      <w:pPr>
        <w:widowControl w:val="0"/>
        <w:rPr>
          <w:rFonts w:ascii="PT Astra Serif" w:eastAsia="Times New Roman" w:hAnsi="PT Astra Serif" w:cs="Times New Roman"/>
          <w:bCs/>
          <w:szCs w:val="28"/>
          <w:lang w:eastAsia="ru-RU"/>
        </w:rPr>
      </w:pPr>
    </w:p>
    <w:p w14:paraId="434A432F" w14:textId="77777777" w:rsidR="00250BEC" w:rsidRPr="00250BEC" w:rsidRDefault="00250BEC" w:rsidP="00250BEC">
      <w:pPr>
        <w:widowControl w:val="0"/>
        <w:ind w:firstLine="0"/>
        <w:jc w:val="center"/>
        <w:rPr>
          <w:rFonts w:ascii="PT Astra Serif" w:eastAsia="Times New Roman" w:hAnsi="PT Astra Serif" w:cs="Times New Roman"/>
          <w:caps/>
          <w:color w:val="000000"/>
          <w:szCs w:val="28"/>
          <w:lang w:eastAsia="ru-RU"/>
        </w:rPr>
      </w:pPr>
      <w:r w:rsidRPr="00250BEC">
        <w:rPr>
          <w:rFonts w:ascii="PT Astra Serif" w:eastAsia="Times New Roman" w:hAnsi="PT Astra Serif" w:cs="Times New Roman"/>
          <w:b/>
          <w:szCs w:val="28"/>
          <w:lang w:eastAsia="ru-RU"/>
        </w:rPr>
        <w:t>Регулирование сферы закупок Ульяновской области</w:t>
      </w:r>
    </w:p>
    <w:p w14:paraId="13002AC2" w14:textId="77777777" w:rsidR="00250BEC" w:rsidRPr="00250BEC" w:rsidRDefault="00250BEC" w:rsidP="00250BEC">
      <w:pPr>
        <w:widowControl w:val="0"/>
        <w:rPr>
          <w:rFonts w:ascii="PT Astra Serif" w:eastAsia="Times New Roman" w:hAnsi="PT Astra Serif" w:cs="Times New Roman"/>
          <w:color w:val="000000"/>
          <w:szCs w:val="28"/>
          <w:lang w:eastAsia="ru-RU"/>
        </w:rPr>
      </w:pPr>
    </w:p>
    <w:p w14:paraId="08750F4D"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Регулирование сферы закупок по Закону 44-ФЗ и 223-ФЗ осуществляется Агентством путем реализации комплекса мероприятий, </w:t>
      </w:r>
      <w:r w:rsidRPr="00250BEC">
        <w:rPr>
          <w:rFonts w:ascii="PT Astra Serif" w:eastAsia="Times New Roman" w:hAnsi="PT Astra Serif" w:cs="Times New Roman"/>
          <w:color w:val="000000"/>
          <w:szCs w:val="28"/>
          <w:lang w:eastAsia="ru-RU"/>
        </w:rPr>
        <w:lastRenderedPageBreak/>
        <w:t xml:space="preserve">направленных на совершенствование закупочной системы региона </w:t>
      </w:r>
      <w:r w:rsidRPr="00250BEC">
        <w:rPr>
          <w:rFonts w:ascii="PT Astra Serif" w:eastAsia="Times New Roman" w:hAnsi="PT Astra Serif" w:cs="Times New Roman"/>
          <w:color w:val="000000"/>
          <w:szCs w:val="28"/>
          <w:lang w:eastAsia="ru-RU"/>
        </w:rPr>
        <w:br/>
        <w:t>и повышение ее эффективности в целом.</w:t>
      </w:r>
    </w:p>
    <w:p w14:paraId="0DD8A0A4" w14:textId="77777777" w:rsidR="00250BEC" w:rsidRPr="00250BEC" w:rsidRDefault="00250BEC" w:rsidP="00250BEC">
      <w:pPr>
        <w:widowControl w:val="0"/>
        <w:rPr>
          <w:rFonts w:ascii="PT Astra Serif" w:eastAsia="Times New Roman" w:hAnsi="PT Astra Serif" w:cs="Times New Roman"/>
          <w:color w:val="000000"/>
          <w:szCs w:val="28"/>
          <w:lang w:eastAsia="ru-RU"/>
        </w:rPr>
      </w:pPr>
    </w:p>
    <w:p w14:paraId="4A9778BD" w14:textId="77777777" w:rsidR="00250BEC" w:rsidRPr="00250BEC" w:rsidRDefault="00250BEC" w:rsidP="00250BEC">
      <w:pPr>
        <w:widowControl w:val="0"/>
        <w:ind w:firstLine="0"/>
        <w:jc w:val="center"/>
        <w:rPr>
          <w:rFonts w:ascii="PT Astra Serif" w:hAnsi="PT Astra Serif" w:cs="Mangal"/>
          <w:b/>
          <w:i/>
          <w:color w:val="000000"/>
          <w:kern w:val="2"/>
          <w:szCs w:val="28"/>
          <w:lang w:eastAsia="hi-IN" w:bidi="hi-IN"/>
        </w:rPr>
      </w:pPr>
      <w:r w:rsidRPr="00250BEC">
        <w:rPr>
          <w:rFonts w:ascii="PT Astra Serif" w:hAnsi="PT Astra Serif" w:cs="Mangal"/>
          <w:b/>
          <w:i/>
          <w:color w:val="000000"/>
          <w:kern w:val="2"/>
          <w:szCs w:val="28"/>
          <w:lang w:eastAsia="hi-IN" w:bidi="hi-IN"/>
        </w:rPr>
        <w:t xml:space="preserve">Мониторинг законодательства </w:t>
      </w:r>
    </w:p>
    <w:p w14:paraId="2FFFB73D" w14:textId="77777777" w:rsidR="00250BEC" w:rsidRPr="00250BEC" w:rsidRDefault="00250BEC" w:rsidP="00250BEC">
      <w:pPr>
        <w:widowControl w:val="0"/>
        <w:rPr>
          <w:rFonts w:ascii="PT Astra Serif" w:hAnsi="PT Astra Serif" w:cs="Mangal"/>
          <w:color w:val="000000"/>
          <w:kern w:val="2"/>
          <w:szCs w:val="28"/>
          <w:lang w:eastAsia="hi-IN" w:bidi="hi-IN"/>
        </w:rPr>
      </w:pPr>
    </w:p>
    <w:p w14:paraId="00256B11"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Агентство на постоянной основе осуществляет:</w:t>
      </w:r>
    </w:p>
    <w:p w14:paraId="36891EBA"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ведение, актуализацию и постоянное пополнение разделов «44-ФЗ» </w:t>
      </w:r>
      <w:r w:rsidRPr="00250BEC">
        <w:rPr>
          <w:rFonts w:ascii="PT Astra Serif" w:hAnsi="PT Astra Serif" w:cs="Mangal"/>
          <w:color w:val="000000"/>
          <w:kern w:val="2"/>
          <w:szCs w:val="28"/>
          <w:lang w:eastAsia="hi-IN" w:bidi="hi-IN"/>
        </w:rPr>
        <w:br/>
        <w:t xml:space="preserve">и «223-ФЗ» на официальном сайте Агентства </w:t>
      </w:r>
      <w:r w:rsidRPr="00250BEC">
        <w:rPr>
          <w:rFonts w:ascii="PT Astra Serif" w:eastAsia="Times New Roman" w:hAnsi="PT Astra Serif" w:cs="Times New Roman"/>
          <w:color w:val="000000"/>
          <w:szCs w:val="28"/>
          <w:lang w:eastAsia="ru-RU"/>
        </w:rPr>
        <w:t>https://goszakupki73.gosuslugi.ru</w:t>
      </w:r>
      <w:r w:rsidRPr="00250BEC">
        <w:rPr>
          <w:rFonts w:ascii="PT Astra Serif" w:hAnsi="PT Astra Serif" w:cs="Mangal"/>
          <w:color w:val="000000"/>
          <w:kern w:val="2"/>
          <w:szCs w:val="28"/>
          <w:lang w:eastAsia="hi-IN" w:bidi="hi-IN"/>
        </w:rPr>
        <w:t xml:space="preserve"> (178 документов и материалов);</w:t>
      </w:r>
    </w:p>
    <w:p w14:paraId="456C9E36"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доведение актуальной информации в сфере закупок до заказчиков </w:t>
      </w:r>
      <w:r w:rsidRPr="00250BEC">
        <w:rPr>
          <w:rFonts w:ascii="PT Astra Serif" w:hAnsi="PT Astra Serif" w:cs="Mangal"/>
          <w:color w:val="000000"/>
          <w:kern w:val="2"/>
          <w:szCs w:val="28"/>
          <w:lang w:eastAsia="hi-IN" w:bidi="hi-IN"/>
        </w:rPr>
        <w:br/>
        <w:t>и уполномоченных органов муниципальных образований Ульяновской области (было подготовлено и направлено 74</w:t>
      </w:r>
      <w:r w:rsidRPr="00250BEC">
        <w:rPr>
          <w:rFonts w:ascii="PT Astra Serif" w:hAnsi="PT Astra Serif" w:cs="Mangal"/>
          <w:b/>
          <w:color w:val="000000"/>
          <w:kern w:val="2"/>
          <w:szCs w:val="28"/>
          <w:lang w:eastAsia="hi-IN" w:bidi="hi-IN"/>
        </w:rPr>
        <w:t xml:space="preserve"> </w:t>
      </w:r>
      <w:r w:rsidRPr="00250BEC">
        <w:rPr>
          <w:rFonts w:ascii="PT Astra Serif" w:hAnsi="PT Astra Serif" w:cs="Mangal"/>
          <w:color w:val="000000"/>
          <w:kern w:val="2"/>
          <w:szCs w:val="28"/>
          <w:lang w:eastAsia="hi-IN" w:bidi="hi-IN"/>
        </w:rPr>
        <w:t>информационных справки);</w:t>
      </w:r>
    </w:p>
    <w:p w14:paraId="72FE6145"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ведение профильных чатов в мессенджерах по закупкам по Законам </w:t>
      </w:r>
      <w:r w:rsidRPr="00250BEC">
        <w:rPr>
          <w:rFonts w:ascii="PT Astra Serif" w:hAnsi="PT Astra Serif" w:cs="Mangal"/>
          <w:color w:val="000000"/>
          <w:kern w:val="2"/>
          <w:szCs w:val="28"/>
          <w:lang w:eastAsia="hi-IN" w:bidi="hi-IN"/>
        </w:rPr>
        <w:br/>
        <w:t>44-ФЗ и 223-ФЗ.</w:t>
      </w:r>
    </w:p>
    <w:p w14:paraId="23E6843C" w14:textId="77777777" w:rsidR="00250BEC" w:rsidRPr="00250BEC" w:rsidRDefault="00250BEC" w:rsidP="00250BEC">
      <w:pPr>
        <w:widowControl w:val="0"/>
        <w:rPr>
          <w:rFonts w:ascii="PT Astra Serif" w:hAnsi="PT Astra Serif" w:cs="Mangal"/>
          <w:color w:val="000000"/>
          <w:kern w:val="2"/>
          <w:szCs w:val="28"/>
          <w:lang w:eastAsia="hi-IN" w:bidi="hi-IN"/>
        </w:rPr>
      </w:pPr>
    </w:p>
    <w:p w14:paraId="5D6BC87D" w14:textId="77777777" w:rsidR="00250BEC" w:rsidRPr="00250BEC" w:rsidRDefault="00250BEC" w:rsidP="00250BEC">
      <w:pPr>
        <w:widowControl w:val="0"/>
        <w:ind w:firstLine="0"/>
        <w:contextualSpacing/>
        <w:jc w:val="center"/>
        <w:rPr>
          <w:rFonts w:ascii="PT Astra Serif" w:hAnsi="PT Astra Serif" w:cs="Mangal"/>
          <w:b/>
          <w:i/>
          <w:color w:val="000000"/>
          <w:kern w:val="2"/>
          <w:szCs w:val="28"/>
          <w:lang w:eastAsia="hi-IN" w:bidi="hi-IN"/>
        </w:rPr>
      </w:pPr>
      <w:r w:rsidRPr="00250BEC">
        <w:rPr>
          <w:rFonts w:ascii="PT Astra Serif" w:hAnsi="PT Astra Serif" w:cs="Mangal"/>
          <w:b/>
          <w:i/>
          <w:color w:val="000000"/>
          <w:kern w:val="2"/>
          <w:szCs w:val="28"/>
          <w:lang w:eastAsia="hi-IN" w:bidi="hi-IN"/>
        </w:rPr>
        <w:t xml:space="preserve">Формирование, ведение и актуализация нормативной правовой базы </w:t>
      </w:r>
    </w:p>
    <w:p w14:paraId="0AF74352" w14:textId="77777777" w:rsidR="00250BEC" w:rsidRPr="00250BEC" w:rsidRDefault="00250BEC" w:rsidP="00250BEC">
      <w:pPr>
        <w:widowControl w:val="0"/>
        <w:ind w:firstLine="0"/>
        <w:contextualSpacing/>
        <w:jc w:val="center"/>
        <w:rPr>
          <w:rFonts w:ascii="PT Astra Serif" w:hAnsi="PT Astra Serif" w:cs="Mangal"/>
          <w:b/>
          <w:color w:val="000000"/>
          <w:kern w:val="2"/>
          <w:szCs w:val="28"/>
          <w:lang w:eastAsia="hi-IN" w:bidi="hi-IN"/>
        </w:rPr>
      </w:pPr>
    </w:p>
    <w:p w14:paraId="4ADE6772" w14:textId="77777777" w:rsidR="00250BEC" w:rsidRPr="00250BEC" w:rsidRDefault="00250BEC" w:rsidP="00250BEC">
      <w:pPr>
        <w:widowControl w:val="0"/>
        <w:rPr>
          <w:rFonts w:ascii="PT Astra Serif" w:hAnsi="PT Astra Serif" w:cs="Mangal"/>
          <w:bCs/>
          <w:color w:val="000000"/>
          <w:kern w:val="2"/>
          <w:szCs w:val="28"/>
          <w:lang w:eastAsia="hi-IN" w:bidi="hi-IN"/>
        </w:rPr>
      </w:pPr>
      <w:r w:rsidRPr="00250BEC">
        <w:rPr>
          <w:rFonts w:ascii="PT Astra Serif" w:hAnsi="PT Astra Serif" w:cs="Mangal"/>
          <w:color w:val="000000"/>
          <w:kern w:val="2"/>
          <w:szCs w:val="28"/>
          <w:lang w:eastAsia="hi-IN" w:bidi="hi-IN"/>
        </w:rPr>
        <w:t xml:space="preserve">В течение 2025 года было разработано (принято) </w:t>
      </w:r>
      <w:r w:rsidRPr="00250BEC">
        <w:rPr>
          <w:rFonts w:ascii="PT Astra Serif" w:hAnsi="PT Astra Serif" w:cs="Mangal"/>
          <w:bCs/>
          <w:color w:val="000000"/>
          <w:kern w:val="2"/>
          <w:szCs w:val="28"/>
          <w:lang w:eastAsia="hi-IN" w:bidi="hi-IN"/>
        </w:rPr>
        <w:t>9 региональных правовых актов сфере закупок и 2 проекта правовых актов.</w:t>
      </w:r>
    </w:p>
    <w:p w14:paraId="51336544"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В рамках этого мероприятия Агентство осуществляло:</w:t>
      </w:r>
    </w:p>
    <w:p w14:paraId="3BC0CE46"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hAnsi="PT Astra Serif" w:cs="Mangal"/>
          <w:color w:val="000000"/>
          <w:kern w:val="2"/>
          <w:szCs w:val="28"/>
          <w:lang w:eastAsia="hi-IN" w:bidi="hi-IN"/>
        </w:rPr>
        <w:t>а) взаимодействие с федеральными органами в части формирования предложений по совершенствованию законодательства в сфере закупок. За отчетный период было направлено в федеральные органы</w:t>
      </w:r>
      <w:r w:rsidRPr="00250BEC">
        <w:rPr>
          <w:rFonts w:ascii="PT Astra Serif" w:eastAsia="Times New Roman" w:hAnsi="PT Astra Serif" w:cs="Times New Roman"/>
          <w:color w:val="000000"/>
          <w:szCs w:val="28"/>
          <w:lang w:eastAsia="ru-RU"/>
        </w:rPr>
        <w:t xml:space="preserve"> </w:t>
      </w:r>
      <w:r w:rsidRPr="00250BEC">
        <w:rPr>
          <w:rFonts w:ascii="PT Astra Serif" w:hAnsi="PT Astra Serif" w:cs="Mangal"/>
          <w:color w:val="000000"/>
          <w:kern w:val="2"/>
          <w:szCs w:val="28"/>
          <w:lang w:eastAsia="hi-IN" w:bidi="hi-IN"/>
        </w:rPr>
        <w:t>6</w:t>
      </w:r>
      <w:r w:rsidRPr="00250BEC">
        <w:rPr>
          <w:rFonts w:ascii="PT Astra Serif" w:hAnsi="PT Astra Serif" w:cs="Mangal"/>
          <w:b/>
          <w:color w:val="000000"/>
          <w:kern w:val="2"/>
          <w:szCs w:val="28"/>
          <w:lang w:eastAsia="hi-IN" w:bidi="hi-IN"/>
        </w:rPr>
        <w:t xml:space="preserve"> </w:t>
      </w:r>
      <w:r w:rsidRPr="00250BEC">
        <w:rPr>
          <w:rFonts w:ascii="PT Astra Serif" w:hAnsi="PT Astra Serif" w:cs="Mangal"/>
          <w:color w:val="000000"/>
          <w:kern w:val="2"/>
          <w:szCs w:val="28"/>
          <w:lang w:eastAsia="hi-IN" w:bidi="hi-IN"/>
        </w:rPr>
        <w:t xml:space="preserve">пакетов </w:t>
      </w:r>
      <w:r w:rsidRPr="00250BEC">
        <w:rPr>
          <w:rFonts w:ascii="PT Astra Serif" w:eastAsia="Times New Roman" w:hAnsi="PT Astra Serif" w:cs="Times New Roman"/>
          <w:color w:val="000000"/>
          <w:szCs w:val="28"/>
          <w:lang w:eastAsia="ru-RU"/>
        </w:rPr>
        <w:t>предложений/запросов о разъяснении законодательства в сфере закупок;</w:t>
      </w:r>
    </w:p>
    <w:p w14:paraId="6EB634D5"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б) взаимодействие с АО «Корпорация МСП» по вопросам оценки </w:t>
      </w:r>
      <w:r w:rsidRPr="00250BEC">
        <w:rPr>
          <w:rFonts w:ascii="PT Astra Serif" w:eastAsia="Times New Roman" w:hAnsi="PT Astra Serif" w:cs="Times New Roman"/>
          <w:color w:val="000000"/>
          <w:szCs w:val="28"/>
          <w:lang w:eastAsia="ru-RU"/>
        </w:rPr>
        <w:br/>
        <w:t xml:space="preserve">и мониторинга соответствия. За отчетный период было подготовлено </w:t>
      </w:r>
      <w:r w:rsidRPr="00250BEC">
        <w:rPr>
          <w:rFonts w:ascii="PT Astra Serif" w:eastAsia="Times New Roman" w:hAnsi="PT Astra Serif" w:cs="Times New Roman"/>
          <w:color w:val="000000"/>
          <w:szCs w:val="28"/>
          <w:lang w:eastAsia="ru-RU"/>
        </w:rPr>
        <w:br/>
        <w:t>и направлено 7 материалов;</w:t>
      </w:r>
    </w:p>
    <w:p w14:paraId="5F15D4AD"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в) взаимодействие </w:t>
      </w:r>
      <w:proofErr w:type="gramStart"/>
      <w:r w:rsidRPr="00250BEC">
        <w:rPr>
          <w:rFonts w:ascii="PT Astra Serif" w:eastAsia="Times New Roman" w:hAnsi="PT Astra Serif" w:cs="Times New Roman"/>
          <w:color w:val="000000"/>
          <w:szCs w:val="28"/>
          <w:lang w:eastAsia="ru-RU"/>
        </w:rPr>
        <w:t>с</w:t>
      </w:r>
      <w:proofErr w:type="gramEnd"/>
      <w:r w:rsidRPr="00250BEC">
        <w:rPr>
          <w:rFonts w:ascii="PT Astra Serif" w:eastAsia="Times New Roman" w:hAnsi="PT Astra Serif" w:cs="Times New Roman"/>
          <w:color w:val="000000"/>
          <w:szCs w:val="28"/>
          <w:lang w:eastAsia="ru-RU"/>
        </w:rPr>
        <w:t xml:space="preserve"> НО «Союз закупщиков» (далее – Союз) – правопреемником общероссийской общественной организации «Гильдия отечественных закупщиков и специалистов по закупкам и продажам».</w:t>
      </w:r>
    </w:p>
    <w:p w14:paraId="638CD014"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Агентство входит в состав Совета регионов Союза и ежемесячно принимает участие в его заседаниях в формате онлайн, также участвует </w:t>
      </w:r>
      <w:r w:rsidRPr="00250BEC">
        <w:rPr>
          <w:rFonts w:ascii="PT Astra Serif" w:eastAsia="Times New Roman" w:hAnsi="PT Astra Serif" w:cs="Times New Roman"/>
          <w:color w:val="000000"/>
          <w:szCs w:val="28"/>
          <w:lang w:eastAsia="ru-RU"/>
        </w:rPr>
        <w:br/>
        <w:t>в проведении опросов, обсуждении нормативных правовых актов.</w:t>
      </w:r>
    </w:p>
    <w:p w14:paraId="2C178A4D"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Деятельность Союза направлена на развитие сферы регулируемых государством закупок, выработку согласованных предложений по вопросам совершенствования законодательства и повышение эффективности системы закупок субъектов государственного и коммерческого секторов экономики. </w:t>
      </w:r>
      <w:r w:rsidRPr="00250BEC">
        <w:rPr>
          <w:rFonts w:ascii="PT Astra Serif" w:eastAsia="Times New Roman" w:hAnsi="PT Astra Serif" w:cs="Times New Roman"/>
          <w:color w:val="000000"/>
          <w:szCs w:val="28"/>
          <w:lang w:eastAsia="ru-RU"/>
        </w:rPr>
        <w:br/>
        <w:t xml:space="preserve">В Союз входят государственные и муниципальные органы государственной власти, компании с государственным участием, представители бизнеса </w:t>
      </w:r>
      <w:r w:rsidRPr="00250BEC">
        <w:rPr>
          <w:rFonts w:ascii="PT Astra Serif" w:eastAsia="Times New Roman" w:hAnsi="PT Astra Serif" w:cs="Times New Roman"/>
          <w:color w:val="000000"/>
          <w:szCs w:val="28"/>
          <w:lang w:eastAsia="ru-RU"/>
        </w:rPr>
        <w:br/>
        <w:t>и эксперты в области закупок.</w:t>
      </w:r>
    </w:p>
    <w:p w14:paraId="1E216931"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г) актуализацию типового положения о закупке (с учетом изменений законодательства).</w:t>
      </w:r>
    </w:p>
    <w:p w14:paraId="02CD3FA4"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Типовое положение о закупке по Закону 223-ФЗ утверждено приказом Агентства от 14.11.2022 № 6-Пр, согласно которому оно распространяется </w:t>
      </w:r>
      <w:r w:rsidRPr="00250BEC">
        <w:rPr>
          <w:rFonts w:ascii="PT Astra Serif" w:eastAsia="Times New Roman" w:hAnsi="PT Astra Serif" w:cs="Times New Roman"/>
          <w:color w:val="000000"/>
          <w:szCs w:val="28"/>
          <w:lang w:eastAsia="ru-RU"/>
        </w:rPr>
        <w:br/>
        <w:t xml:space="preserve">на автономные и бюджетные учреждения регионального уровня (в 2025 году </w:t>
      </w:r>
      <w:r w:rsidRPr="00250BEC">
        <w:rPr>
          <w:rFonts w:ascii="PT Astra Serif" w:eastAsia="Times New Roman" w:hAnsi="PT Astra Serif" w:cs="Times New Roman"/>
          <w:color w:val="000000"/>
          <w:szCs w:val="28"/>
          <w:lang w:eastAsia="ru-RU"/>
        </w:rPr>
        <w:lastRenderedPageBreak/>
        <w:t xml:space="preserve">– на 69 региональных заказчиков). </w:t>
      </w:r>
    </w:p>
    <w:p w14:paraId="170F2AF5"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В 2025 году была проведена актуализация типового положения </w:t>
      </w:r>
      <w:r w:rsidRPr="00250BEC">
        <w:rPr>
          <w:rFonts w:ascii="PT Astra Serif" w:eastAsia="Times New Roman" w:hAnsi="PT Astra Serif" w:cs="Times New Roman"/>
          <w:color w:val="000000"/>
          <w:szCs w:val="28"/>
          <w:lang w:eastAsia="ru-RU"/>
        </w:rPr>
        <w:br/>
        <w:t xml:space="preserve">о закупке, по итогам которой Агентством проведен мониторинг положений </w:t>
      </w:r>
      <w:r w:rsidRPr="00250BEC">
        <w:rPr>
          <w:rFonts w:ascii="PT Astra Serif" w:eastAsia="Times New Roman" w:hAnsi="PT Astra Serif" w:cs="Times New Roman"/>
          <w:color w:val="000000"/>
          <w:szCs w:val="28"/>
          <w:lang w:eastAsia="ru-RU"/>
        </w:rPr>
        <w:br/>
        <w:t>о закупке автономных и бюджетных учреждений на предмет соответствия типовому положению и результаты доведены до сведения учредителей.</w:t>
      </w:r>
    </w:p>
    <w:p w14:paraId="3BEFAB35" w14:textId="77777777" w:rsidR="00250BEC" w:rsidRPr="00250BEC" w:rsidRDefault="00250BEC" w:rsidP="00250BEC">
      <w:pPr>
        <w:widowControl w:val="0"/>
        <w:rPr>
          <w:rFonts w:ascii="PT Astra Serif" w:eastAsia="Times New Roman" w:hAnsi="PT Astra Serif" w:cs="Times New Roman"/>
          <w:color w:val="000000"/>
          <w:szCs w:val="28"/>
          <w:lang w:eastAsia="ru-RU"/>
        </w:rPr>
      </w:pPr>
    </w:p>
    <w:p w14:paraId="7487F58E" w14:textId="77777777" w:rsidR="00250BEC" w:rsidRPr="00250BEC" w:rsidRDefault="00250BEC" w:rsidP="00250BEC">
      <w:pPr>
        <w:widowControl w:val="0"/>
        <w:ind w:firstLine="0"/>
        <w:contextualSpacing/>
        <w:jc w:val="center"/>
        <w:rPr>
          <w:rFonts w:ascii="PT Astra Serif" w:hAnsi="PT Astra Serif" w:cs="Mangal"/>
          <w:b/>
          <w:i/>
          <w:color w:val="000000"/>
          <w:kern w:val="2"/>
          <w:szCs w:val="28"/>
          <w:lang w:eastAsia="hi-IN" w:bidi="hi-IN"/>
        </w:rPr>
      </w:pPr>
      <w:r w:rsidRPr="00250BEC">
        <w:rPr>
          <w:rFonts w:ascii="PT Astra Serif" w:hAnsi="PT Astra Serif" w:cs="Mangal"/>
          <w:b/>
          <w:i/>
          <w:color w:val="000000"/>
          <w:kern w:val="2"/>
          <w:szCs w:val="28"/>
          <w:lang w:eastAsia="hi-IN" w:bidi="hi-IN"/>
        </w:rPr>
        <w:t>Правовой анализ проектов муниципальных нормативных правовых актов</w:t>
      </w:r>
    </w:p>
    <w:p w14:paraId="1EE4389B" w14:textId="77777777" w:rsidR="00250BEC" w:rsidRPr="00250BEC" w:rsidRDefault="00250BEC" w:rsidP="00250BEC">
      <w:pPr>
        <w:widowControl w:val="0"/>
        <w:ind w:firstLine="0"/>
        <w:contextualSpacing/>
        <w:jc w:val="center"/>
        <w:rPr>
          <w:rFonts w:ascii="PT Astra Serif" w:hAnsi="PT Astra Serif" w:cs="Mangal"/>
          <w:b/>
          <w:color w:val="000000"/>
          <w:kern w:val="2"/>
          <w:szCs w:val="28"/>
          <w:lang w:eastAsia="hi-IN" w:bidi="hi-IN"/>
        </w:rPr>
      </w:pPr>
    </w:p>
    <w:p w14:paraId="345C5B11" w14:textId="77777777" w:rsidR="00250BEC" w:rsidRPr="00250BEC" w:rsidRDefault="00250BEC" w:rsidP="00250BEC">
      <w:pPr>
        <w:widowControl w:val="0"/>
        <w:ind w:firstLine="465"/>
        <w:rPr>
          <w:rFonts w:ascii="PT Astra Serif" w:hAnsi="PT Astra Serif" w:cs="Times New Roman"/>
          <w:szCs w:val="28"/>
          <w:lang w:eastAsia="ru-RU"/>
        </w:rPr>
      </w:pPr>
      <w:r w:rsidRPr="00250BEC">
        <w:rPr>
          <w:rFonts w:ascii="PT Astra Serif" w:hAnsi="PT Astra Serif" w:cs="Mangal"/>
          <w:color w:val="000000"/>
          <w:kern w:val="2"/>
          <w:szCs w:val="28"/>
          <w:lang w:eastAsia="hi-IN" w:bidi="hi-IN"/>
        </w:rPr>
        <w:t xml:space="preserve">В рамках реализации распоряжения Губернатора Ульяновской области </w:t>
      </w:r>
      <w:r w:rsidRPr="00250BEC">
        <w:rPr>
          <w:rFonts w:ascii="PT Astra Serif" w:hAnsi="PT Astra Serif" w:cs="Mangal"/>
          <w:color w:val="000000"/>
          <w:kern w:val="2"/>
          <w:szCs w:val="28"/>
          <w:lang w:eastAsia="hi-IN" w:bidi="hi-IN"/>
        </w:rPr>
        <w:br/>
        <w:t xml:space="preserve">от 20.09.2018 № 1162-р «О совершенствовании </w:t>
      </w:r>
      <w:r w:rsidRPr="00250BEC">
        <w:rPr>
          <w:rFonts w:ascii="PT Astra Serif" w:hAnsi="PT Astra Serif" w:cs="Times New Roman"/>
          <w:szCs w:val="28"/>
          <w:lang w:eastAsia="ru-RU"/>
        </w:rPr>
        <w:t xml:space="preserve">правотворческой деятельности органов местного самоуправления муниципальных образований Ульяновской области» подготовлено 97 заключений по проектам муниципальных актов </w:t>
      </w:r>
      <w:r w:rsidRPr="00250BEC">
        <w:rPr>
          <w:rFonts w:ascii="PT Astra Serif" w:hAnsi="PT Astra Serif" w:cs="Times New Roman"/>
          <w:szCs w:val="28"/>
          <w:lang w:eastAsia="ru-RU"/>
        </w:rPr>
        <w:br/>
        <w:t>(в 2024 году – 91 заключение).</w:t>
      </w:r>
    </w:p>
    <w:p w14:paraId="561E5CF6" w14:textId="77777777" w:rsidR="00250BEC" w:rsidRPr="00250BEC" w:rsidRDefault="00250BEC" w:rsidP="00250BEC">
      <w:pPr>
        <w:widowControl w:val="0"/>
        <w:ind w:firstLine="465"/>
        <w:rPr>
          <w:rFonts w:ascii="PT Astra Serif" w:hAnsi="PT Astra Serif" w:cs="Mangal"/>
          <w:color w:val="000000"/>
          <w:kern w:val="2"/>
          <w:szCs w:val="28"/>
          <w:lang w:eastAsia="hi-IN" w:bidi="hi-IN"/>
        </w:rPr>
      </w:pPr>
    </w:p>
    <w:p w14:paraId="65E135A3" w14:textId="77777777" w:rsidR="00250BEC" w:rsidRPr="00250BEC" w:rsidRDefault="00250BEC" w:rsidP="00250BEC">
      <w:pPr>
        <w:widowControl w:val="0"/>
        <w:ind w:firstLine="0"/>
        <w:jc w:val="center"/>
        <w:rPr>
          <w:rFonts w:ascii="PT Astra Serif" w:hAnsi="PT Astra Serif" w:cs="Mangal"/>
          <w:b/>
          <w:i/>
          <w:color w:val="000000"/>
          <w:kern w:val="2"/>
          <w:szCs w:val="28"/>
          <w:lang w:eastAsia="hi-IN" w:bidi="hi-IN"/>
        </w:rPr>
      </w:pPr>
      <w:r w:rsidRPr="00250BEC">
        <w:rPr>
          <w:rFonts w:ascii="PT Astra Serif" w:hAnsi="PT Astra Serif" w:cs="Mangal"/>
          <w:b/>
          <w:i/>
          <w:color w:val="000000"/>
          <w:kern w:val="2"/>
          <w:szCs w:val="28"/>
          <w:lang w:eastAsia="hi-IN" w:bidi="hi-IN"/>
        </w:rPr>
        <w:t xml:space="preserve">Мониторинг закупок </w:t>
      </w:r>
    </w:p>
    <w:p w14:paraId="0BD39A1D" w14:textId="77777777" w:rsidR="00250BEC" w:rsidRPr="00250BEC" w:rsidRDefault="00250BEC" w:rsidP="00250BEC">
      <w:pPr>
        <w:widowControl w:val="0"/>
        <w:jc w:val="center"/>
        <w:rPr>
          <w:rFonts w:ascii="PT Astra Serif" w:hAnsi="PT Astra Serif" w:cs="Mangal"/>
          <w:color w:val="000000"/>
          <w:kern w:val="2"/>
          <w:szCs w:val="28"/>
          <w:lang w:eastAsia="hi-IN" w:bidi="hi-IN"/>
        </w:rPr>
      </w:pPr>
    </w:p>
    <w:p w14:paraId="4FCC1397"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Сбор, обработка, обобщение, систематизация, анализ и оценка информации об осуществлении заказчиками Ульяновской области закупок для государственных и муниципальных нужд проводится ежегодно/ ежеквартально/ежемесячно/по запросам (подготавливаются отчеты по закупкам, иные аналитические материалы).</w:t>
      </w:r>
    </w:p>
    <w:p w14:paraId="63186584"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Во исполнение распоряжения Губернатора Ульяновской области </w:t>
      </w:r>
      <w:r w:rsidRPr="00250BEC">
        <w:rPr>
          <w:rFonts w:ascii="PT Astra Serif" w:hAnsi="PT Astra Serif" w:cs="Mangal"/>
          <w:color w:val="000000"/>
          <w:kern w:val="2"/>
          <w:szCs w:val="28"/>
          <w:lang w:eastAsia="hi-IN" w:bidi="hi-IN"/>
        </w:rPr>
        <w:br/>
        <w:t xml:space="preserve">от 07.08.2018 № 915-р, распоряжения Агентства государственных закупок Ульяновской области от 05.06.2020 № 10-р «Об обеспечении формирования </w:t>
      </w:r>
      <w:r w:rsidRPr="00250BEC">
        <w:rPr>
          <w:rFonts w:ascii="PT Astra Serif" w:hAnsi="PT Astra Serif" w:cs="Mangal"/>
          <w:color w:val="000000"/>
          <w:kern w:val="2"/>
          <w:szCs w:val="28"/>
          <w:lang w:eastAsia="hi-IN" w:bidi="hi-IN"/>
        </w:rPr>
        <w:br/>
        <w:t xml:space="preserve">и анализа сводного плана-графика» ежегодно осуществляется мониторинг планов-графиков закупок заказчиков Ульяновской области. В рамках данного направления </w:t>
      </w:r>
      <w:r w:rsidRPr="00250BEC">
        <w:rPr>
          <w:rFonts w:ascii="PT Astra Serif" w:eastAsia="Times New Roman" w:hAnsi="PT Astra Serif" w:cs="Times New Roman"/>
          <w:color w:val="000000"/>
          <w:szCs w:val="28"/>
          <w:lang w:eastAsia="ru-RU"/>
        </w:rPr>
        <w:t xml:space="preserve">проведен анализ размещенных </w:t>
      </w:r>
      <w:r w:rsidRPr="00250BEC">
        <w:rPr>
          <w:rFonts w:ascii="PT Astra Serif" w:hAnsi="PT Astra Serif" w:cs="Mangal"/>
          <w:color w:val="000000"/>
          <w:kern w:val="2"/>
          <w:szCs w:val="28"/>
          <w:lang w:eastAsia="hi-IN" w:bidi="hi-IN"/>
        </w:rPr>
        <w:t>планов-графиков закупок государственных заказчиков Ульяновской области на 2025 (2026-2027 года), итоги которого направлены заказчикам (по состоянию на 01.02.2025 заказчиками размещено в ЕИС 235 планов-графиков, что составило 98%).</w:t>
      </w:r>
    </w:p>
    <w:p w14:paraId="39FB54BE" w14:textId="77777777" w:rsidR="00250BEC" w:rsidRPr="00250BEC" w:rsidRDefault="00250BEC" w:rsidP="00250BEC">
      <w:pPr>
        <w:widowControl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С помощью программно-аппаратных средств ГИС «АЦК-Госзаказ» ежемесячно формируется сводный план-график государственных закупок. </w:t>
      </w:r>
    </w:p>
    <w:p w14:paraId="79EEC40D"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В соответствии с постановлением Правительства Ульяновской области 13.11.2018 № 551-П Агентством ежеквартально проводился мониторинг закупок товаров, работ, услуг для обеспечения государственных нужд Ульяновской области, итоги которого размещены в ЕИС.</w:t>
      </w:r>
    </w:p>
    <w:p w14:paraId="57E42E6B" w14:textId="77777777" w:rsidR="00250BEC" w:rsidRPr="00250BEC" w:rsidRDefault="00250BEC" w:rsidP="00250BEC">
      <w:pPr>
        <w:widowControl w:val="0"/>
        <w:autoSpaceDE w:val="0"/>
        <w:autoSpaceDN w:val="0"/>
        <w:adjustRightInd w:val="0"/>
        <w:rPr>
          <w:rFonts w:ascii="PT Astra Serif" w:eastAsia="Times New Roman" w:hAnsi="PT Astra Serif" w:cs="Times New Roman"/>
          <w:szCs w:val="28"/>
          <w:lang w:eastAsia="ru-RU"/>
        </w:rPr>
      </w:pPr>
      <w:r w:rsidRPr="00250BEC">
        <w:rPr>
          <w:rFonts w:ascii="PT Astra Serif" w:eastAsia="Times New Roman" w:hAnsi="PT Astra Serif" w:cs="Times New Roman"/>
          <w:color w:val="000000"/>
          <w:szCs w:val="28"/>
          <w:lang w:eastAsia="ru-RU"/>
        </w:rPr>
        <w:t xml:space="preserve">Во исполнение Плана мероприятий, направленных на предупреждение </w:t>
      </w:r>
      <w:r w:rsidRPr="00250BEC">
        <w:rPr>
          <w:rFonts w:ascii="PT Astra Serif" w:eastAsia="Times New Roman" w:hAnsi="PT Astra Serif" w:cs="Times New Roman"/>
          <w:color w:val="000000"/>
          <w:szCs w:val="28"/>
          <w:lang w:eastAsia="ru-RU"/>
        </w:rPr>
        <w:br/>
        <w:t xml:space="preserve">и пресечение правонарушений, выявляемых в ходе реализации национальных </w:t>
      </w:r>
      <w:r w:rsidRPr="00250BEC">
        <w:rPr>
          <w:rFonts w:ascii="PT Astra Serif" w:eastAsia="Times New Roman" w:hAnsi="PT Astra Serif" w:cs="Times New Roman"/>
          <w:color w:val="000000"/>
          <w:szCs w:val="28"/>
          <w:lang w:eastAsia="ru-RU"/>
        </w:rPr>
        <w:br/>
        <w:t>и федеральных проектов в</w:t>
      </w:r>
      <w:r w:rsidRPr="00250BEC">
        <w:rPr>
          <w:rFonts w:ascii="PT Astra Serif" w:eastAsia="Times New Roman" w:hAnsi="PT Astra Serif" w:cs="Times New Roman"/>
          <w:szCs w:val="28"/>
          <w:lang w:eastAsia="ru-RU"/>
        </w:rPr>
        <w:t xml:space="preserve"> Ульяновской области, на 2025 год (утв. 22.01.2025 </w:t>
      </w:r>
      <w:r w:rsidRPr="00250BEC">
        <w:rPr>
          <w:rFonts w:ascii="PT Astra Serif" w:eastAsia="Times New Roman" w:hAnsi="PT Astra Serif" w:cs="Times New Roman"/>
          <w:szCs w:val="28"/>
          <w:lang w:eastAsia="ru-RU"/>
        </w:rPr>
        <w:br/>
        <w:t xml:space="preserve">№ 12-ПЛ) ежемесячно </w:t>
      </w:r>
      <w:r w:rsidRPr="00250BEC">
        <w:rPr>
          <w:rFonts w:ascii="PT Astra Serif" w:eastAsia="Times New Roman" w:hAnsi="PT Astra Serif" w:cs="Times New Roman"/>
          <w:color w:val="000000"/>
          <w:szCs w:val="28"/>
          <w:lang w:eastAsia="ru-RU"/>
        </w:rPr>
        <w:t>осуществляется мониторинг закупок в рамках реализации национальных проектов (совместно с Управлением по противодействию коррупции администрации Губернатора Ульяновской области, Региональным проектным офисом, контрольными органами, кураторами региональных проектов) на предмет:</w:t>
      </w:r>
    </w:p>
    <w:p w14:paraId="67D596E9"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установления аффилированных связей;</w:t>
      </w:r>
    </w:p>
    <w:p w14:paraId="080B52E6"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lastRenderedPageBreak/>
        <w:t>снижения участниками НМЦК более 25%;</w:t>
      </w:r>
    </w:p>
    <w:p w14:paraId="3577E466"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участия одного поставщика в трех и более контрактах одновременно.</w:t>
      </w:r>
    </w:p>
    <w:p w14:paraId="5381E24A"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На постоянной основе проводится мониторинг информации </w:t>
      </w:r>
      <w:r w:rsidRPr="00250BEC">
        <w:rPr>
          <w:rFonts w:ascii="PT Astra Serif" w:eastAsia="Times New Roman" w:hAnsi="PT Astra Serif" w:cs="Times New Roman"/>
          <w:color w:val="000000"/>
          <w:szCs w:val="28"/>
          <w:lang w:eastAsia="ru-RU"/>
        </w:rPr>
        <w:br/>
        <w:t>об осуществлении закупок, подготавливаются иные аналитические материалы.</w:t>
      </w:r>
    </w:p>
    <w:p w14:paraId="38D3046E"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Агентство также осуществляет мониторинг размещения заказчиками годовых отчетов по 44-ФЗ и 223-ФЗ, итоги которого доводятся до сведения учредителей заказчиков в целях рассмотрения и принятия мер в рамках ведомственного контроля (при необходимости).</w:t>
      </w:r>
    </w:p>
    <w:p w14:paraId="125DB7BF" w14:textId="77777777" w:rsidR="00250BEC" w:rsidRPr="00250BEC" w:rsidRDefault="00250BEC" w:rsidP="00250BEC">
      <w:pPr>
        <w:widowControl w:val="0"/>
        <w:autoSpaceDE w:val="0"/>
        <w:autoSpaceDN w:val="0"/>
        <w:adjustRightInd w:val="0"/>
        <w:jc w:val="center"/>
        <w:rPr>
          <w:rFonts w:ascii="PT Astra Serif" w:eastAsia="Times New Roman" w:hAnsi="PT Astra Serif" w:cs="Times New Roman"/>
          <w:b/>
          <w:color w:val="000000"/>
          <w:szCs w:val="28"/>
          <w:lang w:eastAsia="ru-RU"/>
        </w:rPr>
      </w:pPr>
    </w:p>
    <w:p w14:paraId="305ECE50"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i/>
          <w:color w:val="000000"/>
          <w:szCs w:val="28"/>
          <w:lang w:eastAsia="ru-RU"/>
        </w:rPr>
      </w:pPr>
      <w:r w:rsidRPr="00250BEC">
        <w:rPr>
          <w:rFonts w:ascii="PT Astra Serif" w:eastAsia="Times New Roman" w:hAnsi="PT Astra Serif" w:cs="Times New Roman"/>
          <w:b/>
          <w:i/>
          <w:color w:val="000000"/>
          <w:szCs w:val="28"/>
          <w:lang w:eastAsia="ru-RU"/>
        </w:rPr>
        <w:t xml:space="preserve">Методологическое сопровождения деятельности заказчиков, уполномоченных органов муниципальных образований </w:t>
      </w:r>
    </w:p>
    <w:p w14:paraId="401DA82E"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color w:val="000000"/>
          <w:szCs w:val="28"/>
          <w:lang w:eastAsia="ru-RU"/>
        </w:rPr>
      </w:pPr>
    </w:p>
    <w:p w14:paraId="4CC9D3BD" w14:textId="77777777" w:rsidR="00250BEC" w:rsidRPr="00250BEC" w:rsidRDefault="00250BEC" w:rsidP="00250BEC">
      <w:pPr>
        <w:widowControl w:val="0"/>
        <w:autoSpaceDE w:val="0"/>
        <w:autoSpaceDN w:val="0"/>
        <w:adjustRightInd w:val="0"/>
        <w:jc w:val="left"/>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Данное мероприятие осуществлялось Агентством в 2025 году путем:</w:t>
      </w:r>
    </w:p>
    <w:p w14:paraId="75CCCA21"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1) разработки для заказчиков типовых форм документов, методических рекомендаций в сфере закупок. Было принято (внесено изменений) </w:t>
      </w:r>
      <w:r w:rsidRPr="00250BEC">
        <w:rPr>
          <w:rFonts w:ascii="PT Astra Serif" w:eastAsia="Times New Roman" w:hAnsi="PT Astra Serif" w:cs="Times New Roman"/>
          <w:color w:val="000000"/>
          <w:szCs w:val="28"/>
          <w:lang w:eastAsia="ru-RU"/>
        </w:rPr>
        <w:br/>
        <w:t>22 ведомственных правовых акта/документа;</w:t>
      </w:r>
    </w:p>
    <w:p w14:paraId="4C735756" w14:textId="77777777" w:rsidR="00250BEC" w:rsidRPr="00250BEC" w:rsidRDefault="00250BEC" w:rsidP="00250BEC">
      <w:pPr>
        <w:widowControl w:val="0"/>
        <w:autoSpaceDE w:val="0"/>
        <w:autoSpaceDN w:val="0"/>
        <w:adjustRightInd w:val="0"/>
        <w:rPr>
          <w:rFonts w:ascii="PT Astra Serif" w:eastAsia="Times New Roman" w:hAnsi="PT Astra Serif" w:cs="Times New Roman"/>
          <w:b/>
          <w:color w:val="000000"/>
          <w:szCs w:val="28"/>
          <w:lang w:eastAsia="ru-RU"/>
        </w:rPr>
      </w:pPr>
      <w:r w:rsidRPr="00250BEC">
        <w:rPr>
          <w:rFonts w:ascii="PT Astra Serif" w:eastAsia="Times New Roman" w:hAnsi="PT Astra Serif" w:cs="Times New Roman"/>
          <w:color w:val="000000"/>
          <w:szCs w:val="28"/>
          <w:lang w:eastAsia="ru-RU"/>
        </w:rPr>
        <w:t xml:space="preserve">2) организации на системной основе методических/обучающих мероприятий. Непосредственно в течение 2025 года Агентством проведено </w:t>
      </w:r>
      <w:r w:rsidRPr="00250BEC">
        <w:rPr>
          <w:rFonts w:ascii="PT Astra Serif" w:eastAsia="Times New Roman" w:hAnsi="PT Astra Serif" w:cs="Times New Roman"/>
          <w:color w:val="000000"/>
          <w:szCs w:val="28"/>
          <w:lang w:eastAsia="ru-RU"/>
        </w:rPr>
        <w:br/>
        <w:t>9 методических мероприятий, а в 207 обучающих мероприятиях Агентство организовывало участие заказчиков на платформах электронных торговых площадок;</w:t>
      </w:r>
    </w:p>
    <w:p w14:paraId="7FEA681D"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3) оказание на постоянной основе консультационно-правовой помощи заказчикам, специалистам уполномоченных органов муниципальных образований области по проблемным вопросам, возникающим в процессе осуществления закупок.</w:t>
      </w:r>
    </w:p>
    <w:p w14:paraId="5EA913A0" w14:textId="77777777" w:rsidR="00250BEC" w:rsidRPr="00250BEC" w:rsidRDefault="00250BEC" w:rsidP="00250BEC">
      <w:pPr>
        <w:widowControl w:val="0"/>
        <w:autoSpaceDE w:val="0"/>
        <w:autoSpaceDN w:val="0"/>
        <w:adjustRightInd w:val="0"/>
        <w:jc w:val="center"/>
        <w:rPr>
          <w:rFonts w:ascii="PT Astra Serif" w:eastAsia="Times New Roman" w:hAnsi="PT Astra Serif" w:cs="Times New Roman"/>
          <w:b/>
          <w:bCs/>
          <w:color w:val="000000"/>
          <w:szCs w:val="28"/>
          <w:lang w:eastAsia="ru-RU"/>
        </w:rPr>
      </w:pPr>
    </w:p>
    <w:p w14:paraId="1762BAF8"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bCs/>
          <w:i/>
          <w:color w:val="000000"/>
          <w:szCs w:val="28"/>
          <w:lang w:eastAsia="ru-RU"/>
        </w:rPr>
      </w:pPr>
      <w:r w:rsidRPr="00250BEC">
        <w:rPr>
          <w:rFonts w:ascii="PT Astra Serif" w:eastAsia="Times New Roman" w:hAnsi="PT Astra Serif" w:cs="Times New Roman"/>
          <w:b/>
          <w:bCs/>
          <w:i/>
          <w:color w:val="000000"/>
          <w:szCs w:val="28"/>
          <w:lang w:eastAsia="ru-RU"/>
        </w:rPr>
        <w:t>Обучающие проекты</w:t>
      </w:r>
    </w:p>
    <w:p w14:paraId="41AB6767" w14:textId="77777777" w:rsidR="00250BEC" w:rsidRPr="00250BEC" w:rsidRDefault="00250BEC" w:rsidP="00250BEC">
      <w:pPr>
        <w:widowControl w:val="0"/>
        <w:autoSpaceDE w:val="0"/>
        <w:autoSpaceDN w:val="0"/>
        <w:adjustRightInd w:val="0"/>
        <w:jc w:val="center"/>
        <w:rPr>
          <w:rFonts w:ascii="PT Astra Serif" w:eastAsia="Times New Roman" w:hAnsi="PT Astra Serif" w:cs="Times New Roman"/>
          <w:b/>
          <w:bCs/>
          <w:color w:val="000000"/>
          <w:szCs w:val="28"/>
          <w:lang w:eastAsia="ru-RU"/>
        </w:rPr>
      </w:pPr>
    </w:p>
    <w:p w14:paraId="67AAB3CE"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Проект «Школа заказчика», в рамках которого осуществляется обучение/консультирование по работе заказчиков (пользователей) в ГИС «АЦК-Госзаказ», оказание методической помощи по проблемным вопросам </w:t>
      </w:r>
      <w:r w:rsidRPr="00250BEC">
        <w:rPr>
          <w:rFonts w:ascii="PT Astra Serif" w:eastAsia="Times New Roman" w:hAnsi="PT Astra Serif" w:cs="Times New Roman"/>
          <w:color w:val="000000"/>
          <w:szCs w:val="28"/>
          <w:lang w:eastAsia="ru-RU"/>
        </w:rPr>
        <w:br/>
        <w:t xml:space="preserve">в сфере закупок (периодичность ежеквартально, за 2025 год проведено </w:t>
      </w:r>
      <w:r w:rsidRPr="00250BEC">
        <w:rPr>
          <w:rFonts w:ascii="PT Astra Serif" w:eastAsia="Times New Roman" w:hAnsi="PT Astra Serif" w:cs="Times New Roman"/>
          <w:color w:val="000000"/>
          <w:szCs w:val="28"/>
          <w:lang w:eastAsia="ru-RU"/>
        </w:rPr>
        <w:br/>
        <w:t>4 обучающих вебинара, приняли участие более 500 специалистов).</w:t>
      </w:r>
    </w:p>
    <w:p w14:paraId="1AC0DA6D"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Проект «Экспресс стажировка</w:t>
      </w:r>
      <w:r w:rsidRPr="00250BEC">
        <w:rPr>
          <w:rFonts w:ascii="PT Astra Serif" w:eastAsia="Times New Roman" w:hAnsi="PT Astra Serif" w:cs="Times New Roman"/>
          <w:b/>
          <w:bCs/>
          <w:color w:val="000000"/>
          <w:szCs w:val="28"/>
          <w:lang w:eastAsia="ru-RU"/>
        </w:rPr>
        <w:t>»</w:t>
      </w:r>
      <w:r w:rsidRPr="00250BEC">
        <w:rPr>
          <w:rFonts w:ascii="PT Astra Serif" w:eastAsia="Times New Roman" w:hAnsi="PT Astra Serif" w:cs="Times New Roman"/>
          <w:color w:val="000000"/>
          <w:szCs w:val="28"/>
          <w:lang w:eastAsia="ru-RU"/>
        </w:rPr>
        <w:t xml:space="preserve"> для контрактных управляющих </w:t>
      </w:r>
      <w:r w:rsidRPr="00250BEC">
        <w:rPr>
          <w:rFonts w:ascii="PT Astra Serif" w:eastAsia="Times New Roman" w:hAnsi="PT Astra Serif" w:cs="Times New Roman"/>
          <w:color w:val="000000"/>
          <w:szCs w:val="28"/>
          <w:lang w:eastAsia="ru-RU"/>
        </w:rPr>
        <w:br/>
        <w:t xml:space="preserve">и работников контрактных служб заказчиков, обучение проводится малыми группами, включает закрепление полученных теоретических навыков на практике. Тематика и количество программ может меняться в зависимости от запросов заказчиков и их актуальности. </w:t>
      </w:r>
    </w:p>
    <w:p w14:paraId="73885359" w14:textId="77777777" w:rsidR="00250BEC" w:rsidRPr="00250BEC" w:rsidRDefault="00250BEC" w:rsidP="00250BEC">
      <w:pPr>
        <w:widowControl w:val="0"/>
        <w:autoSpaceDE w:val="0"/>
        <w:autoSpaceDN w:val="0"/>
        <w:adjustRightInd w:val="0"/>
        <w:rPr>
          <w:rFonts w:ascii="PT Astra Serif" w:eastAsia="Times New Roman" w:hAnsi="PT Astra Serif" w:cs="Times New Roman"/>
          <w:bCs/>
          <w:color w:val="000000"/>
          <w:szCs w:val="28"/>
          <w:lang w:eastAsia="ru-RU"/>
        </w:rPr>
      </w:pPr>
      <w:r w:rsidRPr="00250BEC">
        <w:rPr>
          <w:rFonts w:ascii="PT Astra Serif" w:eastAsia="Times New Roman" w:hAnsi="PT Astra Serif" w:cs="Times New Roman"/>
          <w:color w:val="000000"/>
          <w:szCs w:val="28"/>
          <w:lang w:eastAsia="ru-RU"/>
        </w:rPr>
        <w:t xml:space="preserve">В 2025 году «Экспресс-стажировка» проводилась по 9 программам, из них 5 – по Закону 44-ФЗ и 4 программы по Закону 223-ФЗ. Всего проведено </w:t>
      </w:r>
      <w:r w:rsidRPr="00250BEC">
        <w:rPr>
          <w:rFonts w:ascii="PT Astra Serif" w:eastAsia="Times New Roman" w:hAnsi="PT Astra Serif" w:cs="Times New Roman"/>
          <w:color w:val="000000"/>
          <w:szCs w:val="28"/>
          <w:lang w:eastAsia="ru-RU"/>
        </w:rPr>
        <w:br/>
      </w:r>
      <w:r w:rsidRPr="00250BEC">
        <w:rPr>
          <w:rFonts w:ascii="PT Astra Serif" w:eastAsia="Times New Roman" w:hAnsi="PT Astra Serif" w:cs="Times New Roman"/>
          <w:bCs/>
          <w:color w:val="000000"/>
          <w:szCs w:val="28"/>
          <w:lang w:eastAsia="ru-RU"/>
        </w:rPr>
        <w:t>62 стажировки, в которых приняло участие 382 специалиста.</w:t>
      </w:r>
    </w:p>
    <w:p w14:paraId="4FF26FAC" w14:textId="2EAD52DA" w:rsid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p>
    <w:p w14:paraId="4A503F13" w14:textId="0ECCA760" w:rsidR="00B43C8A" w:rsidRDefault="00B43C8A" w:rsidP="00250BEC">
      <w:pPr>
        <w:widowControl w:val="0"/>
        <w:autoSpaceDE w:val="0"/>
        <w:autoSpaceDN w:val="0"/>
        <w:adjustRightInd w:val="0"/>
        <w:rPr>
          <w:rFonts w:ascii="PT Astra Serif" w:eastAsia="Times New Roman" w:hAnsi="PT Astra Serif" w:cs="Times New Roman"/>
          <w:color w:val="000000"/>
          <w:szCs w:val="28"/>
          <w:lang w:eastAsia="ru-RU"/>
        </w:rPr>
      </w:pPr>
    </w:p>
    <w:p w14:paraId="5C3DB775" w14:textId="77777777" w:rsidR="00B43C8A" w:rsidRPr="00250BEC" w:rsidRDefault="00B43C8A" w:rsidP="00250BEC">
      <w:pPr>
        <w:widowControl w:val="0"/>
        <w:autoSpaceDE w:val="0"/>
        <w:autoSpaceDN w:val="0"/>
        <w:adjustRightInd w:val="0"/>
        <w:rPr>
          <w:rFonts w:ascii="PT Astra Serif" w:eastAsia="Times New Roman" w:hAnsi="PT Astra Serif" w:cs="Times New Roman"/>
          <w:color w:val="000000"/>
          <w:szCs w:val="28"/>
          <w:lang w:eastAsia="ru-RU"/>
        </w:rPr>
      </w:pPr>
    </w:p>
    <w:p w14:paraId="22B2FA85" w14:textId="77777777" w:rsidR="00250BEC" w:rsidRPr="00250BEC" w:rsidRDefault="00250BEC" w:rsidP="00250BEC">
      <w:pPr>
        <w:autoSpaceDE w:val="0"/>
        <w:autoSpaceDN w:val="0"/>
        <w:adjustRightInd w:val="0"/>
        <w:ind w:firstLine="0"/>
        <w:jc w:val="center"/>
        <w:rPr>
          <w:rFonts w:ascii="PT Astra Serif" w:eastAsia="Times New Roman" w:hAnsi="PT Astra Serif" w:cs="Times New Roman"/>
          <w:b/>
          <w:bCs/>
          <w:color w:val="000000"/>
          <w:szCs w:val="28"/>
          <w:lang w:eastAsia="ru-RU"/>
        </w:rPr>
      </w:pPr>
      <w:r w:rsidRPr="00250BEC">
        <w:rPr>
          <w:rFonts w:ascii="PT Astra Serif" w:eastAsia="Times New Roman" w:hAnsi="PT Astra Serif" w:cs="Times New Roman"/>
          <w:b/>
          <w:bCs/>
          <w:color w:val="000000"/>
          <w:szCs w:val="28"/>
          <w:lang w:eastAsia="ru-RU"/>
        </w:rPr>
        <w:lastRenderedPageBreak/>
        <w:t xml:space="preserve">Конференция в сфере закупок </w:t>
      </w:r>
    </w:p>
    <w:p w14:paraId="47417C69" w14:textId="77777777" w:rsidR="00250BEC" w:rsidRPr="00250BEC" w:rsidRDefault="00250BEC" w:rsidP="00250BEC">
      <w:pPr>
        <w:autoSpaceDE w:val="0"/>
        <w:autoSpaceDN w:val="0"/>
        <w:adjustRightInd w:val="0"/>
        <w:jc w:val="center"/>
        <w:rPr>
          <w:rFonts w:ascii="PT Astra Serif" w:eastAsia="Times New Roman" w:hAnsi="PT Astra Serif" w:cs="Times New Roman"/>
          <w:b/>
          <w:bCs/>
          <w:color w:val="000000"/>
          <w:szCs w:val="28"/>
          <w:lang w:eastAsia="ru-RU"/>
        </w:rPr>
      </w:pPr>
    </w:p>
    <w:p w14:paraId="364E958C" w14:textId="77777777" w:rsidR="00250BEC" w:rsidRPr="00250BEC" w:rsidRDefault="00250BEC" w:rsidP="00250BEC">
      <w:pPr>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Проведение ежегодной конвенции в сфере закупок закреплено распоряжением Губернатора Ульяновской области от 06.11.2018 № 1293-р.</w:t>
      </w:r>
    </w:p>
    <w:p w14:paraId="7FCBE7AF" w14:textId="77777777" w:rsidR="00250BEC" w:rsidRPr="00250BEC" w:rsidRDefault="00250BEC" w:rsidP="00250BEC">
      <w:pPr>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С 27 мая по 29 мая 2025 года прошла I</w:t>
      </w:r>
      <w:r w:rsidRPr="00250BEC">
        <w:rPr>
          <w:rFonts w:ascii="PT Astra Serif" w:eastAsia="Times New Roman" w:hAnsi="PT Astra Serif" w:cs="Times New Roman"/>
          <w:color w:val="000000"/>
          <w:szCs w:val="28"/>
          <w:lang w:val="en-US" w:eastAsia="ru-RU"/>
        </w:rPr>
        <w:t>I</w:t>
      </w:r>
      <w:r w:rsidRPr="00250BEC">
        <w:rPr>
          <w:rFonts w:ascii="PT Astra Serif" w:eastAsia="Times New Roman" w:hAnsi="PT Astra Serif" w:cs="Times New Roman"/>
          <w:color w:val="000000"/>
          <w:szCs w:val="28"/>
          <w:lang w:eastAsia="ru-RU"/>
        </w:rPr>
        <w:t xml:space="preserve"> Конференция в сфере закупок </w:t>
      </w:r>
      <w:r w:rsidRPr="00250BEC">
        <w:rPr>
          <w:rFonts w:ascii="PT Astra Serif" w:eastAsia="Times New Roman" w:hAnsi="PT Astra Serif" w:cs="Times New Roman"/>
          <w:color w:val="000000"/>
          <w:szCs w:val="28"/>
          <w:lang w:eastAsia="ru-RU"/>
        </w:rPr>
        <w:br/>
        <w:t xml:space="preserve">в Ульяновской области «Регулируемые закупки: Эволюция и перспективы» (далее – Конференция), в рамках которой было проведено 4 разноплановых мероприятия. </w:t>
      </w:r>
    </w:p>
    <w:p w14:paraId="4C841DE2" w14:textId="77777777" w:rsidR="00250BEC" w:rsidRPr="00250BEC" w:rsidRDefault="00250BEC" w:rsidP="00250BEC">
      <w:pPr>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В работе Конференции приняли участие представители Правительства Ульяновской области, УФАС по Ульяновской области, Счётной палаты Ульяновской области, контрольных органов, УФСИН России по Ульяновской области, Ульяновской областной торгово-промышленной палаты, государственных органов, органов местного самоуправления, бизнес-сообщества, эксперты и общественные организации (более 400 человек).</w:t>
      </w:r>
    </w:p>
    <w:p w14:paraId="037B43F1"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p>
    <w:p w14:paraId="2AEA2A0D"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bCs/>
          <w:color w:val="000000"/>
          <w:szCs w:val="28"/>
          <w:lang w:eastAsia="ru-RU"/>
        </w:rPr>
      </w:pPr>
      <w:r w:rsidRPr="00250BEC">
        <w:rPr>
          <w:rFonts w:ascii="PT Astra Serif" w:eastAsia="Times New Roman" w:hAnsi="PT Astra Serif" w:cs="Times New Roman"/>
          <w:b/>
          <w:bCs/>
          <w:color w:val="000000"/>
          <w:szCs w:val="28"/>
          <w:lang w:eastAsia="ru-RU"/>
        </w:rPr>
        <w:t>Тестирование специалистов заказчиков</w:t>
      </w:r>
    </w:p>
    <w:p w14:paraId="745C02B8" w14:textId="77777777" w:rsidR="00250BEC" w:rsidRPr="00250BEC" w:rsidRDefault="00250BEC" w:rsidP="00250BEC">
      <w:pPr>
        <w:widowControl w:val="0"/>
        <w:autoSpaceDE w:val="0"/>
        <w:autoSpaceDN w:val="0"/>
        <w:adjustRightInd w:val="0"/>
        <w:rPr>
          <w:rFonts w:ascii="PT Astra Serif" w:eastAsia="Times New Roman" w:hAnsi="PT Astra Serif" w:cs="Arial"/>
          <w:color w:val="000000"/>
          <w:szCs w:val="28"/>
          <w:lang w:eastAsia="ru-RU"/>
        </w:rPr>
      </w:pPr>
    </w:p>
    <w:p w14:paraId="08E1506C" w14:textId="77777777" w:rsidR="00250BEC" w:rsidRPr="00250BEC" w:rsidRDefault="00250BEC" w:rsidP="00250BEC">
      <w:pPr>
        <w:widowControl w:val="0"/>
        <w:autoSpaceDE w:val="0"/>
        <w:autoSpaceDN w:val="0"/>
        <w:adjustRightInd w:val="0"/>
        <w:rPr>
          <w:rFonts w:ascii="PT Astra Serif" w:eastAsia="Times New Roman" w:hAnsi="PT Astra Serif" w:cs="Arial"/>
          <w:color w:val="000000"/>
          <w:szCs w:val="28"/>
          <w:lang w:eastAsia="ru-RU"/>
        </w:rPr>
      </w:pPr>
      <w:r w:rsidRPr="00250BEC">
        <w:rPr>
          <w:rFonts w:ascii="PT Astra Serif" w:eastAsia="Times New Roman" w:hAnsi="PT Astra Serif" w:cs="Arial"/>
          <w:color w:val="000000"/>
          <w:szCs w:val="28"/>
          <w:lang w:eastAsia="ru-RU"/>
        </w:rPr>
        <w:t xml:space="preserve">Тестирование направлено на оценку уровня знаний законодательства </w:t>
      </w:r>
      <w:r w:rsidRPr="00250BEC">
        <w:rPr>
          <w:rFonts w:ascii="PT Astra Serif" w:eastAsia="Times New Roman" w:hAnsi="PT Astra Serif" w:cs="Arial"/>
          <w:color w:val="000000"/>
          <w:szCs w:val="28"/>
          <w:lang w:eastAsia="ru-RU"/>
        </w:rPr>
        <w:br/>
        <w:t xml:space="preserve">и повышение профессиональных компетенций специалистов, занятых в сфере закупок, регионального и муниципального уровня. Учитывая высокую мобильность законодательства в сфере закупок, проведение тестирования всегда актуально и стимулирует специалистов к поддержанию необходимого уровня знаний и своевременному мониторингу изменений. </w:t>
      </w:r>
    </w:p>
    <w:p w14:paraId="46D6F136" w14:textId="77777777" w:rsidR="00250BEC" w:rsidRPr="00250BEC" w:rsidRDefault="00250BEC" w:rsidP="00250BEC">
      <w:pPr>
        <w:widowControl w:val="0"/>
        <w:autoSpaceDE w:val="0"/>
        <w:autoSpaceDN w:val="0"/>
        <w:adjustRightInd w:val="0"/>
        <w:rPr>
          <w:rFonts w:ascii="PT Astra Serif" w:eastAsia="Times New Roman" w:hAnsi="PT Astra Serif" w:cs="Arial"/>
          <w:color w:val="000000"/>
          <w:szCs w:val="28"/>
          <w:lang w:eastAsia="ru-RU"/>
        </w:rPr>
      </w:pPr>
      <w:r w:rsidRPr="00250BEC">
        <w:rPr>
          <w:rFonts w:ascii="PT Astra Serif" w:eastAsia="Times New Roman" w:hAnsi="PT Astra Serif" w:cs="Arial"/>
          <w:color w:val="000000"/>
          <w:szCs w:val="28"/>
          <w:lang w:eastAsia="ru-RU"/>
        </w:rPr>
        <w:t>По Закону 44-ФЗ Агентство организует тестирование с 2019 года (распоряжение Губернатора Ульяновской области от 24.12.2018 № 1503-р), по Закону 223-ФЗ – с 2025 года (распоряжение Губернатора Ульяновской области от 18.12.2024 № 1022-р).</w:t>
      </w:r>
    </w:p>
    <w:p w14:paraId="3EF08460"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В 2025 году была обновлена методика проведения тестирования.</w:t>
      </w:r>
    </w:p>
    <w:p w14:paraId="2C1335F6"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Методикой тестирования определено:</w:t>
      </w:r>
    </w:p>
    <w:p w14:paraId="7809E519"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формат – онлайн (для региональных заказчиков – на корпоративном портале Правительства Ульяновской области, муниципальные образования вправе использовать иные информационные ресурсы); </w:t>
      </w:r>
    </w:p>
    <w:p w14:paraId="2EA6DBE8"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периодичность – ежегодно;</w:t>
      </w:r>
    </w:p>
    <w:p w14:paraId="524F1571"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график проведения: до 1 апреля по Закону 223-ФЗ, до 1 октября по Закону 44-ФЗ;</w:t>
      </w:r>
    </w:p>
    <w:p w14:paraId="3EF678CD"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тест состоит из 30 вопросов и время прохождения составляет 20 минут, дается одна попытка, результат оценивается от 0 до 5 баллов. Тестирование считается пройденным, если специалист правильно ответил на 70 и более процентов заданных вопросов;</w:t>
      </w:r>
    </w:p>
    <w:p w14:paraId="108527C4"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обновление тестов – ежегодно при участии контрольного управления администрации Губернатора Ульяновской области.</w:t>
      </w:r>
    </w:p>
    <w:p w14:paraId="5F535521"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Общие показатели по тестированию на знание Закона 44-ФЗ:</w:t>
      </w:r>
      <w:r w:rsidRPr="00250BEC">
        <w:rPr>
          <w:rFonts w:eastAsia="Times New Roman" w:cs="Times New Roman"/>
          <w:sz w:val="24"/>
          <w:szCs w:val="24"/>
          <w:lang w:eastAsia="ru-RU"/>
        </w:rPr>
        <w:t xml:space="preserve"> </w:t>
      </w:r>
      <w:r w:rsidRPr="00250BEC">
        <w:rPr>
          <w:rFonts w:ascii="PT Astra Serif" w:eastAsia="Times New Roman" w:hAnsi="PT Astra Serif" w:cs="Times New Roman"/>
          <w:color w:val="000000"/>
          <w:szCs w:val="28"/>
          <w:lang w:eastAsia="ru-RU"/>
        </w:rPr>
        <w:t xml:space="preserve">всего было протестировано 1 464 специалиста. При этом общее значение среднего балла, прошедших тестирование составило: 3,4 – среди специалистов государственных заказчиков; 4,2 – среди специалистов муниципальных </w:t>
      </w:r>
      <w:r w:rsidRPr="00250BEC">
        <w:rPr>
          <w:rFonts w:ascii="PT Astra Serif" w:eastAsia="Times New Roman" w:hAnsi="PT Astra Serif" w:cs="Times New Roman"/>
          <w:color w:val="000000"/>
          <w:szCs w:val="28"/>
          <w:lang w:eastAsia="ru-RU"/>
        </w:rPr>
        <w:lastRenderedPageBreak/>
        <w:t>заказчиков.</w:t>
      </w:r>
    </w:p>
    <w:p w14:paraId="1AF5C568"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При этом стоит отметить, что в период с 2019 по 2024 гг. значение среднего балла улучшилось с 3,2 до 4,25 (рост на 33%). В 2025 году произошло небольшое снижение среднего балла до 3,8 (это обусловлено как объективными причинами (кардинальные изменения правил применения национального режима в сфере закупок, изменение методики тестирования </w:t>
      </w:r>
      <w:r w:rsidRPr="00250BEC">
        <w:rPr>
          <w:rFonts w:ascii="PT Astra Serif" w:eastAsia="Times New Roman" w:hAnsi="PT Astra Serif" w:cs="Times New Roman"/>
          <w:color w:val="000000"/>
          <w:szCs w:val="28"/>
          <w:lang w:eastAsia="ru-RU"/>
        </w:rPr>
        <w:br/>
        <w:t xml:space="preserve">в части сокращения времени прохождения теста, введение практических вопросов в тесты и т.п.), так и субъективными факторами (текучесть кадров </w:t>
      </w:r>
      <w:r w:rsidRPr="00250BEC">
        <w:rPr>
          <w:rFonts w:ascii="PT Astra Serif" w:eastAsia="Times New Roman" w:hAnsi="PT Astra Serif" w:cs="Times New Roman"/>
          <w:color w:val="000000"/>
          <w:szCs w:val="28"/>
          <w:lang w:eastAsia="ru-RU"/>
        </w:rPr>
        <w:br/>
        <w:t xml:space="preserve">в сфере закупок, недостаток профессиональных навыков, </w:t>
      </w:r>
      <w:proofErr w:type="spellStart"/>
      <w:r w:rsidRPr="00250BEC">
        <w:rPr>
          <w:rFonts w:ascii="PT Astra Serif" w:eastAsia="Times New Roman" w:hAnsi="PT Astra Serif" w:cs="Times New Roman"/>
          <w:color w:val="000000"/>
          <w:szCs w:val="28"/>
          <w:lang w:eastAsia="ru-RU"/>
        </w:rPr>
        <w:t>неотслеживание</w:t>
      </w:r>
      <w:proofErr w:type="spellEnd"/>
      <w:r w:rsidRPr="00250BEC">
        <w:rPr>
          <w:rFonts w:ascii="PT Astra Serif" w:eastAsia="Times New Roman" w:hAnsi="PT Astra Serif" w:cs="Times New Roman"/>
          <w:color w:val="000000"/>
          <w:szCs w:val="28"/>
          <w:lang w:eastAsia="ru-RU"/>
        </w:rPr>
        <w:t xml:space="preserve"> изменений законодательства отдельными специалистами и пр.).</w:t>
      </w:r>
    </w:p>
    <w:p w14:paraId="61A2E844"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 xml:space="preserve">Итоги тестирования по Закону 223-ФЗ следующие: общее значение среднего балла составило 3,9, протестировано всего 145 специалистов. </w:t>
      </w:r>
      <w:r w:rsidRPr="00250BEC">
        <w:rPr>
          <w:rFonts w:ascii="PT Astra Serif" w:eastAsia="Times New Roman" w:hAnsi="PT Astra Serif" w:cs="Times New Roman"/>
          <w:color w:val="000000"/>
          <w:szCs w:val="28"/>
          <w:lang w:eastAsia="ru-RU"/>
        </w:rPr>
        <w:br/>
        <w:t>В динамике показать результаты не представляется возможным ввиду того, что тестирование по Закону 223-ФЗ было проведено в 2025 году впервые.</w:t>
      </w:r>
    </w:p>
    <w:p w14:paraId="41B56F77" w14:textId="77777777" w:rsidR="00250BEC" w:rsidRPr="00250BEC" w:rsidRDefault="00250BEC" w:rsidP="00250BEC">
      <w:pPr>
        <w:widowControl w:val="0"/>
        <w:autoSpaceDE w:val="0"/>
        <w:autoSpaceDN w:val="0"/>
        <w:adjustRightInd w:val="0"/>
        <w:rPr>
          <w:rFonts w:ascii="PT Astra Serif" w:eastAsia="Times New Roman" w:hAnsi="PT Astra Serif" w:cs="Times New Roman"/>
          <w:color w:val="000000"/>
          <w:szCs w:val="28"/>
          <w:lang w:eastAsia="ru-RU"/>
        </w:rPr>
      </w:pPr>
    </w:p>
    <w:p w14:paraId="6881FE3F"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bCs/>
          <w:color w:val="000000"/>
          <w:szCs w:val="28"/>
          <w:lang w:eastAsia="ru-RU"/>
        </w:rPr>
      </w:pPr>
      <w:r w:rsidRPr="00250BEC">
        <w:rPr>
          <w:rFonts w:ascii="PT Astra Serif" w:eastAsia="Times New Roman" w:hAnsi="PT Astra Serif" w:cs="Times New Roman"/>
          <w:b/>
          <w:bCs/>
          <w:color w:val="000000"/>
          <w:szCs w:val="28"/>
          <w:lang w:eastAsia="ru-RU"/>
        </w:rPr>
        <w:t xml:space="preserve">Рейтинг муниципальных образований </w:t>
      </w:r>
    </w:p>
    <w:p w14:paraId="5E03A4CE"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bCs/>
          <w:color w:val="000000"/>
          <w:szCs w:val="28"/>
          <w:lang w:eastAsia="ru-RU"/>
        </w:rPr>
      </w:pPr>
    </w:p>
    <w:p w14:paraId="4CD65E95" w14:textId="77777777" w:rsidR="00250BEC" w:rsidRPr="00250BEC" w:rsidRDefault="00250BEC" w:rsidP="00250BEC">
      <w:pPr>
        <w:widowControl w:val="0"/>
        <w:rPr>
          <w:rFonts w:ascii="PT Astra Serif" w:eastAsia="Calibri" w:hAnsi="PT Astra Serif" w:cs="Times New Roman"/>
        </w:rPr>
      </w:pPr>
      <w:r w:rsidRPr="00250BEC">
        <w:rPr>
          <w:rFonts w:ascii="PT Astra Serif" w:eastAsia="Calibri" w:hAnsi="PT Astra Serif" w:cs="Times New Roman"/>
        </w:rPr>
        <w:t>Дополнительным механизмом стимулирования совершенствования закупочного процесса в муниципалитетах является повышение эффективности через Рейтинг муниципальных образований в части организации закупочной деятельности, который Агентство проводит ежегодно с 2020 года.</w:t>
      </w:r>
    </w:p>
    <w:p w14:paraId="56F75B9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rPr>
        <w:t xml:space="preserve">Специфика Рейтинга заключается в ежегодной актуализации критериев, что позволяет оценить новые аспекты организации закупочного процесса или стимулировать муниципалитеты на улучшение «проблемных показателей». Для этого Агентство изучает практику </w:t>
      </w:r>
      <w:proofErr w:type="spellStart"/>
      <w:r w:rsidRPr="00250BEC">
        <w:rPr>
          <w:rFonts w:ascii="PT Astra Serif" w:eastAsia="Calibri" w:hAnsi="PT Astra Serif" w:cs="Times New Roman"/>
        </w:rPr>
        <w:t>рейтингования</w:t>
      </w:r>
      <w:proofErr w:type="spellEnd"/>
      <w:r w:rsidRPr="00250BEC">
        <w:rPr>
          <w:rFonts w:ascii="PT Astra Serif" w:eastAsia="Calibri" w:hAnsi="PT Astra Serif" w:cs="Times New Roman"/>
        </w:rPr>
        <w:t xml:space="preserve"> заказчиков других субъектов РФ, а также – достигнутые показатели области в различных профильных рейтингах. </w:t>
      </w:r>
      <w:r w:rsidRPr="00250BEC">
        <w:rPr>
          <w:rFonts w:ascii="PT Astra Serif" w:eastAsia="Calibri" w:hAnsi="PT Astra Serif" w:cs="Times New Roman"/>
          <w:szCs w:val="28"/>
        </w:rPr>
        <w:t>Количество критериев оценки с 2020 года увеличилось с 6 до 14 в 2025 году.</w:t>
      </w:r>
    </w:p>
    <w:p w14:paraId="6A825592"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Муниципальные образования Ульяновской области, занявшие </w:t>
      </w:r>
      <w:r w:rsidRPr="00250BEC">
        <w:rPr>
          <w:rFonts w:ascii="PT Astra Serif" w:hAnsi="PT Astra Serif" w:cs="Mangal"/>
          <w:color w:val="000000"/>
          <w:kern w:val="2"/>
          <w:szCs w:val="28"/>
          <w:lang w:eastAsia="hi-IN" w:bidi="hi-IN"/>
        </w:rPr>
        <w:br/>
        <w:t>по результатам комплексной оценки эффективности организации закупочной деятельности места с 1 по 5 включительно, награждаются дипломами Агентства.</w:t>
      </w:r>
    </w:p>
    <w:p w14:paraId="2519C37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color w:val="000000"/>
          <w:szCs w:val="28"/>
        </w:rPr>
        <w:t xml:space="preserve">Сводные данные по рейтингу муниципальных образований Ульяновской области за 2023 - 2025 гг. представлены в </w:t>
      </w:r>
      <w:r w:rsidRPr="00250BEC">
        <w:rPr>
          <w:rFonts w:ascii="PT Astra Serif" w:eastAsia="Calibri" w:hAnsi="PT Astra Serif" w:cs="Times New Roman"/>
          <w:szCs w:val="28"/>
        </w:rPr>
        <w:t>таблице.</w:t>
      </w:r>
    </w:p>
    <w:p w14:paraId="686B9420" w14:textId="77777777" w:rsidR="00250BEC" w:rsidRPr="00B43C8A" w:rsidRDefault="00250BEC" w:rsidP="00250BEC">
      <w:pPr>
        <w:widowControl w:val="0"/>
        <w:rPr>
          <w:rFonts w:ascii="PT Astra Serif" w:eastAsia="Calibri" w:hAnsi="PT Astra Serif" w:cs="Times New Roman"/>
          <w:sz w:val="20"/>
          <w:szCs w:val="20"/>
        </w:rPr>
      </w:pPr>
    </w:p>
    <w:tbl>
      <w:tblPr>
        <w:tblStyle w:val="4111"/>
        <w:tblW w:w="9351" w:type="dxa"/>
        <w:jc w:val="center"/>
        <w:tblLook w:val="04A0" w:firstRow="1" w:lastRow="0" w:firstColumn="1" w:lastColumn="0" w:noHBand="0" w:noVBand="1"/>
      </w:tblPr>
      <w:tblGrid>
        <w:gridCol w:w="1555"/>
        <w:gridCol w:w="2976"/>
        <w:gridCol w:w="2132"/>
        <w:gridCol w:w="2688"/>
      </w:tblGrid>
      <w:tr w:rsidR="00250BEC" w:rsidRPr="00250BEC" w14:paraId="68504B38" w14:textId="77777777" w:rsidTr="00250BEC">
        <w:trPr>
          <w:trHeight w:val="367"/>
          <w:jc w:val="center"/>
        </w:trPr>
        <w:tc>
          <w:tcPr>
            <w:tcW w:w="1555" w:type="dxa"/>
            <w:vMerge w:val="restart"/>
            <w:shd w:val="clear" w:color="auto" w:fill="auto"/>
            <w:vAlign w:val="center"/>
          </w:tcPr>
          <w:p w14:paraId="021E73CF" w14:textId="77777777" w:rsidR="00250BEC" w:rsidRPr="00250BEC" w:rsidRDefault="00250BEC" w:rsidP="00250BEC">
            <w:pPr>
              <w:widowControl w:val="0"/>
              <w:ind w:firstLine="0"/>
              <w:jc w:val="center"/>
              <w:rPr>
                <w:rFonts w:ascii="PT Astra Serif" w:eastAsia="SimSun" w:hAnsi="PT Astra Serif" w:cstheme="minorBidi"/>
                <w:b/>
                <w:sz w:val="20"/>
              </w:rPr>
            </w:pPr>
            <w:r w:rsidRPr="00250BEC">
              <w:rPr>
                <w:rFonts w:ascii="PT Astra Serif" w:eastAsia="SimSun" w:hAnsi="PT Astra Serif" w:cstheme="minorBidi"/>
                <w:b/>
                <w:sz w:val="20"/>
              </w:rPr>
              <w:t>Занятое место</w:t>
            </w:r>
          </w:p>
        </w:tc>
        <w:tc>
          <w:tcPr>
            <w:tcW w:w="7796" w:type="dxa"/>
            <w:gridSpan w:val="3"/>
            <w:shd w:val="clear" w:color="auto" w:fill="auto"/>
          </w:tcPr>
          <w:p w14:paraId="654D7A0E" w14:textId="77777777" w:rsidR="00250BEC" w:rsidRPr="00250BEC" w:rsidRDefault="00250BEC" w:rsidP="00250BEC">
            <w:pPr>
              <w:widowControl w:val="0"/>
              <w:ind w:firstLine="0"/>
              <w:jc w:val="center"/>
              <w:rPr>
                <w:rFonts w:ascii="PT Astra Serif" w:eastAsia="SimSun" w:hAnsi="PT Astra Serif" w:cstheme="minorBidi"/>
                <w:b/>
                <w:sz w:val="20"/>
              </w:rPr>
            </w:pPr>
            <w:r w:rsidRPr="00250BEC">
              <w:rPr>
                <w:rFonts w:ascii="PT Astra Serif" w:eastAsia="SimSun" w:hAnsi="PT Astra Serif" w:cstheme="minorBidi"/>
                <w:b/>
                <w:sz w:val="20"/>
              </w:rPr>
              <w:t>Итоги рейтинга</w:t>
            </w:r>
          </w:p>
        </w:tc>
      </w:tr>
      <w:tr w:rsidR="00250BEC" w:rsidRPr="00250BEC" w14:paraId="1CD00AD7" w14:textId="77777777" w:rsidTr="00250BEC">
        <w:trPr>
          <w:trHeight w:val="400"/>
          <w:jc w:val="center"/>
        </w:trPr>
        <w:tc>
          <w:tcPr>
            <w:tcW w:w="1555" w:type="dxa"/>
            <w:vMerge/>
            <w:shd w:val="clear" w:color="auto" w:fill="auto"/>
          </w:tcPr>
          <w:p w14:paraId="6B6295E8" w14:textId="77777777" w:rsidR="00250BEC" w:rsidRPr="00250BEC" w:rsidRDefault="00250BEC" w:rsidP="00250BEC">
            <w:pPr>
              <w:widowControl w:val="0"/>
              <w:ind w:firstLine="0"/>
              <w:jc w:val="center"/>
              <w:rPr>
                <w:rFonts w:ascii="PT Astra Serif" w:eastAsia="SimSun" w:hAnsi="PT Astra Serif" w:cstheme="minorBidi"/>
                <w:b/>
                <w:sz w:val="20"/>
              </w:rPr>
            </w:pPr>
          </w:p>
        </w:tc>
        <w:tc>
          <w:tcPr>
            <w:tcW w:w="2976" w:type="dxa"/>
            <w:shd w:val="clear" w:color="auto" w:fill="auto"/>
            <w:vAlign w:val="center"/>
          </w:tcPr>
          <w:p w14:paraId="401DDB12" w14:textId="77777777" w:rsidR="00250BEC" w:rsidRPr="00250BEC" w:rsidRDefault="00250BEC" w:rsidP="00250BEC">
            <w:pPr>
              <w:widowControl w:val="0"/>
              <w:ind w:firstLine="0"/>
              <w:jc w:val="center"/>
              <w:rPr>
                <w:rFonts w:ascii="PT Astra Serif" w:eastAsia="SimSun" w:hAnsi="PT Astra Serif" w:cstheme="minorBidi"/>
                <w:b/>
                <w:sz w:val="20"/>
              </w:rPr>
            </w:pPr>
            <w:r w:rsidRPr="00250BEC">
              <w:rPr>
                <w:rFonts w:ascii="PT Astra Serif" w:eastAsia="SimSun" w:hAnsi="PT Astra Serif" w:cstheme="minorBidi"/>
                <w:b/>
                <w:sz w:val="20"/>
              </w:rPr>
              <w:t>2023 г.</w:t>
            </w:r>
          </w:p>
        </w:tc>
        <w:tc>
          <w:tcPr>
            <w:tcW w:w="2132" w:type="dxa"/>
            <w:shd w:val="clear" w:color="auto" w:fill="auto"/>
            <w:vAlign w:val="center"/>
          </w:tcPr>
          <w:p w14:paraId="546A09B2" w14:textId="77777777" w:rsidR="00250BEC" w:rsidRPr="00250BEC" w:rsidRDefault="00250BEC" w:rsidP="00250BEC">
            <w:pPr>
              <w:widowControl w:val="0"/>
              <w:ind w:firstLine="0"/>
              <w:jc w:val="center"/>
              <w:rPr>
                <w:rFonts w:ascii="PT Astra Serif" w:eastAsia="SimSun" w:hAnsi="PT Astra Serif" w:cstheme="minorBidi"/>
                <w:b/>
                <w:sz w:val="20"/>
              </w:rPr>
            </w:pPr>
            <w:r w:rsidRPr="00250BEC">
              <w:rPr>
                <w:rFonts w:ascii="PT Astra Serif" w:eastAsia="SimSun" w:hAnsi="PT Astra Serif" w:cstheme="minorBidi"/>
                <w:b/>
                <w:sz w:val="20"/>
              </w:rPr>
              <w:t>2024 г.</w:t>
            </w:r>
          </w:p>
        </w:tc>
        <w:tc>
          <w:tcPr>
            <w:tcW w:w="2688" w:type="dxa"/>
            <w:shd w:val="clear" w:color="auto" w:fill="auto"/>
            <w:vAlign w:val="center"/>
          </w:tcPr>
          <w:p w14:paraId="0302C86F" w14:textId="77777777" w:rsidR="00250BEC" w:rsidRPr="00250BEC" w:rsidRDefault="00250BEC" w:rsidP="00250BEC">
            <w:pPr>
              <w:widowControl w:val="0"/>
              <w:ind w:firstLine="0"/>
              <w:jc w:val="center"/>
              <w:rPr>
                <w:rFonts w:ascii="PT Astra Serif" w:eastAsia="SimSun" w:hAnsi="PT Astra Serif" w:cstheme="minorBidi"/>
                <w:b/>
                <w:sz w:val="20"/>
              </w:rPr>
            </w:pPr>
            <w:r w:rsidRPr="00250BEC">
              <w:rPr>
                <w:rFonts w:ascii="PT Astra Serif" w:eastAsia="SimSun" w:hAnsi="PT Astra Serif" w:cstheme="minorBidi"/>
                <w:b/>
                <w:sz w:val="20"/>
              </w:rPr>
              <w:t>2025 г.</w:t>
            </w:r>
          </w:p>
        </w:tc>
      </w:tr>
      <w:tr w:rsidR="00250BEC" w:rsidRPr="00250BEC" w14:paraId="5D34F3B1" w14:textId="77777777" w:rsidTr="00250BEC">
        <w:trPr>
          <w:jc w:val="center"/>
        </w:trPr>
        <w:tc>
          <w:tcPr>
            <w:tcW w:w="1555" w:type="dxa"/>
            <w:shd w:val="clear" w:color="auto" w:fill="auto"/>
            <w:vAlign w:val="center"/>
          </w:tcPr>
          <w:p w14:paraId="743C9CA4"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1</w:t>
            </w:r>
          </w:p>
        </w:tc>
        <w:tc>
          <w:tcPr>
            <w:tcW w:w="2976" w:type="dxa"/>
            <w:shd w:val="clear" w:color="auto" w:fill="auto"/>
            <w:vAlign w:val="center"/>
          </w:tcPr>
          <w:p w14:paraId="54523BCF"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Цильнинский район</w:t>
            </w:r>
          </w:p>
        </w:tc>
        <w:tc>
          <w:tcPr>
            <w:tcW w:w="2132" w:type="dxa"/>
            <w:shd w:val="clear" w:color="auto" w:fill="auto"/>
            <w:vAlign w:val="center"/>
          </w:tcPr>
          <w:p w14:paraId="71CD5454"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 xml:space="preserve">Цильнинский район </w:t>
            </w:r>
          </w:p>
        </w:tc>
        <w:tc>
          <w:tcPr>
            <w:tcW w:w="2688" w:type="dxa"/>
            <w:shd w:val="clear" w:color="auto" w:fill="auto"/>
            <w:vAlign w:val="center"/>
          </w:tcPr>
          <w:p w14:paraId="6D291C70"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Цильнинский район</w:t>
            </w:r>
          </w:p>
        </w:tc>
      </w:tr>
      <w:tr w:rsidR="00250BEC" w:rsidRPr="00250BEC" w14:paraId="626EC4F2" w14:textId="77777777" w:rsidTr="00250BEC">
        <w:trPr>
          <w:jc w:val="center"/>
        </w:trPr>
        <w:tc>
          <w:tcPr>
            <w:tcW w:w="1555" w:type="dxa"/>
            <w:shd w:val="clear" w:color="auto" w:fill="auto"/>
            <w:vAlign w:val="center"/>
          </w:tcPr>
          <w:p w14:paraId="5375A2A5"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2</w:t>
            </w:r>
          </w:p>
        </w:tc>
        <w:tc>
          <w:tcPr>
            <w:tcW w:w="2976" w:type="dxa"/>
            <w:shd w:val="clear" w:color="auto" w:fill="auto"/>
            <w:vAlign w:val="center"/>
          </w:tcPr>
          <w:p w14:paraId="62ED6982"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Вешкаймский район</w:t>
            </w:r>
          </w:p>
        </w:tc>
        <w:tc>
          <w:tcPr>
            <w:tcW w:w="2132" w:type="dxa"/>
            <w:shd w:val="clear" w:color="auto" w:fill="auto"/>
            <w:vAlign w:val="center"/>
          </w:tcPr>
          <w:p w14:paraId="48F58AB3"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город Димитровград</w:t>
            </w:r>
          </w:p>
        </w:tc>
        <w:tc>
          <w:tcPr>
            <w:tcW w:w="2688" w:type="dxa"/>
            <w:shd w:val="clear" w:color="auto" w:fill="auto"/>
            <w:vAlign w:val="center"/>
          </w:tcPr>
          <w:p w14:paraId="0ED6D324"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город Димитровград</w:t>
            </w:r>
          </w:p>
        </w:tc>
      </w:tr>
      <w:tr w:rsidR="00250BEC" w:rsidRPr="00250BEC" w14:paraId="3B911856" w14:textId="77777777" w:rsidTr="00250BEC">
        <w:trPr>
          <w:jc w:val="center"/>
        </w:trPr>
        <w:tc>
          <w:tcPr>
            <w:tcW w:w="1555" w:type="dxa"/>
            <w:shd w:val="clear" w:color="auto" w:fill="auto"/>
            <w:vAlign w:val="center"/>
          </w:tcPr>
          <w:p w14:paraId="4E8672F2"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3</w:t>
            </w:r>
          </w:p>
        </w:tc>
        <w:tc>
          <w:tcPr>
            <w:tcW w:w="2976" w:type="dxa"/>
            <w:shd w:val="clear" w:color="auto" w:fill="auto"/>
            <w:vAlign w:val="center"/>
          </w:tcPr>
          <w:p w14:paraId="16F4917F"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город Ульяновск</w:t>
            </w:r>
          </w:p>
        </w:tc>
        <w:tc>
          <w:tcPr>
            <w:tcW w:w="2132" w:type="dxa"/>
            <w:shd w:val="clear" w:color="auto" w:fill="auto"/>
            <w:vAlign w:val="center"/>
          </w:tcPr>
          <w:p w14:paraId="3F7E77F9"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Вешкаймский район</w:t>
            </w:r>
          </w:p>
        </w:tc>
        <w:tc>
          <w:tcPr>
            <w:tcW w:w="2688" w:type="dxa"/>
            <w:vMerge w:val="restart"/>
            <w:shd w:val="clear" w:color="auto" w:fill="auto"/>
            <w:vAlign w:val="center"/>
          </w:tcPr>
          <w:p w14:paraId="71CD6631"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Старомайнский район</w:t>
            </w:r>
          </w:p>
          <w:p w14:paraId="6FD664BA"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 xml:space="preserve">Чердаклинский район </w:t>
            </w:r>
          </w:p>
          <w:p w14:paraId="0EE32863"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(равное количество баллов)</w:t>
            </w:r>
          </w:p>
        </w:tc>
      </w:tr>
      <w:tr w:rsidR="00250BEC" w:rsidRPr="00250BEC" w14:paraId="1C062203" w14:textId="77777777" w:rsidTr="00250BEC">
        <w:trPr>
          <w:jc w:val="center"/>
        </w:trPr>
        <w:tc>
          <w:tcPr>
            <w:tcW w:w="1555" w:type="dxa"/>
            <w:shd w:val="clear" w:color="auto" w:fill="auto"/>
            <w:vAlign w:val="center"/>
          </w:tcPr>
          <w:p w14:paraId="485F61D3"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4</w:t>
            </w:r>
          </w:p>
        </w:tc>
        <w:tc>
          <w:tcPr>
            <w:tcW w:w="2976" w:type="dxa"/>
            <w:shd w:val="clear" w:color="auto" w:fill="auto"/>
            <w:vAlign w:val="center"/>
          </w:tcPr>
          <w:p w14:paraId="0E38B98A"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Старомайнский район</w:t>
            </w:r>
          </w:p>
        </w:tc>
        <w:tc>
          <w:tcPr>
            <w:tcW w:w="2132" w:type="dxa"/>
            <w:shd w:val="clear" w:color="auto" w:fill="auto"/>
            <w:vAlign w:val="center"/>
          </w:tcPr>
          <w:p w14:paraId="3132AD77"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город Ульяновск</w:t>
            </w:r>
          </w:p>
        </w:tc>
        <w:tc>
          <w:tcPr>
            <w:tcW w:w="2688" w:type="dxa"/>
            <w:vMerge/>
            <w:shd w:val="clear" w:color="auto" w:fill="auto"/>
            <w:vAlign w:val="center"/>
          </w:tcPr>
          <w:p w14:paraId="003568E7" w14:textId="77777777" w:rsidR="00250BEC" w:rsidRPr="00250BEC" w:rsidRDefault="00250BEC" w:rsidP="00250BEC">
            <w:pPr>
              <w:widowControl w:val="0"/>
              <w:ind w:firstLine="0"/>
              <w:jc w:val="center"/>
              <w:rPr>
                <w:rFonts w:ascii="PT Astra Serif" w:eastAsia="SimSun" w:hAnsi="PT Astra Serif" w:cstheme="minorBidi"/>
                <w:sz w:val="20"/>
              </w:rPr>
            </w:pPr>
          </w:p>
        </w:tc>
      </w:tr>
      <w:tr w:rsidR="00250BEC" w:rsidRPr="00250BEC" w14:paraId="3079D8AF" w14:textId="77777777" w:rsidTr="00250BEC">
        <w:trPr>
          <w:jc w:val="center"/>
        </w:trPr>
        <w:tc>
          <w:tcPr>
            <w:tcW w:w="1555" w:type="dxa"/>
            <w:shd w:val="clear" w:color="auto" w:fill="auto"/>
            <w:vAlign w:val="center"/>
          </w:tcPr>
          <w:p w14:paraId="32539A7E"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5</w:t>
            </w:r>
          </w:p>
        </w:tc>
        <w:tc>
          <w:tcPr>
            <w:tcW w:w="2976" w:type="dxa"/>
            <w:shd w:val="clear" w:color="auto" w:fill="auto"/>
            <w:vAlign w:val="center"/>
          </w:tcPr>
          <w:p w14:paraId="4C5AADFD"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Чердаклинский район</w:t>
            </w:r>
          </w:p>
        </w:tc>
        <w:tc>
          <w:tcPr>
            <w:tcW w:w="2132" w:type="dxa"/>
            <w:shd w:val="clear" w:color="auto" w:fill="auto"/>
            <w:vAlign w:val="center"/>
          </w:tcPr>
          <w:p w14:paraId="4DD1910F"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Чердаклинский район</w:t>
            </w:r>
          </w:p>
        </w:tc>
        <w:tc>
          <w:tcPr>
            <w:tcW w:w="2688" w:type="dxa"/>
            <w:shd w:val="clear" w:color="auto" w:fill="auto"/>
            <w:vAlign w:val="center"/>
          </w:tcPr>
          <w:p w14:paraId="7BB6D798" w14:textId="77777777" w:rsidR="00250BEC" w:rsidRPr="00250BEC" w:rsidRDefault="00250BEC" w:rsidP="00250BEC">
            <w:pPr>
              <w:widowControl w:val="0"/>
              <w:ind w:firstLine="0"/>
              <w:jc w:val="center"/>
              <w:rPr>
                <w:rFonts w:ascii="PT Astra Serif" w:eastAsia="SimSun" w:hAnsi="PT Astra Serif" w:cstheme="minorBidi"/>
                <w:sz w:val="20"/>
              </w:rPr>
            </w:pPr>
            <w:r w:rsidRPr="00250BEC">
              <w:rPr>
                <w:rFonts w:ascii="PT Astra Serif" w:eastAsia="SimSun" w:hAnsi="PT Astra Serif" w:cstheme="minorBidi"/>
                <w:sz w:val="20"/>
              </w:rPr>
              <w:t>Вешкаймский район</w:t>
            </w:r>
          </w:p>
        </w:tc>
      </w:tr>
    </w:tbl>
    <w:p w14:paraId="44CC0DF4" w14:textId="77777777" w:rsidR="00B43C8A" w:rsidRDefault="00B43C8A" w:rsidP="00250BEC">
      <w:pPr>
        <w:widowControl w:val="0"/>
        <w:ind w:firstLine="0"/>
        <w:jc w:val="center"/>
        <w:rPr>
          <w:rFonts w:ascii="PT Astra Serif" w:eastAsia="Times New Roman" w:hAnsi="PT Astra Serif" w:cs="Times New Roman"/>
          <w:b/>
          <w:szCs w:val="28"/>
          <w:lang w:eastAsia="ru-RU"/>
        </w:rPr>
      </w:pPr>
    </w:p>
    <w:p w14:paraId="1C318CA1" w14:textId="77777777" w:rsidR="00B43C8A" w:rsidRDefault="00B43C8A" w:rsidP="00250BEC">
      <w:pPr>
        <w:widowControl w:val="0"/>
        <w:ind w:firstLine="0"/>
        <w:jc w:val="center"/>
        <w:rPr>
          <w:rFonts w:ascii="PT Astra Serif" w:eastAsia="Times New Roman" w:hAnsi="PT Astra Serif" w:cs="Times New Roman"/>
          <w:b/>
          <w:szCs w:val="28"/>
          <w:lang w:eastAsia="ru-RU"/>
        </w:rPr>
      </w:pPr>
    </w:p>
    <w:p w14:paraId="4D7A6BCB" w14:textId="7EE116B8" w:rsidR="00250BEC" w:rsidRPr="00250BEC" w:rsidRDefault="00250BEC" w:rsidP="00250BEC">
      <w:pPr>
        <w:widowControl w:val="0"/>
        <w:ind w:firstLine="0"/>
        <w:jc w:val="center"/>
        <w:rPr>
          <w:rFonts w:ascii="PT Astra Serif" w:eastAsia="Times New Roman" w:hAnsi="PT Astra Serif" w:cs="Times New Roman"/>
          <w:b/>
          <w:szCs w:val="28"/>
          <w:lang w:eastAsia="ru-RU"/>
        </w:rPr>
      </w:pPr>
      <w:r w:rsidRPr="00250BEC">
        <w:rPr>
          <w:rFonts w:ascii="PT Astra Serif" w:eastAsia="Times New Roman" w:hAnsi="PT Astra Serif" w:cs="Times New Roman"/>
          <w:b/>
          <w:szCs w:val="28"/>
          <w:lang w:eastAsia="ru-RU"/>
        </w:rPr>
        <w:lastRenderedPageBreak/>
        <w:t>Привлечение молодежи в сферу закупок</w:t>
      </w:r>
    </w:p>
    <w:p w14:paraId="6C8629C1" w14:textId="77777777" w:rsidR="00250BEC" w:rsidRPr="00250BEC" w:rsidRDefault="00250BEC" w:rsidP="00250BEC">
      <w:pPr>
        <w:widowControl w:val="0"/>
        <w:ind w:firstLine="0"/>
        <w:jc w:val="center"/>
        <w:rPr>
          <w:rFonts w:ascii="PT Astra Serif" w:eastAsia="Times New Roman" w:hAnsi="PT Astra Serif" w:cs="Times New Roman"/>
          <w:b/>
          <w:szCs w:val="28"/>
          <w:lang w:eastAsia="ru-RU"/>
        </w:rPr>
      </w:pPr>
    </w:p>
    <w:p w14:paraId="71FCB73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На протяжении последних лет вакансия «специалист по закупкам» остается одной из самых востребованных на рынке труда. У нас в регионе большое значение придается развитию кадрового потенциала в отраслях </w:t>
      </w:r>
      <w:r w:rsidRPr="00250BEC">
        <w:rPr>
          <w:rFonts w:ascii="PT Astra Serif" w:eastAsia="Calibri" w:hAnsi="PT Astra Serif" w:cs="Times New Roman"/>
          <w:szCs w:val="28"/>
        </w:rPr>
        <w:br/>
        <w:t xml:space="preserve">и сферах </w:t>
      </w:r>
      <w:proofErr w:type="spellStart"/>
      <w:r w:rsidRPr="00250BEC">
        <w:rPr>
          <w:rFonts w:ascii="PT Astra Serif" w:eastAsia="Calibri" w:hAnsi="PT Astra Serif" w:cs="Times New Roman"/>
          <w:szCs w:val="28"/>
        </w:rPr>
        <w:t>госуправления</w:t>
      </w:r>
      <w:proofErr w:type="spellEnd"/>
      <w:r w:rsidRPr="00250BEC">
        <w:rPr>
          <w:rFonts w:ascii="PT Astra Serif" w:eastAsia="Calibri" w:hAnsi="PT Astra Serif" w:cs="Times New Roman"/>
          <w:szCs w:val="28"/>
        </w:rPr>
        <w:t xml:space="preserve">. Агентство также уделяет данному направлению особое внимание, так как принцип профессионализма заказчика является одним из ключевых, установленных Законом 44-ФЗ. </w:t>
      </w:r>
    </w:p>
    <w:p w14:paraId="070E8F2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Агентство ведет работу по трем направлениям:</w:t>
      </w:r>
    </w:p>
    <w:p w14:paraId="5497A077"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 xml:space="preserve">1) взаимодействие с высшими учебными заведениями (далее – ВУЗ) </w:t>
      </w:r>
      <w:r w:rsidRPr="00250BEC">
        <w:rPr>
          <w:rFonts w:ascii="PT Astra Serif" w:eastAsia="Calibri" w:hAnsi="PT Astra Serif" w:cs="Times New Roman"/>
          <w:szCs w:val="28"/>
        </w:rPr>
        <w:br/>
        <w:t>и студентами в рамках проведения «Дней открытых дверей»</w:t>
      </w:r>
      <w:r w:rsidRPr="00250BEC">
        <w:rPr>
          <w:rFonts w:ascii="PT Astra Serif" w:eastAsia="Times New Roman" w:hAnsi="PT Astra Serif" w:cs="Times New Roman"/>
          <w:szCs w:val="28"/>
          <w:lang w:eastAsia="ru-RU"/>
        </w:rPr>
        <w:t xml:space="preserve">, на которых проходит </w:t>
      </w:r>
      <w:r w:rsidRPr="00250BEC">
        <w:rPr>
          <w:rFonts w:ascii="PT Astra Serif" w:eastAsia="Calibri" w:hAnsi="PT Astra Serif" w:cs="Times New Roman"/>
          <w:szCs w:val="28"/>
        </w:rPr>
        <w:t>знакомство будущих молодых специалистов со спецификой работы на государственной службе, в том числе в закупочной сфере.</w:t>
      </w:r>
      <w:r w:rsidRPr="00250BEC">
        <w:rPr>
          <w:rFonts w:ascii="PT Astra Serif" w:eastAsia="Times New Roman" w:hAnsi="PT Astra Serif" w:cs="Times New Roman"/>
          <w:szCs w:val="28"/>
          <w:lang w:eastAsia="ru-RU"/>
        </w:rPr>
        <w:t xml:space="preserve"> </w:t>
      </w:r>
      <w:r w:rsidRPr="00250BEC">
        <w:rPr>
          <w:rFonts w:ascii="PT Astra Serif" w:eastAsia="Calibri" w:hAnsi="PT Astra Serif" w:cs="Times New Roman"/>
          <w:szCs w:val="28"/>
        </w:rPr>
        <w:t>«Дни открытых дверей» проводятся ежегодно;</w:t>
      </w:r>
    </w:p>
    <w:p w14:paraId="57F3DD6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2) организация прохождения практик для студентов ВУЗов в Агентстве. За 2025 год практику прошли 2 студента;</w:t>
      </w:r>
    </w:p>
    <w:p w14:paraId="4180BE8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3) проведение профильной олимпиады для студентов ВУЗов, обучающихся по направлению «Государственное и муниципальное управление», будущих юристов и экономистов.</w:t>
      </w:r>
    </w:p>
    <w:p w14:paraId="03196D2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24.04 - 05.05.2025 Агентством совместно с </w:t>
      </w:r>
      <w:proofErr w:type="spellStart"/>
      <w:r w:rsidRPr="00250BEC">
        <w:rPr>
          <w:rFonts w:ascii="PT Astra Serif" w:eastAsia="Calibri" w:hAnsi="PT Astra Serif" w:cs="Times New Roman"/>
          <w:szCs w:val="28"/>
        </w:rPr>
        <w:t>УлГУ</w:t>
      </w:r>
      <w:proofErr w:type="spellEnd"/>
      <w:r w:rsidRPr="00250BEC">
        <w:rPr>
          <w:rFonts w:ascii="PT Astra Serif" w:eastAsia="Calibri" w:hAnsi="PT Astra Serif" w:cs="Times New Roman"/>
          <w:szCs w:val="28"/>
        </w:rPr>
        <w:t xml:space="preserve"> и </w:t>
      </w:r>
      <w:proofErr w:type="spellStart"/>
      <w:r w:rsidRPr="00250BEC">
        <w:rPr>
          <w:rFonts w:ascii="PT Astra Serif" w:eastAsia="Calibri" w:hAnsi="PT Astra Serif" w:cs="Times New Roman"/>
          <w:szCs w:val="28"/>
        </w:rPr>
        <w:t>УлГТУ</w:t>
      </w:r>
      <w:proofErr w:type="spellEnd"/>
      <w:r w:rsidRPr="00250BEC">
        <w:rPr>
          <w:rFonts w:ascii="PT Astra Serif" w:eastAsia="Calibri" w:hAnsi="PT Astra Serif" w:cs="Times New Roman"/>
          <w:szCs w:val="28"/>
        </w:rPr>
        <w:t xml:space="preserve"> была организована и проведена олимпиада «Управление государственными </w:t>
      </w:r>
      <w:r w:rsidRPr="00250BEC">
        <w:rPr>
          <w:rFonts w:ascii="PT Astra Serif" w:eastAsia="Calibri" w:hAnsi="PT Astra Serif" w:cs="Times New Roman"/>
          <w:szCs w:val="28"/>
        </w:rPr>
        <w:br/>
        <w:t>и муниципальными закупками по Закону 44-ФЗ», в которой приняли участие 35 студентов. Впервые в 2025 году олимпиада прошла в онлайн-формате. Церемония награждения финалистов была проведена в Ульяновской областной торгово-промышленной палате 27.05.2025 в рамках проведения «Дня открытых дверей».</w:t>
      </w:r>
    </w:p>
    <w:p w14:paraId="017C2DA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Благодаря такому подходу многие молодые специалисты сразу после окончания ВУЗов могут начать заниматься закупочной деятельностью, а имея теоретические знания, им проще даётся получение практических навыков </w:t>
      </w:r>
      <w:r w:rsidRPr="00250BEC">
        <w:rPr>
          <w:rFonts w:ascii="PT Astra Serif" w:eastAsia="Calibri" w:hAnsi="PT Astra Serif" w:cs="Times New Roman"/>
          <w:szCs w:val="28"/>
        </w:rPr>
        <w:br/>
        <w:t>в работе.</w:t>
      </w:r>
    </w:p>
    <w:p w14:paraId="13F149E0" w14:textId="77777777" w:rsidR="00250BEC" w:rsidRPr="00250BEC" w:rsidRDefault="00250BEC" w:rsidP="00250B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ascii="PT Astra Serif" w:eastAsia="Times New Roman" w:hAnsi="PT Astra Serif" w:cs="Courier New"/>
          <w:spacing w:val="-5"/>
          <w:szCs w:val="28"/>
          <w:bdr w:val="none" w:sz="0" w:space="0" w:color="auto" w:frame="1"/>
          <w:lang w:eastAsia="ru-RU"/>
        </w:rPr>
      </w:pPr>
      <w:r w:rsidRPr="00250BEC">
        <w:rPr>
          <w:rFonts w:ascii="PT Astra Serif" w:eastAsia="Times New Roman" w:hAnsi="PT Astra Serif" w:cs="Courier New"/>
          <w:spacing w:val="-5"/>
          <w:szCs w:val="28"/>
          <w:bdr w:val="none" w:sz="0" w:space="0" w:color="auto" w:frame="1"/>
          <w:lang w:eastAsia="ru-RU"/>
        </w:rPr>
        <w:t xml:space="preserve">Молодежь привносит свежий взгляд на существующие проблемы </w:t>
      </w:r>
      <w:r w:rsidRPr="00250BEC">
        <w:rPr>
          <w:rFonts w:ascii="PT Astra Serif" w:eastAsia="Times New Roman" w:hAnsi="PT Astra Serif" w:cs="Courier New"/>
          <w:spacing w:val="-5"/>
          <w:szCs w:val="28"/>
          <w:bdr w:val="none" w:sz="0" w:space="0" w:color="auto" w:frame="1"/>
          <w:lang w:eastAsia="ru-RU"/>
        </w:rPr>
        <w:br/>
        <w:t>и возможности совершенствования процессов закупок. Это помогает повысить общую эффективность системы государственных закупок. Они также обеспечивают преемственность поколений и развитие кадрового потенциала, необходимого для устойчивого функционирования и дальнейшего развития экономики региона.</w:t>
      </w:r>
    </w:p>
    <w:p w14:paraId="2AABE2CC" w14:textId="77777777" w:rsidR="00250BEC" w:rsidRPr="00250BEC" w:rsidRDefault="00250BEC" w:rsidP="00250BE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ascii="PT Astra Serif" w:eastAsia="Times New Roman" w:hAnsi="PT Astra Serif" w:cs="Courier New"/>
          <w:spacing w:val="-5"/>
          <w:szCs w:val="28"/>
          <w:lang w:eastAsia="ru-RU"/>
        </w:rPr>
      </w:pPr>
      <w:r w:rsidRPr="00250BEC">
        <w:rPr>
          <w:rFonts w:ascii="PT Astra Serif" w:eastAsia="Times New Roman" w:hAnsi="PT Astra Serif" w:cs="Courier New"/>
          <w:spacing w:val="-5"/>
          <w:szCs w:val="28"/>
          <w:bdr w:val="none" w:sz="0" w:space="0" w:color="auto" w:frame="1"/>
          <w:lang w:eastAsia="ru-RU"/>
        </w:rPr>
        <w:t xml:space="preserve">Таким образом, деятельность Агентства в том числе направлена </w:t>
      </w:r>
      <w:r w:rsidRPr="00250BEC">
        <w:rPr>
          <w:rFonts w:ascii="PT Astra Serif" w:eastAsia="Times New Roman" w:hAnsi="PT Astra Serif" w:cs="Courier New"/>
          <w:spacing w:val="-5"/>
          <w:szCs w:val="28"/>
          <w:bdr w:val="none" w:sz="0" w:space="0" w:color="auto" w:frame="1"/>
          <w:lang w:eastAsia="ru-RU"/>
        </w:rPr>
        <w:br/>
        <w:t>на формирование профессиональной среды, привлекательной для молодежи, обеспечивая приток свежих сил и идей, необходимых для успешной реализации задач, стоящих перед органами власти.</w:t>
      </w:r>
    </w:p>
    <w:p w14:paraId="74E48605" w14:textId="77777777" w:rsidR="00250BEC" w:rsidRPr="00250BEC" w:rsidRDefault="00250BEC" w:rsidP="00250BEC">
      <w:pPr>
        <w:widowControl w:val="0"/>
        <w:autoSpaceDE w:val="0"/>
        <w:autoSpaceDN w:val="0"/>
        <w:adjustRightInd w:val="0"/>
        <w:ind w:firstLine="0"/>
        <w:jc w:val="center"/>
        <w:rPr>
          <w:rFonts w:ascii="PT Astra Serif" w:eastAsia="Times New Roman" w:hAnsi="PT Astra Serif" w:cs="Times New Roman"/>
          <w:b/>
          <w:color w:val="000000"/>
          <w:szCs w:val="28"/>
          <w:lang w:eastAsia="ru-RU"/>
        </w:rPr>
      </w:pPr>
    </w:p>
    <w:p w14:paraId="0E4D6BBD" w14:textId="77777777" w:rsidR="00250BEC" w:rsidRPr="00250BEC" w:rsidRDefault="00250BEC" w:rsidP="00250BEC">
      <w:pPr>
        <w:widowControl w:val="0"/>
        <w:ind w:firstLine="0"/>
        <w:jc w:val="center"/>
        <w:rPr>
          <w:rFonts w:ascii="PT Astra Serif" w:eastAsia="Times New Roman" w:hAnsi="PT Astra Serif" w:cs="Times New Roman"/>
          <w:b/>
          <w:caps/>
          <w:color w:val="000000"/>
          <w:szCs w:val="28"/>
          <w:lang w:eastAsia="ru-RU"/>
        </w:rPr>
      </w:pPr>
      <w:r w:rsidRPr="00250BEC">
        <w:rPr>
          <w:rFonts w:ascii="PT Astra Serif" w:eastAsia="Times New Roman" w:hAnsi="PT Astra Serif" w:cs="Times New Roman"/>
          <w:b/>
          <w:color w:val="000000"/>
          <w:szCs w:val="28"/>
          <w:lang w:eastAsia="ru-RU"/>
        </w:rPr>
        <w:t>Приоритетные цели и задачи на 2026 год</w:t>
      </w:r>
    </w:p>
    <w:p w14:paraId="4B2AEC1B" w14:textId="77777777" w:rsidR="00250BEC" w:rsidRPr="00250BEC" w:rsidRDefault="00250BEC" w:rsidP="00250BEC">
      <w:pPr>
        <w:widowControl w:val="0"/>
        <w:ind w:firstLine="0"/>
        <w:rPr>
          <w:rFonts w:ascii="PT Astra Serif" w:eastAsia="+mn-ea" w:hAnsi="PT Astra Serif" w:cs="Times New Roman"/>
          <w:b/>
          <w:bCs/>
          <w:color w:val="000000"/>
          <w:szCs w:val="28"/>
          <w:lang w:eastAsia="ru-RU"/>
        </w:rPr>
      </w:pPr>
    </w:p>
    <w:p w14:paraId="48B0955C"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
          <w:bCs/>
          <w:color w:val="000000"/>
          <w:szCs w:val="28"/>
          <w:lang w:eastAsia="ru-RU"/>
        </w:rPr>
        <w:t xml:space="preserve">1. Приоритетная цель </w:t>
      </w:r>
      <w:r w:rsidRPr="00250BEC">
        <w:rPr>
          <w:rFonts w:ascii="PT Astra Serif" w:eastAsia="+mn-ea" w:hAnsi="PT Astra Serif" w:cs="Times New Roman"/>
          <w:bCs/>
          <w:color w:val="000000"/>
          <w:szCs w:val="28"/>
          <w:lang w:eastAsia="ru-RU"/>
        </w:rPr>
        <w:t>–</w:t>
      </w:r>
      <w:r w:rsidRPr="00250BEC">
        <w:rPr>
          <w:rFonts w:ascii="PT Astra Serif" w:eastAsia="+mn-ea" w:hAnsi="PT Astra Serif" w:cs="Times New Roman"/>
          <w:b/>
          <w:bCs/>
          <w:color w:val="000000"/>
          <w:szCs w:val="28"/>
          <w:lang w:eastAsia="ru-RU"/>
        </w:rPr>
        <w:t xml:space="preserve"> </w:t>
      </w:r>
      <w:r w:rsidRPr="00250BEC">
        <w:rPr>
          <w:rFonts w:ascii="PT Astra Serif" w:eastAsia="+mn-ea" w:hAnsi="PT Astra Serif" w:cs="Times New Roman"/>
          <w:bCs/>
          <w:color w:val="000000"/>
          <w:szCs w:val="28"/>
          <w:lang w:eastAsia="ru-RU"/>
        </w:rPr>
        <w:t>организация закупочной деятельности (44-ФЗ)</w:t>
      </w:r>
    </w:p>
    <w:p w14:paraId="395EC430" w14:textId="77777777" w:rsidR="00250BEC" w:rsidRPr="00250BEC" w:rsidRDefault="00250BEC" w:rsidP="00250BEC">
      <w:pPr>
        <w:widowControl w:val="0"/>
        <w:rPr>
          <w:rFonts w:ascii="PT Astra Serif" w:eastAsia="+mn-ea" w:hAnsi="PT Astra Serif" w:cs="Times New Roman"/>
          <w:b/>
          <w:bCs/>
          <w:color w:val="000000"/>
          <w:szCs w:val="28"/>
          <w:lang w:eastAsia="ru-RU"/>
        </w:rPr>
      </w:pPr>
      <w:r w:rsidRPr="00250BEC">
        <w:rPr>
          <w:rFonts w:ascii="PT Astra Serif" w:eastAsia="+mn-ea" w:hAnsi="PT Astra Serif" w:cs="Times New Roman"/>
          <w:b/>
          <w:bCs/>
          <w:color w:val="000000"/>
          <w:szCs w:val="28"/>
          <w:lang w:eastAsia="ru-RU"/>
        </w:rPr>
        <w:t xml:space="preserve">Задачи: </w:t>
      </w:r>
    </w:p>
    <w:p w14:paraId="03993025"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lastRenderedPageBreak/>
        <w:t xml:space="preserve">1) организация процесса определения поставщиков (подрядчиков, исполнителей); </w:t>
      </w:r>
    </w:p>
    <w:p w14:paraId="26D8B297"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2) обеспечение открытости и прозрачности информации о закупках;</w:t>
      </w:r>
    </w:p>
    <w:p w14:paraId="624818B4" w14:textId="77777777" w:rsidR="00250BEC" w:rsidRPr="00250BEC" w:rsidRDefault="00250BEC" w:rsidP="00250BEC">
      <w:pPr>
        <w:widowControl w:val="0"/>
        <w:rPr>
          <w:rFonts w:ascii="PT Astra Serif" w:eastAsia="+mn-ea" w:hAnsi="PT Astra Serif" w:cs="Times New Roman"/>
          <w:b/>
          <w:bCs/>
          <w:color w:val="000000"/>
          <w:szCs w:val="28"/>
          <w:lang w:eastAsia="ru-RU"/>
        </w:rPr>
      </w:pPr>
      <w:r w:rsidRPr="00250BEC">
        <w:rPr>
          <w:rFonts w:ascii="PT Astra Serif" w:eastAsia="+mn-ea" w:hAnsi="PT Astra Serif" w:cs="Times New Roman"/>
          <w:bCs/>
          <w:color w:val="000000"/>
          <w:szCs w:val="28"/>
          <w:lang w:eastAsia="ru-RU"/>
        </w:rPr>
        <w:t>3) информационное обеспечение осуществления закупок</w:t>
      </w:r>
      <w:r w:rsidRPr="00250BEC">
        <w:rPr>
          <w:rFonts w:ascii="PT Astra Serif" w:eastAsia="+mn-ea" w:hAnsi="PT Astra Serif" w:cs="Times New Roman"/>
          <w:b/>
          <w:bCs/>
          <w:color w:val="000000"/>
          <w:szCs w:val="28"/>
          <w:lang w:eastAsia="ru-RU"/>
        </w:rPr>
        <w:t>.</w:t>
      </w:r>
    </w:p>
    <w:p w14:paraId="02E8A708" w14:textId="77777777" w:rsidR="00250BEC" w:rsidRPr="00250BEC" w:rsidRDefault="00250BEC" w:rsidP="00250BEC">
      <w:pPr>
        <w:widowControl w:val="0"/>
        <w:rPr>
          <w:rFonts w:ascii="PT Astra Serif" w:eastAsia="+mn-ea" w:hAnsi="PT Astra Serif" w:cs="Times New Roman"/>
          <w:b/>
          <w:bCs/>
          <w:color w:val="000000"/>
          <w:szCs w:val="28"/>
          <w:lang w:eastAsia="ru-RU"/>
        </w:rPr>
      </w:pPr>
      <w:r w:rsidRPr="00250BEC">
        <w:rPr>
          <w:rFonts w:ascii="PT Astra Serif" w:eastAsia="+mn-ea" w:hAnsi="PT Astra Serif" w:cs="Times New Roman"/>
          <w:b/>
          <w:bCs/>
          <w:color w:val="000000"/>
          <w:szCs w:val="28"/>
          <w:lang w:eastAsia="ru-RU"/>
        </w:rPr>
        <w:t>Ключевые показатели эффективности:</w:t>
      </w:r>
    </w:p>
    <w:p w14:paraId="325C9820"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унификация форм и методов организации/осуществления закупочной деятельности (постоянно);</w:t>
      </w:r>
    </w:p>
    <w:p w14:paraId="2544E2A3"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доля проведенных электронных процедур и закупок малого объема через электронные сервисы (не менее 80%);</w:t>
      </w:r>
    </w:p>
    <w:p w14:paraId="5EB75DFB"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доля обработанных обращений пользователей на портале поддержки заказчиков (100%);</w:t>
      </w:r>
    </w:p>
    <w:p w14:paraId="3B9D4D10"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среднее время обработки обращений (первой линии) пользователей на портале поддержки заказчиков (не более 6 часов);</w:t>
      </w:r>
    </w:p>
    <w:p w14:paraId="1CA2215A"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разработка шаблонов проектов контрактов в модуле «Конструктор контрактов» ГИС АЦК-Госзаказ» (не менее 5 шаблонов).</w:t>
      </w:r>
    </w:p>
    <w:p w14:paraId="12E63890"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
          <w:bCs/>
          <w:color w:val="000000"/>
          <w:szCs w:val="28"/>
          <w:lang w:eastAsia="ru-RU"/>
        </w:rPr>
        <w:t>2. Приоритетная цель</w:t>
      </w:r>
      <w:r w:rsidRPr="00250BEC">
        <w:rPr>
          <w:rFonts w:ascii="PT Astra Serif" w:eastAsia="+mn-ea" w:hAnsi="PT Astra Serif" w:cs="Times New Roman"/>
          <w:bCs/>
          <w:color w:val="000000"/>
          <w:szCs w:val="28"/>
          <w:lang w:eastAsia="ru-RU"/>
        </w:rPr>
        <w:t xml:space="preserve"> – регулирование контрактной системы в сфере закупок (44-ФЗ)</w:t>
      </w:r>
    </w:p>
    <w:p w14:paraId="2514AF00" w14:textId="77777777" w:rsidR="00250BEC" w:rsidRPr="00250BEC" w:rsidRDefault="00250BEC" w:rsidP="00250BEC">
      <w:pPr>
        <w:widowControl w:val="0"/>
        <w:kinsoku w:val="0"/>
        <w:overflowPunct w:val="0"/>
        <w:textAlignment w:val="baseline"/>
        <w:rPr>
          <w:rFonts w:ascii="PT Astra Serif" w:eastAsia="+mn-ea" w:hAnsi="PT Astra Serif" w:cs="Times New Roman"/>
          <w:b/>
          <w:bCs/>
          <w:color w:val="000000"/>
          <w:szCs w:val="28"/>
          <w:lang w:eastAsia="ru-RU"/>
        </w:rPr>
      </w:pPr>
      <w:r w:rsidRPr="00250BEC">
        <w:rPr>
          <w:rFonts w:ascii="PT Astra Serif" w:eastAsia="+mn-ea" w:hAnsi="PT Astra Serif" w:cs="Times New Roman"/>
          <w:b/>
          <w:bCs/>
          <w:color w:val="000000"/>
          <w:szCs w:val="28"/>
          <w:lang w:eastAsia="ru-RU"/>
        </w:rPr>
        <w:t xml:space="preserve">Задачи: </w:t>
      </w:r>
    </w:p>
    <w:p w14:paraId="258A5FCE"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1) реализация государственной политики в сфере закупок в регионе;</w:t>
      </w:r>
    </w:p>
    <w:p w14:paraId="488A1C48" w14:textId="77777777" w:rsidR="00250BEC" w:rsidRPr="00250BEC" w:rsidRDefault="00250BEC" w:rsidP="00250BEC">
      <w:pPr>
        <w:widowControl w:val="0"/>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2) мониторинг закупок товаров, работ, услуг;</w:t>
      </w:r>
    </w:p>
    <w:p w14:paraId="756BC3B4" w14:textId="77777777" w:rsidR="00250BEC" w:rsidRPr="00250BEC" w:rsidRDefault="00250BEC" w:rsidP="00250BEC">
      <w:pPr>
        <w:widowControl w:val="0"/>
        <w:kinsoku w:val="0"/>
        <w:overflowPunct w:val="0"/>
        <w:textAlignment w:val="baseline"/>
        <w:rPr>
          <w:rFonts w:ascii="PT Astra Serif" w:eastAsia="+mn-ea" w:hAnsi="PT Astra Serif" w:cs="Times New Roman"/>
          <w:b/>
          <w:bCs/>
          <w:color w:val="000000"/>
          <w:szCs w:val="28"/>
          <w:lang w:eastAsia="ru-RU"/>
        </w:rPr>
      </w:pPr>
      <w:r w:rsidRPr="00250BEC">
        <w:rPr>
          <w:rFonts w:ascii="PT Astra Serif" w:eastAsia="+mn-ea" w:hAnsi="PT Astra Serif" w:cs="Times New Roman"/>
          <w:bCs/>
          <w:color w:val="000000"/>
          <w:szCs w:val="28"/>
          <w:lang w:eastAsia="ru-RU"/>
        </w:rPr>
        <w:t>3) методологическое сопровождение деятельности заказчиков</w:t>
      </w:r>
      <w:r w:rsidRPr="00250BEC">
        <w:rPr>
          <w:rFonts w:ascii="PT Astra Serif" w:eastAsia="+mn-ea" w:hAnsi="PT Astra Serif" w:cs="Times New Roman"/>
          <w:b/>
          <w:bCs/>
          <w:color w:val="000000"/>
          <w:szCs w:val="28"/>
          <w:lang w:eastAsia="ru-RU"/>
        </w:rPr>
        <w:t>.</w:t>
      </w:r>
    </w:p>
    <w:p w14:paraId="423FD085" w14:textId="77777777" w:rsidR="00250BEC" w:rsidRPr="00250BEC" w:rsidRDefault="00250BEC" w:rsidP="00250BEC">
      <w:pPr>
        <w:widowControl w:val="0"/>
        <w:kinsoku w:val="0"/>
        <w:overflowPunct w:val="0"/>
        <w:textAlignment w:val="baseline"/>
        <w:rPr>
          <w:rFonts w:ascii="PT Astra Serif" w:eastAsia="+mn-ea" w:hAnsi="PT Astra Serif" w:cs="Times New Roman"/>
          <w:b/>
          <w:bCs/>
          <w:color w:val="000000"/>
          <w:szCs w:val="28"/>
          <w:lang w:eastAsia="ru-RU"/>
        </w:rPr>
      </w:pPr>
      <w:r w:rsidRPr="00250BEC">
        <w:rPr>
          <w:rFonts w:ascii="PT Astra Serif" w:eastAsia="+mn-ea" w:hAnsi="PT Astra Serif" w:cs="Times New Roman"/>
          <w:b/>
          <w:bCs/>
          <w:color w:val="000000"/>
          <w:szCs w:val="28"/>
          <w:lang w:eastAsia="ru-RU"/>
        </w:rPr>
        <w:t>Ключевые показатели эффективности:</w:t>
      </w:r>
    </w:p>
    <w:p w14:paraId="252F492C"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принятие и актуализация правовых актов в сфере закупок (постоянно);</w:t>
      </w:r>
    </w:p>
    <w:p w14:paraId="2216E212"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осуществление мониторинга закупок (не менее 16 аналитических материалов);</w:t>
      </w:r>
    </w:p>
    <w:p w14:paraId="62EB9225"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организация тестирования специалистов на знание Закона 44-ФЗ </w:t>
      </w:r>
      <w:r w:rsidRPr="00250BEC">
        <w:rPr>
          <w:rFonts w:ascii="PT Astra Serif" w:eastAsia="+mn-ea" w:hAnsi="PT Astra Serif" w:cs="Times New Roman"/>
          <w:bCs/>
          <w:color w:val="000000"/>
          <w:szCs w:val="28"/>
          <w:lang w:eastAsia="ru-RU"/>
        </w:rPr>
        <w:br/>
        <w:t>(не менее 1200 чел.);</w:t>
      </w:r>
    </w:p>
    <w:p w14:paraId="02528BD5"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проведение обучающих/методических мероприятий (не менее </w:t>
      </w:r>
      <w:r w:rsidRPr="00250BEC">
        <w:rPr>
          <w:rFonts w:ascii="PT Astra Serif" w:eastAsia="+mn-ea" w:hAnsi="PT Astra Serif" w:cs="Times New Roman"/>
          <w:bCs/>
          <w:color w:val="000000"/>
          <w:szCs w:val="28"/>
          <w:lang w:eastAsia="ru-RU"/>
        </w:rPr>
        <w:br/>
        <w:t>10 мероприятий);</w:t>
      </w:r>
    </w:p>
    <w:p w14:paraId="33CB1D8E"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проведение экспресс-стажировок для специалистов заказчиков (не менее 100 чел.).</w:t>
      </w:r>
    </w:p>
    <w:p w14:paraId="1239ACC1"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Times New Roman" w:hAnsi="PT Astra Serif" w:cs="Times New Roman"/>
          <w:b/>
          <w:bCs/>
          <w:color w:val="000000"/>
          <w:szCs w:val="28"/>
          <w:lang w:eastAsia="ru-RU"/>
        </w:rPr>
        <w:t>3. Приоритетная цель</w:t>
      </w:r>
      <w:r w:rsidRPr="00250BEC">
        <w:rPr>
          <w:rFonts w:ascii="PT Astra Serif" w:eastAsia="Times New Roman" w:hAnsi="PT Astra Serif" w:cs="Times New Roman"/>
          <w:bCs/>
          <w:color w:val="000000"/>
          <w:szCs w:val="28"/>
          <w:lang w:eastAsia="ru-RU"/>
        </w:rPr>
        <w:t xml:space="preserve"> </w:t>
      </w:r>
      <w:r w:rsidRPr="00250BEC">
        <w:rPr>
          <w:rFonts w:ascii="PT Astra Serif" w:eastAsia="+mn-ea" w:hAnsi="PT Astra Serif" w:cs="Times New Roman"/>
          <w:bCs/>
          <w:color w:val="000000"/>
          <w:szCs w:val="28"/>
          <w:lang w:eastAsia="ru-RU"/>
        </w:rPr>
        <w:t>– регулирование закупок отдельных юридических лиц (223-ФЗ)</w:t>
      </w:r>
    </w:p>
    <w:p w14:paraId="49A51C43"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
          <w:bCs/>
          <w:color w:val="000000"/>
          <w:szCs w:val="28"/>
          <w:lang w:eastAsia="ru-RU"/>
        </w:rPr>
        <w:t>Задачи:</w:t>
      </w:r>
    </w:p>
    <w:p w14:paraId="5E3A205D"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1) ведение и актуализация типового положения о закупке;</w:t>
      </w:r>
    </w:p>
    <w:p w14:paraId="76F86A72"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2) организация оценки соответствия и мониторинга соответствия </w:t>
      </w:r>
      <w:r w:rsidRPr="00250BEC">
        <w:rPr>
          <w:rFonts w:ascii="PT Astra Serif" w:eastAsia="+mn-ea" w:hAnsi="PT Astra Serif" w:cs="Times New Roman"/>
          <w:bCs/>
          <w:color w:val="000000"/>
          <w:szCs w:val="28"/>
          <w:lang w:eastAsia="ru-RU"/>
        </w:rPr>
        <w:br/>
        <w:t>по Закону 223-ФЗ;</w:t>
      </w:r>
    </w:p>
    <w:p w14:paraId="33188F60"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3) мониторинг закупок товаров, работ, услуг;</w:t>
      </w:r>
    </w:p>
    <w:p w14:paraId="5041285F"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
          <w:bCs/>
          <w:color w:val="000000"/>
          <w:szCs w:val="28"/>
          <w:lang w:eastAsia="ru-RU"/>
        </w:rPr>
      </w:pPr>
      <w:r w:rsidRPr="00250BEC">
        <w:rPr>
          <w:rFonts w:ascii="PT Astra Serif" w:eastAsia="+mn-ea" w:hAnsi="PT Astra Serif" w:cs="Times New Roman"/>
          <w:bCs/>
          <w:color w:val="000000"/>
          <w:szCs w:val="28"/>
          <w:lang w:eastAsia="ru-RU"/>
        </w:rPr>
        <w:t>4) методологическое сопровождение деятельности заказчиков</w:t>
      </w:r>
      <w:r w:rsidRPr="00250BEC">
        <w:rPr>
          <w:rFonts w:ascii="PT Astra Serif" w:eastAsia="+mn-ea" w:hAnsi="PT Astra Serif" w:cs="Times New Roman"/>
          <w:b/>
          <w:bCs/>
          <w:color w:val="000000"/>
          <w:szCs w:val="28"/>
          <w:lang w:eastAsia="ru-RU"/>
        </w:rPr>
        <w:t>.</w:t>
      </w:r>
    </w:p>
    <w:p w14:paraId="6EB69DD3" w14:textId="77777777" w:rsidR="00250BEC" w:rsidRPr="00250BEC" w:rsidRDefault="00250BEC" w:rsidP="00250BEC">
      <w:pPr>
        <w:widowControl w:val="0"/>
        <w:tabs>
          <w:tab w:val="left" w:pos="142"/>
        </w:tabs>
        <w:kinsoku w:val="0"/>
        <w:overflowPunct w:val="0"/>
        <w:textAlignment w:val="baseline"/>
        <w:rPr>
          <w:rFonts w:ascii="PT Astra Serif" w:eastAsia="+mn-ea" w:hAnsi="PT Astra Serif" w:cs="Times New Roman"/>
          <w:b/>
          <w:bCs/>
          <w:color w:val="000000"/>
          <w:szCs w:val="28"/>
          <w:lang w:eastAsia="ru-RU"/>
        </w:rPr>
      </w:pPr>
      <w:r w:rsidRPr="00250BEC">
        <w:rPr>
          <w:rFonts w:ascii="PT Astra Serif" w:eastAsia="+mn-ea" w:hAnsi="PT Astra Serif" w:cs="Times New Roman"/>
          <w:b/>
          <w:bCs/>
          <w:color w:val="000000"/>
          <w:szCs w:val="28"/>
          <w:lang w:eastAsia="ru-RU"/>
        </w:rPr>
        <w:t>Ключевые показатели эффективности:</w:t>
      </w:r>
    </w:p>
    <w:p w14:paraId="6ED19545"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актуализация типового положения о закупке (постоянно);</w:t>
      </w:r>
    </w:p>
    <w:p w14:paraId="79586E60"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среднее время выдачи уведомлений/заключений при проведении оценки соответствия и мониторинга соответствия по Закону 223-ФЗ (не более 4 часов);</w:t>
      </w:r>
    </w:p>
    <w:p w14:paraId="508F51E2"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осуществление мониторинга закупок (не менее 12 аналитических </w:t>
      </w:r>
      <w:r w:rsidRPr="00250BEC">
        <w:rPr>
          <w:rFonts w:ascii="PT Astra Serif" w:eastAsia="+mn-ea" w:hAnsi="PT Astra Serif" w:cs="Times New Roman"/>
          <w:bCs/>
          <w:color w:val="000000"/>
          <w:szCs w:val="28"/>
          <w:lang w:eastAsia="ru-RU"/>
        </w:rPr>
        <w:lastRenderedPageBreak/>
        <w:t>материалов);</w:t>
      </w:r>
    </w:p>
    <w:p w14:paraId="2545326E"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организация тестирования специалистов на знание Закона 223-ФЗ </w:t>
      </w:r>
      <w:r w:rsidRPr="00250BEC">
        <w:rPr>
          <w:rFonts w:ascii="PT Astra Serif" w:eastAsia="+mn-ea" w:hAnsi="PT Astra Serif" w:cs="Times New Roman"/>
          <w:bCs/>
          <w:color w:val="000000"/>
          <w:szCs w:val="28"/>
          <w:lang w:eastAsia="ru-RU"/>
        </w:rPr>
        <w:br/>
        <w:t>(не менее 100 чел.);</w:t>
      </w:r>
    </w:p>
    <w:p w14:paraId="6AAC6BF1"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 xml:space="preserve">проведение обучающих/методических мероприятий (не менее </w:t>
      </w:r>
      <w:r w:rsidRPr="00250BEC">
        <w:rPr>
          <w:rFonts w:ascii="PT Astra Serif" w:eastAsia="+mn-ea" w:hAnsi="PT Astra Serif" w:cs="Times New Roman"/>
          <w:bCs/>
          <w:color w:val="000000"/>
          <w:szCs w:val="28"/>
          <w:lang w:eastAsia="ru-RU"/>
        </w:rPr>
        <w:br/>
        <w:t>5 мероприятий);</w:t>
      </w:r>
    </w:p>
    <w:p w14:paraId="73B5EF6A" w14:textId="77777777" w:rsidR="00250BEC" w:rsidRPr="00250BEC" w:rsidRDefault="00250BEC" w:rsidP="00250BEC">
      <w:pPr>
        <w:widowControl w:val="0"/>
        <w:rPr>
          <w:rFonts w:ascii="PT Astra Serif" w:eastAsia="+mn-ea" w:hAnsi="PT Astra Serif" w:cs="Times New Roman"/>
          <w:bCs/>
          <w:color w:val="000000"/>
          <w:szCs w:val="28"/>
          <w:lang w:eastAsia="ru-RU"/>
        </w:rPr>
      </w:pPr>
      <w:r w:rsidRPr="00250BEC">
        <w:rPr>
          <w:rFonts w:ascii="PT Astra Serif" w:eastAsia="+mn-ea" w:hAnsi="PT Astra Serif" w:cs="Times New Roman"/>
          <w:bCs/>
          <w:color w:val="000000"/>
          <w:szCs w:val="28"/>
          <w:lang w:eastAsia="ru-RU"/>
        </w:rPr>
        <w:t>проведение экспресс-стажировок для специалистов заказчиков (не менее 50 чел.)</w:t>
      </w:r>
    </w:p>
    <w:p w14:paraId="25AEA0CF" w14:textId="77777777" w:rsidR="00250BEC" w:rsidRPr="00250BEC" w:rsidRDefault="00250BEC" w:rsidP="00250BEC">
      <w:pPr>
        <w:widowControl w:val="0"/>
        <w:rPr>
          <w:rFonts w:ascii="PT Astra Serif" w:hAnsi="PT Astra Serif" w:cs="Mangal"/>
          <w:b/>
          <w:color w:val="000000"/>
          <w:kern w:val="2"/>
          <w:szCs w:val="28"/>
          <w:lang w:eastAsia="hi-IN" w:bidi="hi-IN"/>
        </w:rPr>
      </w:pPr>
      <w:r w:rsidRPr="00250BEC">
        <w:rPr>
          <w:rFonts w:ascii="PT Astra Serif" w:hAnsi="PT Astra Serif" w:cs="Mangal"/>
          <w:b/>
          <w:color w:val="000000"/>
          <w:kern w:val="2"/>
          <w:szCs w:val="28"/>
          <w:lang w:eastAsia="hi-IN" w:bidi="hi-IN"/>
        </w:rPr>
        <w:t xml:space="preserve">Ожидаемый результат: </w:t>
      </w:r>
    </w:p>
    <w:p w14:paraId="375BDCDF"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1. Повышение эффективности организации закупочной деятельности – создание благоприятных условий для бесперебойного и надлежащего обеспечения государственных нужд, а также регулирования закупок отдельных видов юридических лиц.</w:t>
      </w:r>
    </w:p>
    <w:p w14:paraId="5A352F47"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2. Цифровизация, автоматизация и унификация закупочного процесса.</w:t>
      </w:r>
    </w:p>
    <w:p w14:paraId="45638F95"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3. Обеспечение открытости и прозрачности закупок, обеспечение добросовестной конкуренции и предупреждение злоупотреблений в сфере закупок.</w:t>
      </w:r>
    </w:p>
    <w:p w14:paraId="17882A56" w14:textId="77777777" w:rsidR="00250BEC" w:rsidRPr="00250BEC" w:rsidRDefault="00250BEC" w:rsidP="00250BEC">
      <w:pPr>
        <w:widowControl w:val="0"/>
        <w:rPr>
          <w:rFonts w:ascii="PT Astra Serif" w:hAnsi="PT Astra Serif" w:cs="Mangal"/>
          <w:color w:val="000000"/>
          <w:kern w:val="2"/>
          <w:szCs w:val="28"/>
          <w:lang w:eastAsia="hi-IN" w:bidi="hi-IN"/>
        </w:rPr>
      </w:pPr>
      <w:r w:rsidRPr="00250BEC">
        <w:rPr>
          <w:rFonts w:ascii="PT Astra Serif" w:hAnsi="PT Astra Serif" w:cs="Mangal"/>
          <w:color w:val="000000"/>
          <w:kern w:val="2"/>
          <w:szCs w:val="28"/>
          <w:lang w:eastAsia="hi-IN" w:bidi="hi-IN"/>
        </w:rPr>
        <w:t xml:space="preserve">4. Повышение профессионализма заказчиков Ульяновской области </w:t>
      </w:r>
      <w:r w:rsidRPr="00250BEC">
        <w:rPr>
          <w:rFonts w:ascii="PT Astra Serif" w:hAnsi="PT Astra Serif" w:cs="Mangal"/>
          <w:color w:val="000000"/>
          <w:kern w:val="2"/>
          <w:szCs w:val="28"/>
          <w:lang w:eastAsia="hi-IN" w:bidi="hi-IN"/>
        </w:rPr>
        <w:br/>
        <w:t>в сфере закупок.</w:t>
      </w:r>
    </w:p>
    <w:p w14:paraId="5DCCEB99" w14:textId="77777777" w:rsidR="00250BEC" w:rsidRPr="00250BEC" w:rsidRDefault="00250BEC" w:rsidP="00250BEC">
      <w:pPr>
        <w:widowControl w:val="0"/>
        <w:ind w:firstLine="0"/>
        <w:jc w:val="center"/>
        <w:rPr>
          <w:rFonts w:ascii="PT Astra Serif" w:eastAsia="Calibri" w:hAnsi="PT Astra Serif"/>
          <w:b/>
          <w:szCs w:val="28"/>
        </w:rPr>
      </w:pPr>
    </w:p>
    <w:p w14:paraId="72094EC3" w14:textId="616FF1C4" w:rsidR="00250BEC" w:rsidRDefault="00250BEC">
      <w:pPr>
        <w:spacing w:after="160" w:line="259" w:lineRule="auto"/>
        <w:ind w:firstLine="0"/>
        <w:jc w:val="left"/>
        <w:rPr>
          <w:rFonts w:ascii="PT Astra Serif" w:eastAsia="Calibri" w:hAnsi="PT Astra Serif" w:cs="Times New Roman"/>
          <w:szCs w:val="28"/>
        </w:rPr>
      </w:pPr>
      <w:r>
        <w:rPr>
          <w:rFonts w:ascii="PT Astra Serif" w:eastAsia="Calibri" w:hAnsi="PT Astra Serif" w:cs="Times New Roman"/>
          <w:szCs w:val="28"/>
        </w:rPr>
        <w:br w:type="page"/>
      </w:r>
    </w:p>
    <w:p w14:paraId="6DA798D8" w14:textId="77777777" w:rsidR="00250BEC" w:rsidRPr="00250BEC" w:rsidRDefault="00250BEC" w:rsidP="00250BEC">
      <w:pPr>
        <w:keepNext/>
        <w:keepLines/>
        <w:widowControl w:val="0"/>
        <w:ind w:firstLine="0"/>
        <w:jc w:val="center"/>
        <w:outlineLvl w:val="0"/>
        <w:rPr>
          <w:rFonts w:ascii="PT Astra Serif" w:hAnsi="PT Astra Serif"/>
          <w:b/>
          <w:color w:val="000000" w:themeColor="text1"/>
          <w:szCs w:val="28"/>
          <w:shd w:val="clear" w:color="auto" w:fill="FFFFFF"/>
          <w:lang w:val="x-none" w:eastAsia="x-none"/>
        </w:rPr>
      </w:pPr>
      <w:bookmarkStart w:id="47" w:name="_Toc225327537"/>
      <w:bookmarkStart w:id="48" w:name="_Toc226016709"/>
      <w:bookmarkStart w:id="49" w:name="_GoBack"/>
      <w:bookmarkEnd w:id="49"/>
      <w:r w:rsidRPr="00250BEC">
        <w:rPr>
          <w:rFonts w:ascii="PT Astra Serif" w:hAnsi="PT Astra Serif"/>
          <w:b/>
          <w:color w:val="000000" w:themeColor="text1"/>
          <w:szCs w:val="28"/>
          <w:shd w:val="clear" w:color="auto" w:fill="FFFFFF"/>
          <w:lang w:eastAsia="x-none"/>
        </w:rPr>
        <w:lastRenderedPageBreak/>
        <w:t xml:space="preserve">ВЗАИМОДЕЙСТВИЕ С ИНСТИТУТАМИ </w:t>
      </w:r>
      <w:r w:rsidRPr="00250BEC">
        <w:rPr>
          <w:rFonts w:ascii="PT Astra Serif" w:hAnsi="PT Astra Serif"/>
          <w:b/>
          <w:color w:val="000000" w:themeColor="text1"/>
          <w:szCs w:val="28"/>
          <w:shd w:val="clear" w:color="auto" w:fill="FFFFFF"/>
          <w:lang w:eastAsia="x-none"/>
        </w:rPr>
        <w:br/>
        <w:t>ГРАЖДАНСКОГО ОБЩЕСТВА</w:t>
      </w:r>
      <w:bookmarkEnd w:id="47"/>
      <w:bookmarkEnd w:id="48"/>
      <w:r w:rsidRPr="00250BEC">
        <w:rPr>
          <w:rFonts w:ascii="PT Astra Serif" w:hAnsi="PT Astra Serif"/>
          <w:b/>
          <w:color w:val="000000" w:themeColor="text1"/>
          <w:szCs w:val="28"/>
          <w:shd w:val="clear" w:color="auto" w:fill="FFFFFF"/>
          <w:lang w:eastAsia="x-none"/>
        </w:rPr>
        <w:t xml:space="preserve"> </w:t>
      </w:r>
    </w:p>
    <w:p w14:paraId="519F7926" w14:textId="77777777" w:rsidR="00250BEC" w:rsidRPr="00250BEC" w:rsidRDefault="00250BEC" w:rsidP="00250BEC">
      <w:pPr>
        <w:widowControl w:val="0"/>
        <w:contextualSpacing/>
        <w:rPr>
          <w:rFonts w:ascii="PT Astra Serif" w:hAnsi="PT Astra Serif"/>
          <w:color w:val="000000" w:themeColor="text1"/>
          <w:highlight w:val="yellow"/>
          <w:shd w:val="clear" w:color="auto" w:fill="FFFFFF"/>
        </w:rPr>
      </w:pPr>
    </w:p>
    <w:p w14:paraId="6DF7892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По состоянию на 01.03.2026 в Ульяновской области зарегистрировано 2 027 некоммерческих организаций, из них большая часть являются социально ориентированными (в 2025 году - 2 080). </w:t>
      </w:r>
    </w:p>
    <w:p w14:paraId="4C56BCD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bCs/>
          <w:szCs w:val="28"/>
        </w:rPr>
        <w:t>Подведомственной организацией</w:t>
      </w:r>
      <w:r w:rsidRPr="00250BEC">
        <w:rPr>
          <w:rFonts w:ascii="PT Astra Serif" w:eastAsia="Calibri" w:hAnsi="PT Astra Serif" w:cs="Times New Roman"/>
          <w:szCs w:val="28"/>
        </w:rPr>
        <w:t xml:space="preserve"> в Правительстве Ульяновской области в сфере развития гражданского общества, является Областное государственное казённое учреждение </w:t>
      </w:r>
      <w:r w:rsidRPr="00250BEC">
        <w:rPr>
          <w:rFonts w:ascii="PT Astra Serif" w:eastAsia="Calibri" w:hAnsi="PT Astra Serif" w:cs="Times New Roman"/>
          <w:b/>
          <w:szCs w:val="28"/>
        </w:rPr>
        <w:t>«Дом прав человека в Ульяновской области»</w:t>
      </w:r>
      <w:r w:rsidRPr="00250BEC">
        <w:rPr>
          <w:rFonts w:ascii="PT Astra Serif" w:eastAsia="Calibri" w:hAnsi="PT Astra Serif" w:cs="Times New Roman"/>
          <w:szCs w:val="28"/>
        </w:rPr>
        <w:t>. Директор: С.Н. Терехин. Количество сотрудников – 45.</w:t>
      </w:r>
    </w:p>
    <w:p w14:paraId="369886F6" w14:textId="77777777" w:rsidR="00250BEC" w:rsidRPr="00250BEC" w:rsidRDefault="00250BEC" w:rsidP="00250BEC">
      <w:pPr>
        <w:widowControl w:val="0"/>
        <w:rPr>
          <w:rFonts w:ascii="PT Astra Serif" w:eastAsia="Calibri" w:hAnsi="PT Astra Serif" w:cs="Times New Roman"/>
          <w:spacing w:val="-20"/>
          <w:szCs w:val="28"/>
        </w:rPr>
      </w:pPr>
      <w:r w:rsidRPr="00250BEC">
        <w:rPr>
          <w:rFonts w:ascii="PT Astra Serif" w:eastAsia="Calibri" w:hAnsi="PT Astra Serif" w:cs="Times New Roman"/>
          <w:szCs w:val="28"/>
        </w:rPr>
        <w:t xml:space="preserve">Финансирование мероприятий отрасли осуществляется в рамках подпрограммы «Содействие институтам гражданского общества и поддержка социально ориентированных некоммерческих организаций и добровольческой (волонтерской) деятельности в Ульяновской области» Государственной программы Ульяновской области «Гражданское общество и государственная национальная политика в Ульяновской области», утверждённой постановлением Правительства Ульяновской области от 14.11.2019 </w:t>
      </w:r>
      <w:r w:rsidRPr="00250BEC">
        <w:rPr>
          <w:rFonts w:ascii="PT Astra Serif" w:eastAsia="Calibri" w:hAnsi="PT Astra Serif" w:cs="Times New Roman"/>
          <w:spacing w:val="-20"/>
          <w:szCs w:val="28"/>
        </w:rPr>
        <w:t>№ 26/587-П</w:t>
      </w:r>
    </w:p>
    <w:p w14:paraId="147E5DF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bCs/>
          <w:szCs w:val="28"/>
        </w:rPr>
        <w:t>На 2025 год</w:t>
      </w:r>
      <w:r w:rsidRPr="00250BEC">
        <w:rPr>
          <w:rFonts w:ascii="PT Astra Serif" w:eastAsia="Calibri" w:hAnsi="PT Astra Serif" w:cs="Times New Roman"/>
          <w:szCs w:val="28"/>
        </w:rPr>
        <w:t xml:space="preserve"> было запланировано финансирование в рамках государственной программы в размере </w:t>
      </w:r>
      <w:r w:rsidRPr="00250BEC">
        <w:rPr>
          <w:rFonts w:ascii="PT Astra Serif" w:eastAsia="Calibri" w:hAnsi="PT Astra Serif" w:cs="Times New Roman"/>
          <w:b/>
          <w:bCs/>
          <w:szCs w:val="28"/>
        </w:rPr>
        <w:t xml:space="preserve">397,09 тыс. рублей, </w:t>
      </w:r>
      <w:r w:rsidRPr="00250BEC">
        <w:rPr>
          <w:rFonts w:ascii="PT Astra Serif" w:eastAsia="Calibri" w:hAnsi="PT Astra Serif" w:cs="Times New Roman"/>
          <w:bCs/>
          <w:szCs w:val="28"/>
        </w:rPr>
        <w:t>из них о</w:t>
      </w:r>
      <w:r w:rsidRPr="00250BEC">
        <w:rPr>
          <w:rFonts w:ascii="PT Astra Serif" w:eastAsia="Calibri" w:hAnsi="PT Astra Serif" w:cs="Times New Roman"/>
          <w:szCs w:val="28"/>
        </w:rPr>
        <w:t xml:space="preserve">своено – </w:t>
      </w:r>
      <w:r w:rsidRPr="00250BEC">
        <w:rPr>
          <w:rFonts w:ascii="PT Astra Serif" w:eastAsia="Calibri" w:hAnsi="PT Astra Serif" w:cs="Times New Roman"/>
          <w:b/>
          <w:bCs/>
          <w:szCs w:val="28"/>
        </w:rPr>
        <w:t xml:space="preserve">397,09 тыс. рублей (100%), </w:t>
      </w:r>
      <w:r w:rsidRPr="00250BEC">
        <w:rPr>
          <w:rFonts w:ascii="PT Astra Serif" w:eastAsia="Calibri" w:hAnsi="PT Astra Serif" w:cs="Times New Roman"/>
          <w:bCs/>
          <w:szCs w:val="28"/>
        </w:rPr>
        <w:t xml:space="preserve">на обеспечение деятельности Общественной палаты Ульяновской области и содержание здания «Дома прав человека </w:t>
      </w:r>
      <w:r w:rsidRPr="00250BEC">
        <w:rPr>
          <w:rFonts w:ascii="PT Astra Serif" w:eastAsia="Calibri" w:hAnsi="PT Astra Serif" w:cs="Times New Roman"/>
          <w:bCs/>
          <w:szCs w:val="28"/>
        </w:rPr>
        <w:br/>
        <w:t>в Ульяновской области» были предусмотрены средства в размере</w:t>
      </w:r>
      <w:r w:rsidRPr="00250BEC">
        <w:rPr>
          <w:rFonts w:ascii="PT Astra Serif" w:eastAsia="Calibri" w:hAnsi="PT Astra Serif" w:cs="Times New Roman"/>
          <w:b/>
          <w:bCs/>
          <w:szCs w:val="28"/>
        </w:rPr>
        <w:t xml:space="preserve"> 30 205,8</w:t>
      </w:r>
      <w:r w:rsidRPr="00250BEC">
        <w:rPr>
          <w:rFonts w:ascii="PT Astra Serif" w:eastAsia="Calibri" w:hAnsi="PT Astra Serif" w:cs="Times New Roman"/>
          <w:bCs/>
          <w:szCs w:val="28"/>
        </w:rPr>
        <w:t xml:space="preserve"> </w:t>
      </w:r>
      <w:proofErr w:type="spellStart"/>
      <w:r w:rsidRPr="00250BEC">
        <w:rPr>
          <w:rFonts w:ascii="PT Astra Serif" w:eastAsia="Calibri" w:hAnsi="PT Astra Serif" w:cs="Times New Roman"/>
          <w:b/>
          <w:bCs/>
          <w:szCs w:val="28"/>
        </w:rPr>
        <w:t>тыс</w:t>
      </w:r>
      <w:proofErr w:type="spellEnd"/>
      <w:r w:rsidRPr="00250BEC">
        <w:rPr>
          <w:rFonts w:ascii="PT Astra Serif" w:eastAsia="Calibri" w:hAnsi="PT Astra Serif" w:cs="Times New Roman"/>
          <w:b/>
          <w:bCs/>
          <w:szCs w:val="28"/>
        </w:rPr>
        <w:t xml:space="preserve"> рублей,</w:t>
      </w:r>
      <w:r w:rsidRPr="00250BEC">
        <w:rPr>
          <w:rFonts w:ascii="PT Astra Serif" w:eastAsia="Calibri" w:hAnsi="PT Astra Serif" w:cs="Times New Roman"/>
          <w:bCs/>
          <w:szCs w:val="28"/>
        </w:rPr>
        <w:t xml:space="preserve"> из них о</w:t>
      </w:r>
      <w:r w:rsidRPr="00250BEC">
        <w:rPr>
          <w:rFonts w:ascii="PT Astra Serif" w:eastAsia="Calibri" w:hAnsi="PT Astra Serif" w:cs="Times New Roman"/>
          <w:szCs w:val="28"/>
        </w:rPr>
        <w:t xml:space="preserve">своено – </w:t>
      </w:r>
      <w:r w:rsidRPr="00250BEC">
        <w:rPr>
          <w:rFonts w:ascii="PT Astra Serif" w:eastAsia="Calibri" w:hAnsi="PT Astra Serif" w:cs="Times New Roman"/>
          <w:b/>
          <w:bCs/>
          <w:szCs w:val="28"/>
        </w:rPr>
        <w:t>30 122,5 тыс. рублей (99,7%).</w:t>
      </w:r>
    </w:p>
    <w:p w14:paraId="4EE6A07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 xml:space="preserve">Основным институтом гражданского общества является Общественная палата Ульяновской области. С июля 2023 года действует </w:t>
      </w:r>
      <w:r w:rsidRPr="00250BEC">
        <w:rPr>
          <w:rFonts w:ascii="PT Astra Serif" w:eastAsia="Calibri" w:hAnsi="PT Astra Serif" w:cs="Times New Roman"/>
          <w:szCs w:val="28"/>
          <w:lang w:val="en-US"/>
        </w:rPr>
        <w:t>VIII</w:t>
      </w:r>
      <w:r w:rsidRPr="00250BEC">
        <w:rPr>
          <w:rFonts w:ascii="PT Astra Serif" w:eastAsia="Calibri" w:hAnsi="PT Astra Serif" w:cs="Times New Roman"/>
          <w:szCs w:val="28"/>
        </w:rPr>
        <w:t xml:space="preserve"> созыв палаты, председателем была избрана И.А. </w:t>
      </w:r>
      <w:proofErr w:type="spellStart"/>
      <w:r w:rsidRPr="00250BEC">
        <w:rPr>
          <w:rFonts w:ascii="PT Astra Serif" w:eastAsia="Calibri" w:hAnsi="PT Astra Serif" w:cs="Times New Roman"/>
          <w:szCs w:val="28"/>
        </w:rPr>
        <w:t>Колоткова</w:t>
      </w:r>
      <w:proofErr w:type="spellEnd"/>
      <w:r w:rsidRPr="00250BEC">
        <w:rPr>
          <w:rFonts w:ascii="PT Astra Serif" w:eastAsia="Calibri" w:hAnsi="PT Astra Serif" w:cs="Times New Roman"/>
          <w:szCs w:val="28"/>
        </w:rPr>
        <w:t xml:space="preserve">, главный редактор ТК «Репортёр». В настоящее время в состав региональной Общественной палаты входят 54 действующих члена. </w:t>
      </w:r>
    </w:p>
    <w:p w14:paraId="00A70519" w14:textId="77777777" w:rsidR="00250BEC" w:rsidRPr="00250BEC" w:rsidRDefault="00250BEC" w:rsidP="00250BEC">
      <w:pPr>
        <w:widowControl w:val="0"/>
        <w:rPr>
          <w:rFonts w:ascii="PT Astra Serif" w:eastAsia="Calibri" w:hAnsi="PT Astra Serif" w:cs="Arial"/>
          <w:szCs w:val="28"/>
        </w:rPr>
      </w:pPr>
      <w:r w:rsidRPr="00250BEC">
        <w:rPr>
          <w:rFonts w:ascii="PT Astra Serif" w:eastAsia="Calibri" w:hAnsi="PT Astra Serif" w:cs="Arial"/>
          <w:szCs w:val="28"/>
        </w:rPr>
        <w:t xml:space="preserve">Благодаря слаженной работе </w:t>
      </w:r>
      <w:r w:rsidRPr="00250BEC">
        <w:rPr>
          <w:rFonts w:ascii="PT Astra Serif" w:eastAsia="Calibri" w:hAnsi="PT Astra Serif" w:cs="Times New Roman"/>
          <w:szCs w:val="28"/>
        </w:rPr>
        <w:t>региональная Общественная палата третий год подряд возглавила Всероссийский рейтинг общественных палат (проводится</w:t>
      </w:r>
      <w:r w:rsidRPr="00250BEC">
        <w:rPr>
          <w:rFonts w:ascii="PT Astra Serif" w:eastAsia="Calibri" w:hAnsi="PT Astra Serif" w:cs="Arial"/>
          <w:szCs w:val="28"/>
        </w:rPr>
        <w:t xml:space="preserve"> рейтинговым агентством RAEX и Общественной палатой Российской Федерации).</w:t>
      </w:r>
    </w:p>
    <w:p w14:paraId="227B39F8" w14:textId="77777777" w:rsidR="00250BEC" w:rsidRPr="00250BEC" w:rsidRDefault="00250BEC" w:rsidP="00250BEC">
      <w:pPr>
        <w:widowControl w:val="0"/>
        <w:shd w:val="clear" w:color="auto" w:fill="FFFFFF"/>
        <w:rPr>
          <w:rFonts w:ascii="PT Astra Serif" w:eastAsia="Calibri" w:hAnsi="PT Astra Serif" w:cs="Arial"/>
          <w:szCs w:val="28"/>
        </w:rPr>
      </w:pPr>
      <w:r w:rsidRPr="00250BEC">
        <w:rPr>
          <w:rFonts w:ascii="PT Astra Serif" w:eastAsia="Calibri" w:hAnsi="PT Astra Serif" w:cs="Arial"/>
          <w:b/>
          <w:bCs/>
          <w:szCs w:val="28"/>
        </w:rPr>
        <w:t>Общественная палата Ульяновской области в 2025 году заняла:</w:t>
      </w:r>
    </w:p>
    <w:p w14:paraId="6C6BA72C" w14:textId="77777777" w:rsidR="00250BEC" w:rsidRPr="00250BEC" w:rsidRDefault="00250BEC" w:rsidP="00250BEC">
      <w:pPr>
        <w:widowControl w:val="0"/>
        <w:shd w:val="clear" w:color="auto" w:fill="FFFFFF"/>
        <w:rPr>
          <w:rFonts w:ascii="PT Astra Serif" w:eastAsia="Calibri" w:hAnsi="PT Astra Serif" w:cs="Arial"/>
          <w:szCs w:val="28"/>
        </w:rPr>
      </w:pPr>
      <w:r w:rsidRPr="00250BEC">
        <w:rPr>
          <w:rFonts w:ascii="PT Astra Serif" w:eastAsia="Calibri" w:hAnsi="PT Astra Serif" w:cs="Arial"/>
          <w:b/>
          <w:bCs/>
          <w:szCs w:val="28"/>
        </w:rPr>
        <w:t xml:space="preserve">1 место в ОБЩЕМ РЕЙТИНГЕ, </w:t>
      </w:r>
      <w:r w:rsidRPr="00250BEC">
        <w:rPr>
          <w:rFonts w:ascii="PT Astra Serif" w:eastAsia="Calibri" w:hAnsi="PT Astra Serif" w:cs="Arial"/>
          <w:szCs w:val="28"/>
        </w:rPr>
        <w:t xml:space="preserve">среди регионов России по совокупности всех факторов в 2023 году вышла на первое место и в 2024 </w:t>
      </w:r>
      <w:r w:rsidRPr="00250BEC">
        <w:rPr>
          <w:rFonts w:ascii="PT Astra Serif" w:eastAsia="Calibri" w:hAnsi="PT Astra Serif" w:cs="Arial"/>
          <w:szCs w:val="28"/>
        </w:rPr>
        <w:br/>
        <w:t>и 2025 годах смогла удержать эту позицию</w:t>
      </w:r>
      <w:r w:rsidRPr="00250BEC">
        <w:rPr>
          <w:rFonts w:ascii="PT Astra Serif" w:eastAsia="Calibri" w:hAnsi="PT Astra Serif" w:cs="Arial"/>
          <w:b/>
          <w:bCs/>
          <w:szCs w:val="28"/>
        </w:rPr>
        <w:t>;</w:t>
      </w:r>
    </w:p>
    <w:p w14:paraId="78F944A5" w14:textId="77777777" w:rsidR="00250BEC" w:rsidRPr="00250BEC" w:rsidRDefault="00250BEC" w:rsidP="00250BEC">
      <w:pPr>
        <w:widowControl w:val="0"/>
        <w:shd w:val="clear" w:color="auto" w:fill="FFFFFF"/>
        <w:rPr>
          <w:rFonts w:ascii="PT Astra Serif" w:eastAsia="Calibri" w:hAnsi="PT Astra Serif" w:cs="Times New Roman"/>
          <w:b/>
          <w:bCs/>
          <w:szCs w:val="28"/>
        </w:rPr>
      </w:pPr>
      <w:r w:rsidRPr="00250BEC">
        <w:rPr>
          <w:rFonts w:ascii="PT Astra Serif" w:eastAsia="Calibri" w:hAnsi="PT Astra Serif" w:cs="Arial"/>
          <w:b/>
          <w:bCs/>
          <w:szCs w:val="28"/>
        </w:rPr>
        <w:t xml:space="preserve">1 место по МЕДИААКТИВНОСТИ, </w:t>
      </w:r>
      <w:r w:rsidRPr="00250BEC">
        <w:rPr>
          <w:rFonts w:ascii="PT Astra Serif" w:eastAsia="Calibri" w:hAnsi="PT Astra Serif" w:cs="Arial"/>
          <w:szCs w:val="28"/>
        </w:rPr>
        <w:t>д</w:t>
      </w:r>
      <w:r w:rsidRPr="00250BEC">
        <w:rPr>
          <w:rFonts w:ascii="PT Astra Serif" w:eastAsia="Calibri" w:hAnsi="PT Astra Serif" w:cs="Times New Roman"/>
          <w:szCs w:val="28"/>
          <w:shd w:val="clear" w:color="auto" w:fill="FFFFFF"/>
        </w:rPr>
        <w:t xml:space="preserve">анный фактор включает долю упоминаний региональной общественной палаты в СМИ, долю федеральных публикаций с упоминанием Палаты, количество подписчиков в </w:t>
      </w:r>
      <w:proofErr w:type="spellStart"/>
      <w:r w:rsidRPr="00250BEC">
        <w:rPr>
          <w:rFonts w:ascii="PT Astra Serif" w:eastAsia="Calibri" w:hAnsi="PT Astra Serif" w:cs="Times New Roman"/>
          <w:szCs w:val="28"/>
          <w:shd w:val="clear" w:color="auto" w:fill="FFFFFF"/>
        </w:rPr>
        <w:t>соцсетях</w:t>
      </w:r>
      <w:proofErr w:type="spellEnd"/>
      <w:r w:rsidRPr="00250BEC">
        <w:rPr>
          <w:rFonts w:ascii="PT Astra Serif" w:eastAsia="Calibri" w:hAnsi="PT Astra Serif" w:cs="Times New Roman"/>
          <w:szCs w:val="28"/>
          <w:shd w:val="clear" w:color="auto" w:fill="FFFFFF"/>
        </w:rPr>
        <w:br/>
        <w:t xml:space="preserve"> и посещаемость сайта Общественной палаты (в 2024 году – 1 место)</w:t>
      </w:r>
      <w:r w:rsidRPr="00250BEC">
        <w:rPr>
          <w:rFonts w:ascii="PT Astra Serif" w:eastAsia="Calibri" w:hAnsi="PT Astra Serif" w:cs="Times New Roman"/>
          <w:b/>
          <w:bCs/>
          <w:szCs w:val="28"/>
        </w:rPr>
        <w:t>;</w:t>
      </w:r>
    </w:p>
    <w:p w14:paraId="0DCB67B4" w14:textId="77777777" w:rsidR="00250BEC" w:rsidRPr="00250BEC" w:rsidRDefault="00250BEC" w:rsidP="00250BEC">
      <w:pPr>
        <w:widowControl w:val="0"/>
        <w:shd w:val="clear" w:color="auto" w:fill="FFFFFF"/>
        <w:rPr>
          <w:rFonts w:ascii="PT Astra Serif" w:eastAsia="Times New Roman" w:hAnsi="PT Astra Serif" w:cs="Times New Roman"/>
          <w:caps/>
          <w:szCs w:val="28"/>
          <w:lang w:eastAsia="ru-RU"/>
        </w:rPr>
      </w:pPr>
      <w:r w:rsidRPr="00250BEC">
        <w:rPr>
          <w:rFonts w:ascii="PT Astra Serif" w:eastAsia="Times New Roman" w:hAnsi="PT Astra Serif" w:cs="Times New Roman"/>
          <w:b/>
          <w:bCs/>
          <w:szCs w:val="28"/>
          <w:lang w:eastAsia="ru-RU"/>
        </w:rPr>
        <w:t>1 место</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b/>
          <w:szCs w:val="28"/>
          <w:lang w:eastAsia="ru-RU"/>
        </w:rPr>
        <w:t xml:space="preserve">по </w:t>
      </w:r>
      <w:r w:rsidRPr="00250BEC">
        <w:rPr>
          <w:rFonts w:ascii="PT Astra Serif" w:eastAsia="Times New Roman" w:hAnsi="PT Astra Serif" w:cs="Times New Roman"/>
          <w:b/>
          <w:caps/>
          <w:szCs w:val="28"/>
          <w:lang w:eastAsia="ru-RU"/>
        </w:rPr>
        <w:t xml:space="preserve">информационной открытости, </w:t>
      </w:r>
      <w:r w:rsidRPr="00250BEC">
        <w:rPr>
          <w:rFonts w:ascii="PT Astra Serif" w:eastAsia="Calibri" w:hAnsi="PT Astra Serif" w:cs="Arial"/>
          <w:szCs w:val="28"/>
        </w:rPr>
        <w:t>д</w:t>
      </w:r>
      <w:r w:rsidRPr="00250BEC">
        <w:rPr>
          <w:rFonts w:ascii="PT Astra Serif" w:eastAsia="Calibri" w:hAnsi="PT Astra Serif" w:cs="Times New Roman"/>
          <w:szCs w:val="28"/>
          <w:shd w:val="clear" w:color="auto" w:fill="FFFFFF"/>
        </w:rPr>
        <w:t>анный фактор оценивает работу сайта и ряд других показателей открытости деятельности</w:t>
      </w:r>
      <w:r w:rsidRPr="00250BEC">
        <w:rPr>
          <w:rFonts w:ascii="PT Astra Serif" w:eastAsia="Times New Roman" w:hAnsi="PT Astra Serif" w:cs="Times New Roman"/>
          <w:b/>
          <w:caps/>
          <w:szCs w:val="28"/>
          <w:lang w:eastAsia="ru-RU"/>
        </w:rPr>
        <w:t xml:space="preserve"> </w:t>
      </w:r>
      <w:r w:rsidRPr="00250BEC">
        <w:rPr>
          <w:rFonts w:ascii="PT Astra Serif" w:eastAsia="Times New Roman" w:hAnsi="PT Astra Serif" w:cs="Times New Roman"/>
          <w:b/>
          <w:caps/>
          <w:szCs w:val="28"/>
          <w:lang w:eastAsia="ru-RU"/>
        </w:rPr>
        <w:br/>
      </w:r>
      <w:r w:rsidRPr="00250BEC">
        <w:rPr>
          <w:rFonts w:ascii="PT Astra Serif" w:eastAsia="Calibri" w:hAnsi="PT Astra Serif" w:cs="Times New Roman"/>
          <w:szCs w:val="28"/>
          <w:shd w:val="clear" w:color="auto" w:fill="FFFFFF"/>
        </w:rPr>
        <w:t>(в 2024 году – вошла в ТОП-10)</w:t>
      </w:r>
      <w:r w:rsidRPr="00250BEC">
        <w:rPr>
          <w:rFonts w:ascii="PT Astra Serif" w:eastAsia="Times New Roman" w:hAnsi="PT Astra Serif" w:cs="Times New Roman"/>
          <w:b/>
          <w:caps/>
          <w:szCs w:val="28"/>
          <w:lang w:eastAsia="ru-RU"/>
        </w:rPr>
        <w:t>;</w:t>
      </w:r>
    </w:p>
    <w:p w14:paraId="4F561E4F" w14:textId="77777777" w:rsidR="00250BEC" w:rsidRPr="00250BEC" w:rsidRDefault="00250BEC" w:rsidP="00250BEC">
      <w:pPr>
        <w:widowControl w:val="0"/>
        <w:shd w:val="clear" w:color="auto" w:fill="FFFFFF"/>
        <w:rPr>
          <w:rFonts w:ascii="PT Astra Serif" w:eastAsia="Times New Roman" w:hAnsi="PT Astra Serif" w:cs="Times New Roman"/>
          <w:szCs w:val="28"/>
          <w:lang w:eastAsia="ru-RU"/>
        </w:rPr>
      </w:pPr>
      <w:r w:rsidRPr="00250BEC">
        <w:rPr>
          <w:rFonts w:ascii="PT Astra Serif" w:eastAsia="Times New Roman" w:hAnsi="PT Astra Serif" w:cs="Times New Roman"/>
          <w:b/>
          <w:bCs/>
          <w:szCs w:val="28"/>
          <w:lang w:eastAsia="ru-RU"/>
        </w:rPr>
        <w:t>2 место</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b/>
          <w:szCs w:val="28"/>
          <w:lang w:eastAsia="ru-RU"/>
        </w:rPr>
        <w:t xml:space="preserve">по </w:t>
      </w:r>
      <w:r w:rsidRPr="00250BEC">
        <w:rPr>
          <w:rFonts w:ascii="PT Astra Serif" w:eastAsia="Times New Roman" w:hAnsi="PT Astra Serif" w:cs="Times New Roman"/>
          <w:b/>
          <w:caps/>
          <w:szCs w:val="28"/>
          <w:lang w:eastAsia="ru-RU"/>
        </w:rPr>
        <w:t xml:space="preserve">материальной обеспеченности </w:t>
      </w:r>
      <w:r w:rsidRPr="00250BEC">
        <w:rPr>
          <w:rFonts w:ascii="PT Astra Serif" w:eastAsia="Times New Roman" w:hAnsi="PT Astra Serif" w:cs="Times New Roman"/>
          <w:b/>
          <w:caps/>
          <w:szCs w:val="28"/>
          <w:lang w:eastAsia="ru-RU"/>
        </w:rPr>
        <w:br/>
        <w:t>и организационной работе</w:t>
      </w:r>
      <w:r w:rsidRPr="00250BEC">
        <w:rPr>
          <w:rFonts w:ascii="PT Astra Serif" w:eastAsia="Times New Roman" w:hAnsi="PT Astra Serif" w:cs="Times New Roman"/>
          <w:szCs w:val="28"/>
          <w:lang w:eastAsia="ru-RU"/>
        </w:rPr>
        <w:t xml:space="preserve">, </w:t>
      </w:r>
      <w:r w:rsidRPr="00250BEC">
        <w:rPr>
          <w:rFonts w:ascii="PT Astra Serif" w:eastAsia="Calibri" w:hAnsi="PT Astra Serif" w:cs="Times New Roman"/>
          <w:szCs w:val="28"/>
        </w:rPr>
        <w:t>з</w:t>
      </w:r>
      <w:r w:rsidRPr="00250BEC">
        <w:rPr>
          <w:rFonts w:ascii="PT Astra Serif" w:eastAsia="Calibri" w:hAnsi="PT Astra Serif" w:cs="Times New Roman"/>
          <w:szCs w:val="28"/>
          <w:shd w:val="clear" w:color="auto" w:fill="FFFFFF"/>
        </w:rPr>
        <w:t xml:space="preserve">десь учитывается количество </w:t>
      </w:r>
      <w:r w:rsidRPr="00250BEC">
        <w:rPr>
          <w:rFonts w:ascii="PT Astra Serif" w:eastAsia="Calibri" w:hAnsi="PT Astra Serif" w:cs="Times New Roman"/>
          <w:szCs w:val="28"/>
          <w:shd w:val="clear" w:color="auto" w:fill="FFFFFF"/>
        </w:rPr>
        <w:lastRenderedPageBreak/>
        <w:t xml:space="preserve">заседаний Палаты и её профильных комиссий, организационная составляющая деятельности Палаты, в том числе обеспеченность помещениями, техническим оснащением, количество сотрудников аппарата, расходы на командировки членов ОП, обеспеченность помещением </w:t>
      </w:r>
      <w:r w:rsidRPr="00250BEC">
        <w:rPr>
          <w:rFonts w:ascii="PT Astra Serif" w:eastAsia="Calibri" w:hAnsi="PT Astra Serif" w:cs="Times New Roman"/>
          <w:szCs w:val="28"/>
          <w:shd w:val="clear" w:color="auto" w:fill="FFFFFF"/>
        </w:rPr>
        <w:br/>
        <w:t>и транспортом (в 2024 году – 1 место);</w:t>
      </w:r>
    </w:p>
    <w:p w14:paraId="35D5A633" w14:textId="77777777" w:rsidR="00250BEC" w:rsidRPr="00250BEC" w:rsidRDefault="00250BEC" w:rsidP="00250BEC">
      <w:pPr>
        <w:widowControl w:val="0"/>
        <w:shd w:val="clear" w:color="auto" w:fill="FFFFFF"/>
        <w:rPr>
          <w:rFonts w:ascii="PT Astra Serif" w:eastAsia="Calibri" w:hAnsi="PT Astra Serif" w:cs="Times New Roman"/>
          <w:b/>
          <w:bCs/>
          <w:szCs w:val="28"/>
        </w:rPr>
      </w:pPr>
      <w:r w:rsidRPr="00250BEC">
        <w:rPr>
          <w:rFonts w:ascii="PT Astra Serif" w:eastAsia="Times New Roman" w:hAnsi="PT Astra Serif" w:cs="Times New Roman"/>
          <w:szCs w:val="28"/>
          <w:lang w:eastAsia="ru-RU"/>
        </w:rPr>
        <w:t>вошла в </w:t>
      </w:r>
      <w:r w:rsidRPr="00250BEC">
        <w:rPr>
          <w:rFonts w:ascii="PT Astra Serif" w:eastAsia="Times New Roman" w:hAnsi="PT Astra Serif" w:cs="Times New Roman"/>
          <w:b/>
          <w:bCs/>
          <w:szCs w:val="28"/>
          <w:lang w:eastAsia="ru-RU"/>
        </w:rPr>
        <w:t>ТОП-10</w:t>
      </w:r>
      <w:r w:rsidRPr="00250BEC">
        <w:rPr>
          <w:rFonts w:ascii="PT Astra Serif" w:eastAsia="Times New Roman" w:hAnsi="PT Astra Serif" w:cs="Times New Roman"/>
          <w:szCs w:val="28"/>
          <w:lang w:eastAsia="ru-RU"/>
        </w:rPr>
        <w:t xml:space="preserve"> по итогам экспертного опроса.</w:t>
      </w:r>
    </w:p>
    <w:p w14:paraId="6055C2C6" w14:textId="77777777" w:rsidR="00250BEC" w:rsidRPr="00250BEC" w:rsidRDefault="00250BEC" w:rsidP="00250BEC">
      <w:pPr>
        <w:widowControl w:val="0"/>
        <w:rPr>
          <w:rFonts w:ascii="PT Astra Serif" w:eastAsia="Calibri" w:hAnsi="PT Astra Serif" w:cs="Times New Roman"/>
          <w:szCs w:val="28"/>
          <w:shd w:val="clear" w:color="auto" w:fill="FFFFFF"/>
        </w:rPr>
      </w:pPr>
      <w:r w:rsidRPr="00250BEC">
        <w:rPr>
          <w:rFonts w:ascii="PT Astra Serif" w:eastAsia="Calibri" w:hAnsi="PT Astra Serif" w:cs="Times New Roman"/>
          <w:b/>
          <w:bCs/>
          <w:szCs w:val="28"/>
        </w:rPr>
        <w:t xml:space="preserve">В ходе работы форума «Сообщество» Общественная палата Российской Федерации представляет итоги рейтинга субъектов РФ по уровню и качеству развития некоммерческого сектора «Рейтинг-НКО». </w:t>
      </w:r>
      <w:r w:rsidRPr="00250BEC">
        <w:rPr>
          <w:rFonts w:ascii="PT Astra Serif" w:eastAsia="Calibri" w:hAnsi="PT Astra Serif" w:cs="Times New Roman"/>
          <w:szCs w:val="28"/>
        </w:rPr>
        <w:t xml:space="preserve">Рейтинг стал одним из знаковых проектов Общественной палаты Российской Федерации и региональных Палат. Рейтинг использует 23 источника объективной информации для оценки некоммерческого сектора в регионах по </w:t>
      </w:r>
      <w:r w:rsidRPr="00250BEC">
        <w:rPr>
          <w:rFonts w:ascii="PT Astra Serif" w:eastAsia="Calibri" w:hAnsi="PT Astra Serif" w:cs="Times New Roman"/>
          <w:b/>
          <w:szCs w:val="28"/>
        </w:rPr>
        <w:t>восьми рейтинговым факторам</w:t>
      </w:r>
      <w:r w:rsidRPr="00250BEC">
        <w:rPr>
          <w:rFonts w:ascii="PT Astra Serif" w:eastAsia="Calibri" w:hAnsi="PT Astra Serif" w:cs="Times New Roman"/>
          <w:szCs w:val="28"/>
        </w:rPr>
        <w:t xml:space="preserve">. По результатам </w:t>
      </w:r>
      <w:r w:rsidRPr="00250BEC">
        <w:rPr>
          <w:rFonts w:ascii="PT Astra Serif" w:eastAsia="Calibri" w:hAnsi="PT Astra Serif" w:cs="Times New Roman"/>
          <w:b/>
          <w:szCs w:val="28"/>
        </w:rPr>
        <w:t>рейтинга за 2025 год</w:t>
      </w:r>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br/>
        <w:t xml:space="preserve">в совокупности 8-ми факторов Ульяновская область заняла </w:t>
      </w:r>
      <w:r w:rsidRPr="00250BEC">
        <w:rPr>
          <w:rFonts w:ascii="PT Astra Serif" w:eastAsia="Calibri" w:hAnsi="PT Astra Serif" w:cs="Times New Roman"/>
          <w:b/>
          <w:szCs w:val="28"/>
        </w:rPr>
        <w:t>20 место</w:t>
      </w:r>
      <w:r w:rsidRPr="00250BEC">
        <w:rPr>
          <w:rFonts w:ascii="PT Astra Serif" w:eastAsia="Calibri" w:hAnsi="PT Astra Serif" w:cs="Times New Roman"/>
          <w:szCs w:val="28"/>
        </w:rPr>
        <w:t xml:space="preserve"> (за 2024 год – 16 место). </w:t>
      </w:r>
    </w:p>
    <w:p w14:paraId="551E145F" w14:textId="77777777" w:rsidR="00250BEC" w:rsidRPr="00250BEC" w:rsidRDefault="00250BEC" w:rsidP="00250BEC">
      <w:pPr>
        <w:widowControl w:val="0"/>
        <w:rPr>
          <w:rFonts w:ascii="PT Astra Serif" w:eastAsia="Calibri" w:hAnsi="PT Astra Serif" w:cs="Times New Roman"/>
          <w:szCs w:val="28"/>
        </w:rPr>
      </w:pPr>
    </w:p>
    <w:p w14:paraId="7E0076AC" w14:textId="77777777" w:rsidR="00250BEC" w:rsidRPr="00250BEC" w:rsidRDefault="00250BEC" w:rsidP="00250BEC">
      <w:pPr>
        <w:widowControl w:val="0"/>
        <w:ind w:firstLine="0"/>
        <w:jc w:val="center"/>
        <w:rPr>
          <w:rFonts w:ascii="PT Astra Serif" w:eastAsia="Calibri" w:hAnsi="PT Astra Serif" w:cs="Times New Roman"/>
          <w:b/>
          <w:szCs w:val="28"/>
        </w:rPr>
      </w:pPr>
      <w:r w:rsidRPr="00250BEC">
        <w:rPr>
          <w:rFonts w:ascii="PT Astra Serif" w:eastAsia="Calibri" w:hAnsi="PT Astra Serif" w:cs="Times New Roman"/>
          <w:b/>
          <w:szCs w:val="28"/>
        </w:rPr>
        <w:t>Итоги 2025 года</w:t>
      </w:r>
    </w:p>
    <w:p w14:paraId="72D58F7B" w14:textId="77777777" w:rsidR="00250BEC" w:rsidRPr="00250BEC" w:rsidRDefault="00250BEC" w:rsidP="00250BEC">
      <w:pPr>
        <w:widowControl w:val="0"/>
        <w:ind w:firstLine="0"/>
        <w:jc w:val="center"/>
        <w:rPr>
          <w:rFonts w:ascii="PT Astra Serif" w:eastAsia="Calibri" w:hAnsi="PT Astra Serif" w:cs="Times New Roman"/>
          <w:szCs w:val="28"/>
        </w:rPr>
      </w:pPr>
    </w:p>
    <w:p w14:paraId="05EE4A36"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 xml:space="preserve">Основные задачи на 2025 год: </w:t>
      </w:r>
    </w:p>
    <w:p w14:paraId="21A1BC15"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оказание финансовой поддержки социально ориентированным НКО; </w:t>
      </w:r>
    </w:p>
    <w:p w14:paraId="54B9298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передача некоммерческим организациям части полномочий </w:t>
      </w:r>
      <w:r w:rsidRPr="00250BEC">
        <w:rPr>
          <w:rFonts w:ascii="PT Astra Serif" w:eastAsia="Calibri" w:hAnsi="PT Astra Serif" w:cs="Times New Roman"/>
          <w:b/>
          <w:szCs w:val="28"/>
        </w:rPr>
        <w:t xml:space="preserve">по реализации государственных услуг в социальной сфере. </w:t>
      </w:r>
      <w:r w:rsidRPr="00250BEC">
        <w:rPr>
          <w:rFonts w:ascii="PT Astra Serif" w:eastAsia="Calibri" w:hAnsi="PT Astra Serif" w:cs="Times New Roman"/>
          <w:szCs w:val="28"/>
        </w:rPr>
        <w:t xml:space="preserve">В Ульяновской области составлен </w:t>
      </w:r>
      <w:r w:rsidRPr="00250BEC">
        <w:rPr>
          <w:rFonts w:ascii="PT Astra Serif" w:eastAsia="Calibri" w:hAnsi="PT Astra Serif" w:cs="Times New Roman"/>
          <w:b/>
          <w:szCs w:val="28"/>
        </w:rPr>
        <w:t>реестр НКО</w:t>
      </w:r>
      <w:r w:rsidRPr="00250BEC">
        <w:rPr>
          <w:rFonts w:ascii="PT Astra Serif" w:eastAsia="Calibri" w:hAnsi="PT Astra Serif" w:cs="Times New Roman"/>
          <w:szCs w:val="28"/>
        </w:rPr>
        <w:t xml:space="preserve">, готовых исполнять общественно значимые услуги. </w:t>
      </w:r>
      <w:r w:rsidRPr="00250BEC">
        <w:rPr>
          <w:rFonts w:ascii="PT Astra Serif" w:eastAsia="Calibri" w:hAnsi="PT Astra Serif" w:cs="Times New Roman"/>
          <w:b/>
          <w:bCs/>
          <w:szCs w:val="28"/>
        </w:rPr>
        <w:t xml:space="preserve">По состоянию на начало 2026 года в областной реестр поставщиков социальных услуг входят 68 </w:t>
      </w:r>
      <w:r w:rsidRPr="00250BEC">
        <w:rPr>
          <w:rFonts w:ascii="PT Astra Serif" w:eastAsia="Calibri" w:hAnsi="PT Astra Serif" w:cs="Times New Roman"/>
          <w:szCs w:val="28"/>
        </w:rPr>
        <w:t xml:space="preserve">негосударственных поставщиков в соответствии с 442-ФЗ «Об основах социального обслуживания граждан </w:t>
      </w:r>
      <w:r w:rsidRPr="00250BEC">
        <w:rPr>
          <w:rFonts w:ascii="PT Astra Serif" w:eastAsia="Calibri" w:hAnsi="PT Astra Serif" w:cs="Times New Roman"/>
          <w:szCs w:val="28"/>
        </w:rPr>
        <w:br/>
        <w:t xml:space="preserve">в Российской Федерации» (для сравнения в 2025 году - 100, в 2024 году - 117), а также </w:t>
      </w:r>
      <w:r w:rsidRPr="00250BEC">
        <w:rPr>
          <w:rFonts w:ascii="PT Astra Serif" w:eastAsia="Calibri" w:hAnsi="PT Astra Serif" w:cs="Times New Roman"/>
          <w:b/>
          <w:szCs w:val="28"/>
        </w:rPr>
        <w:t>12</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СО НКО</w:t>
      </w:r>
      <w:r w:rsidRPr="00250BEC">
        <w:rPr>
          <w:rFonts w:ascii="PT Astra Serif" w:eastAsia="Calibri" w:hAnsi="PT Astra Serif" w:cs="Times New Roman"/>
          <w:szCs w:val="28"/>
        </w:rPr>
        <w:t xml:space="preserve"> - исполнителей общественно-полезных услуг (13 - в 2024 и 2025 годах). </w:t>
      </w:r>
    </w:p>
    <w:p w14:paraId="5E7AE6D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участие представителей общественных и ветеранских организаций </w:t>
      </w:r>
      <w:r w:rsidRPr="00250BEC">
        <w:rPr>
          <w:rFonts w:ascii="PT Astra Serif" w:eastAsia="Calibri" w:hAnsi="PT Astra Serif" w:cs="Times New Roman"/>
          <w:szCs w:val="28"/>
        </w:rPr>
        <w:br/>
        <w:t xml:space="preserve">в работе по гражданско-патриотическому воспитанию. </w:t>
      </w:r>
    </w:p>
    <w:p w14:paraId="2BF705A0" w14:textId="77777777" w:rsidR="00250BEC" w:rsidRPr="00250BEC" w:rsidRDefault="00250BEC" w:rsidP="00250BEC">
      <w:pPr>
        <w:widowControl w:val="0"/>
        <w:tabs>
          <w:tab w:val="left" w:pos="1134"/>
        </w:tabs>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Ежегодно в рамках государственной программы «Гражданское общество и государственная национальная политика Ульяновской области» среди СО НКО проводится конкурсный отбор на предоставление субсидий из средств областного бюджета. В 2025 году конкурс был проведён на общую сумму 30 млн рублей (из них 15 млн рублей – средства </w:t>
      </w:r>
      <w:proofErr w:type="spellStart"/>
      <w:r w:rsidRPr="00250BEC">
        <w:rPr>
          <w:rFonts w:ascii="PT Astra Serif" w:eastAsia="Calibri" w:hAnsi="PT Astra Serif" w:cs="Times New Roman"/>
          <w:szCs w:val="28"/>
        </w:rPr>
        <w:t>софинансирования</w:t>
      </w:r>
      <w:proofErr w:type="spellEnd"/>
      <w:r w:rsidRPr="00250BEC">
        <w:rPr>
          <w:rFonts w:ascii="PT Astra Serif" w:eastAsia="Calibri" w:hAnsi="PT Astra Serif" w:cs="Times New Roman"/>
          <w:szCs w:val="28"/>
        </w:rPr>
        <w:t xml:space="preserve"> Фонда Президентских грантов), было поддержано всего 39 региональных СО НКО. Большая часть социальных проектов будет реализована в срок до конца 2026 года. </w:t>
      </w:r>
    </w:p>
    <w:p w14:paraId="3E9F8917" w14:textId="77777777" w:rsidR="00250BEC" w:rsidRPr="00250BEC" w:rsidRDefault="00250BEC" w:rsidP="00250BEC">
      <w:pPr>
        <w:widowControl w:val="0"/>
        <w:shd w:val="clear" w:color="auto" w:fill="FFFFFF"/>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 xml:space="preserve">Кроме того, НКО Ульяновской области ежегодно принимают активное участие в федеральных конкурсах: </w:t>
      </w:r>
      <w:r w:rsidRPr="00250BEC">
        <w:rPr>
          <w:rFonts w:ascii="PT Astra Serif" w:eastAsia="Calibri" w:hAnsi="PT Astra Serif" w:cs="Times New Roman"/>
          <w:bCs/>
          <w:szCs w:val="28"/>
        </w:rPr>
        <w:t xml:space="preserve">в 2025 году </w:t>
      </w:r>
      <w:r w:rsidRPr="00250BEC">
        <w:rPr>
          <w:rFonts w:ascii="PT Astra Serif" w:eastAsia="Calibri" w:hAnsi="PT Astra Serif" w:cs="Times New Roman"/>
          <w:szCs w:val="28"/>
        </w:rPr>
        <w:t>на конкурс Фонда Президентских грантов подана 407 заявок от региона</w:t>
      </w:r>
      <w:r w:rsidRPr="00250BEC">
        <w:rPr>
          <w:rFonts w:ascii="PT Astra Serif" w:eastAsia="Calibri" w:hAnsi="PT Astra Serif" w:cs="Times New Roman"/>
          <w:b/>
          <w:szCs w:val="28"/>
        </w:rPr>
        <w:t>, из них поддержана 32 заявка на общую сумму около 49 млн рублей;</w:t>
      </w:r>
      <w:r w:rsidRPr="00250BEC">
        <w:rPr>
          <w:rFonts w:ascii="PT Astra Serif" w:eastAsia="Calibri" w:hAnsi="PT Astra Serif" w:cs="Times New Roman"/>
          <w:bCs/>
          <w:szCs w:val="28"/>
        </w:rPr>
        <w:t xml:space="preserve"> на конкурс Фонда культурных инициатив подано 247 заявки от региона</w:t>
      </w:r>
      <w:r w:rsidRPr="00250BEC">
        <w:rPr>
          <w:rFonts w:ascii="PT Astra Serif" w:eastAsia="Calibri" w:hAnsi="PT Astra Serif" w:cs="Times New Roman"/>
          <w:b/>
          <w:bCs/>
          <w:szCs w:val="28"/>
        </w:rPr>
        <w:t xml:space="preserve">, из них поддержано 29, на общую сумму около </w:t>
      </w:r>
      <w:r w:rsidRPr="00250BEC">
        <w:rPr>
          <w:rFonts w:ascii="PT Astra Serif" w:eastAsia="Calibri" w:hAnsi="PT Astra Serif" w:cs="Times New Roman"/>
          <w:b/>
          <w:szCs w:val="28"/>
        </w:rPr>
        <w:t>321 млн рублей</w:t>
      </w:r>
      <w:r w:rsidRPr="00250BEC">
        <w:rPr>
          <w:rFonts w:ascii="PT Astra Serif" w:eastAsia="Calibri" w:hAnsi="PT Astra Serif" w:cs="Times New Roman"/>
          <w:szCs w:val="28"/>
        </w:rPr>
        <w:t>.</w:t>
      </w:r>
      <w:r w:rsidRPr="00250BEC">
        <w:rPr>
          <w:rFonts w:ascii="PT Astra Serif" w:eastAsia="Times New Roman" w:hAnsi="PT Astra Serif" w:cs="Arial"/>
          <w:szCs w:val="28"/>
          <w:lang w:eastAsia="ru-RU"/>
        </w:rPr>
        <w:t> </w:t>
      </w:r>
    </w:p>
    <w:p w14:paraId="095B1984" w14:textId="77777777" w:rsidR="00250BEC" w:rsidRPr="00250BEC" w:rsidRDefault="00250BEC" w:rsidP="00250BEC">
      <w:pPr>
        <w:widowControl w:val="0"/>
        <w:shd w:val="clear" w:color="auto" w:fill="FFFFFF"/>
        <w:rPr>
          <w:rFonts w:ascii="PT Astra Serif" w:eastAsia="Calibri" w:hAnsi="PT Astra Serif" w:cs="Times New Roman"/>
          <w:b/>
          <w:i/>
          <w:sz w:val="24"/>
          <w:szCs w:val="24"/>
          <w:u w:val="single"/>
        </w:rPr>
      </w:pPr>
      <w:r w:rsidRPr="00250BEC">
        <w:rPr>
          <w:rFonts w:ascii="PT Astra Serif" w:eastAsia="Calibri" w:hAnsi="PT Astra Serif" w:cs="Times New Roman"/>
          <w:b/>
          <w:i/>
          <w:sz w:val="24"/>
          <w:szCs w:val="24"/>
          <w:u w:val="single"/>
        </w:rPr>
        <w:lastRenderedPageBreak/>
        <w:t>Справочно:</w:t>
      </w:r>
    </w:p>
    <w:p w14:paraId="06EE8E7C" w14:textId="77777777" w:rsidR="00250BEC" w:rsidRPr="00250BEC" w:rsidRDefault="00250BEC" w:rsidP="00250BEC">
      <w:pPr>
        <w:widowControl w:val="0"/>
        <w:shd w:val="clear" w:color="auto" w:fill="FFFFFF"/>
        <w:rPr>
          <w:rFonts w:ascii="PT Astra Serif" w:eastAsia="Times New Roman" w:hAnsi="PT Astra Serif" w:cs="Arial"/>
          <w:i/>
          <w:sz w:val="24"/>
          <w:szCs w:val="24"/>
          <w:lang w:eastAsia="ru-RU"/>
        </w:rPr>
      </w:pPr>
      <w:r w:rsidRPr="00250BEC">
        <w:rPr>
          <w:rFonts w:ascii="PT Astra Serif" w:eastAsia="Times New Roman" w:hAnsi="PT Astra Serif" w:cs="Arial"/>
          <w:i/>
          <w:sz w:val="24"/>
          <w:szCs w:val="24"/>
          <w:lang w:eastAsia="ru-RU"/>
        </w:rPr>
        <w:t>В 2024 году от региональных НКО на конкурсы Фонда президентских грантов было подано 421 заявка, из них поддержано 41, на сумму около 60 млн рублей. На конкурсы Президентского фонда культурных инициатив в 2024 году было подано 173 заявки, из них поддержано 23, на сумму 17,5 млн рублей.</w:t>
      </w:r>
    </w:p>
    <w:p w14:paraId="08DCE100" w14:textId="77777777" w:rsidR="00250BEC" w:rsidRPr="00250BEC" w:rsidRDefault="00250BEC" w:rsidP="00250BEC">
      <w:pPr>
        <w:widowControl w:val="0"/>
        <w:rPr>
          <w:rFonts w:ascii="PT Astra Serif" w:eastAsia="Calibri" w:hAnsi="PT Astra Serif" w:cs="Times New Roman"/>
          <w:i/>
          <w:szCs w:val="28"/>
        </w:rPr>
      </w:pPr>
    </w:p>
    <w:p w14:paraId="1CB06816"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Значительную методическую помощь при подготовке конкурсных заявок некоммерческим организациям постоянно оказывают сотрудники Центра развития НКО, действующего при Общественной палате Ульяновской области. В течение 2025 года сотрудниками центра было проведено более 40 методических семинаров с общим охватом свыше 1 200 человек по подготовке проектных заявок, в том числе и для участия в президентских </w:t>
      </w:r>
      <w:proofErr w:type="spellStart"/>
      <w:r w:rsidRPr="00250BEC">
        <w:rPr>
          <w:rFonts w:ascii="PT Astra Serif" w:eastAsia="Calibri" w:hAnsi="PT Astra Serif" w:cs="Times New Roman"/>
          <w:szCs w:val="28"/>
        </w:rPr>
        <w:t>грантовых</w:t>
      </w:r>
      <w:proofErr w:type="spellEnd"/>
      <w:r w:rsidRPr="00250BEC">
        <w:rPr>
          <w:rFonts w:ascii="PT Astra Serif" w:eastAsia="Calibri" w:hAnsi="PT Astra Serif" w:cs="Times New Roman"/>
          <w:szCs w:val="28"/>
        </w:rPr>
        <w:t xml:space="preserve"> конкурсах, а также семинары и тренинги по повышению компетентности сотрудников и руководителей НКО по различным вопросам деятельности некоммерческих организаций. </w:t>
      </w:r>
    </w:p>
    <w:p w14:paraId="3695D87A" w14:textId="77777777" w:rsidR="00250BEC" w:rsidRPr="00250BEC" w:rsidRDefault="00250BEC" w:rsidP="00250BEC">
      <w:pPr>
        <w:widowControl w:val="0"/>
        <w:rPr>
          <w:rFonts w:ascii="PT Astra Serif" w:eastAsia="Calibri" w:hAnsi="PT Astra Serif" w:cs="Times New Roman"/>
          <w:szCs w:val="28"/>
          <w:lang w:eastAsia="ru-RU"/>
        </w:rPr>
      </w:pPr>
      <w:r w:rsidRPr="00250BEC">
        <w:rPr>
          <w:rFonts w:ascii="PT Astra Serif" w:eastAsia="Calibri" w:hAnsi="PT Astra Serif" w:cs="Times New Roman"/>
          <w:szCs w:val="28"/>
          <w:lang w:eastAsia="ru-RU"/>
        </w:rPr>
        <w:t xml:space="preserve">В деятельности региональной Общественной палаты по итогам за 2025 год можно выделить несколько </w:t>
      </w:r>
      <w:r w:rsidRPr="00250BEC">
        <w:rPr>
          <w:rFonts w:ascii="PT Astra Serif" w:eastAsia="Calibri" w:hAnsi="PT Astra Serif" w:cs="Times New Roman"/>
          <w:b/>
          <w:szCs w:val="28"/>
          <w:lang w:eastAsia="ru-RU"/>
        </w:rPr>
        <w:t>основных направлений</w:t>
      </w:r>
      <w:r w:rsidRPr="00250BEC">
        <w:rPr>
          <w:rFonts w:ascii="PT Astra Serif" w:eastAsia="Calibri" w:hAnsi="PT Astra Serif" w:cs="Times New Roman"/>
          <w:szCs w:val="28"/>
          <w:lang w:eastAsia="ru-RU"/>
        </w:rPr>
        <w:t>:</w:t>
      </w:r>
    </w:p>
    <w:p w14:paraId="2D9E9AE9"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szCs w:val="28"/>
        </w:rPr>
        <w:t xml:space="preserve">1) </w:t>
      </w:r>
      <w:r w:rsidRPr="00250BEC">
        <w:rPr>
          <w:rFonts w:ascii="PT Astra Serif" w:eastAsia="Calibri" w:hAnsi="PT Astra Serif" w:cs="Times New Roman"/>
          <w:b/>
          <w:szCs w:val="28"/>
        </w:rPr>
        <w:t>общественная экспертиза законопроектов и проектов НПА</w:t>
      </w:r>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br/>
        <w:t xml:space="preserve">В течение </w:t>
      </w:r>
      <w:r w:rsidRPr="00250BEC">
        <w:rPr>
          <w:rFonts w:ascii="PT Astra Serif" w:eastAsia="Calibri" w:hAnsi="PT Astra Serif" w:cs="Times New Roman"/>
          <w:b/>
          <w:bCs/>
          <w:szCs w:val="28"/>
        </w:rPr>
        <w:t xml:space="preserve">2025 года было рассмотрено около 694 региональных проектов. </w:t>
      </w:r>
      <w:r w:rsidRPr="00250BEC">
        <w:rPr>
          <w:rFonts w:ascii="PT Astra Serif" w:eastAsia="Calibri" w:hAnsi="PT Astra Serif" w:cs="Times New Roman"/>
          <w:szCs w:val="28"/>
        </w:rPr>
        <w:t xml:space="preserve">К рассмотрению привлекаются члены профильных комиссий Палаты, профессиональных объединений, муниципальных общественных палат, </w:t>
      </w:r>
      <w:r w:rsidRPr="00250BEC">
        <w:rPr>
          <w:rFonts w:ascii="PT Astra Serif" w:eastAsia="Calibri" w:hAnsi="PT Astra Serif" w:cs="Times New Roman"/>
          <w:szCs w:val="28"/>
        </w:rPr>
        <w:br/>
        <w:t>и отраслевых общественных советов;</w:t>
      </w:r>
    </w:p>
    <w:p w14:paraId="38A9A746"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Arial"/>
          <w:szCs w:val="28"/>
        </w:rPr>
        <w:t xml:space="preserve">2) </w:t>
      </w:r>
      <w:r w:rsidRPr="00250BEC">
        <w:rPr>
          <w:rFonts w:ascii="PT Astra Serif" w:eastAsia="Calibri" w:hAnsi="PT Astra Serif" w:cs="Arial"/>
          <w:b/>
          <w:szCs w:val="28"/>
        </w:rPr>
        <w:t>гражданско-патриотическая работа с молодёжью</w:t>
      </w:r>
      <w:r w:rsidRPr="00250BEC">
        <w:rPr>
          <w:rFonts w:ascii="PT Astra Serif" w:eastAsia="Calibri" w:hAnsi="PT Astra Serif" w:cs="Arial"/>
          <w:szCs w:val="28"/>
        </w:rPr>
        <w:t>. Ч</w:t>
      </w:r>
      <w:r w:rsidRPr="00250BEC">
        <w:rPr>
          <w:rFonts w:ascii="PT Astra Serif" w:eastAsia="Calibri" w:hAnsi="PT Astra Serif" w:cs="Times New Roman"/>
          <w:szCs w:val="28"/>
        </w:rPr>
        <w:t xml:space="preserve">ленами Общественной палаты Ульяновской области с участием ветеранских общественных организаций и при содействии Ульяновского филиала Российского просветительского общества «Знание» и регионального отделения «Российского военно-исторического общества» в течение года проводились многочисленные мероприятия в поддержку участников СВО, </w:t>
      </w:r>
      <w:r w:rsidRPr="00250BEC">
        <w:rPr>
          <w:rFonts w:ascii="PT Astra Serif" w:eastAsia="Calibri" w:hAnsi="PT Astra Serif" w:cs="Times New Roman"/>
          <w:szCs w:val="28"/>
        </w:rPr>
        <w:br/>
        <w:t xml:space="preserve">а также уроки мужества для учащихся школ и студентов </w:t>
      </w:r>
      <w:proofErr w:type="spellStart"/>
      <w:r w:rsidRPr="00250BEC">
        <w:rPr>
          <w:rFonts w:ascii="PT Astra Serif" w:eastAsia="Calibri" w:hAnsi="PT Astra Serif" w:cs="Times New Roman"/>
          <w:szCs w:val="28"/>
        </w:rPr>
        <w:t>ссузов</w:t>
      </w:r>
      <w:proofErr w:type="spellEnd"/>
      <w:r w:rsidRPr="00250BEC">
        <w:rPr>
          <w:rFonts w:ascii="PT Astra Serif" w:eastAsia="Calibri" w:hAnsi="PT Astra Serif" w:cs="Times New Roman"/>
          <w:szCs w:val="28"/>
        </w:rPr>
        <w:t xml:space="preserve"> и вузов, </w:t>
      </w:r>
      <w:r w:rsidRPr="00250BEC">
        <w:rPr>
          <w:rFonts w:ascii="PT Astra Serif" w:eastAsia="Calibri" w:hAnsi="PT Astra Serif" w:cs="Times New Roman"/>
          <w:szCs w:val="28"/>
        </w:rPr>
        <w:br/>
        <w:t xml:space="preserve">с информированием о героях Специальной военной операции. С ноября 2024 года в регионе активно работает Ассоциация ветеранов СВО, которая насчитывает свыше 130 членов. </w:t>
      </w:r>
    </w:p>
    <w:p w14:paraId="5F82FEF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3) </w:t>
      </w:r>
      <w:r w:rsidRPr="00250BEC">
        <w:rPr>
          <w:rFonts w:ascii="PT Astra Serif" w:eastAsia="Calibri" w:hAnsi="PT Astra Serif" w:cs="Times New Roman"/>
          <w:b/>
          <w:bCs/>
          <w:szCs w:val="28"/>
        </w:rPr>
        <w:t xml:space="preserve">отправка гуманитарной помощи мирным жителям приграничных регионов и военнослужащим - </w:t>
      </w:r>
      <w:r w:rsidRPr="00250BEC">
        <w:rPr>
          <w:rFonts w:ascii="PT Astra Serif" w:eastAsia="Calibri" w:hAnsi="PT Astra Serif" w:cs="Times New Roman"/>
          <w:bCs/>
          <w:szCs w:val="28"/>
        </w:rPr>
        <w:t>в течение года</w:t>
      </w:r>
      <w:r w:rsidRPr="00250BEC">
        <w:rPr>
          <w:rFonts w:ascii="PT Astra Serif" w:eastAsia="Calibri" w:hAnsi="PT Astra Serif" w:cs="Times New Roman"/>
          <w:b/>
          <w:bCs/>
          <w:szCs w:val="28"/>
        </w:rPr>
        <w:t xml:space="preserve"> </w:t>
      </w:r>
      <w:r w:rsidRPr="00250BEC">
        <w:rPr>
          <w:rFonts w:ascii="PT Astra Serif" w:eastAsia="Calibri" w:hAnsi="PT Astra Serif" w:cs="Arial"/>
          <w:szCs w:val="28"/>
        </w:rPr>
        <w:t xml:space="preserve">совместно </w:t>
      </w:r>
      <w:r w:rsidRPr="00250BEC">
        <w:rPr>
          <w:rFonts w:ascii="PT Astra Serif" w:eastAsia="Calibri" w:hAnsi="PT Astra Serif" w:cs="Arial"/>
          <w:szCs w:val="28"/>
        </w:rPr>
        <w:br/>
        <w:t xml:space="preserve">с волонтёрами АНО «Счастливый регион», Общероссийского народного фронта, Ульяновским </w:t>
      </w:r>
      <w:r w:rsidRPr="00250BEC">
        <w:rPr>
          <w:rFonts w:ascii="PT Astra Serif" w:eastAsia="Calibri" w:hAnsi="PT Astra Serif" w:cs="Arial"/>
          <w:szCs w:val="28"/>
          <w:shd w:val="clear" w:color="auto" w:fill="FFFFFF"/>
        </w:rPr>
        <w:t xml:space="preserve">региональным отделением Общероссийской общественной организации «Российский Красный Крест» было собрано </w:t>
      </w:r>
      <w:r w:rsidRPr="00250BEC">
        <w:rPr>
          <w:rFonts w:ascii="PT Astra Serif" w:eastAsia="Calibri" w:hAnsi="PT Astra Serif" w:cs="Arial"/>
          <w:szCs w:val="28"/>
          <w:shd w:val="clear" w:color="auto" w:fill="FFFFFF"/>
        </w:rPr>
        <w:br/>
        <w:t xml:space="preserve">и направлено свыше 250 тонн гуманитарного груза (продукты питания, средства личной гигиены, одежда, иные предметы первой необходимости). </w:t>
      </w:r>
    </w:p>
    <w:p w14:paraId="3F7C686E" w14:textId="77777777" w:rsidR="00250BEC" w:rsidRPr="00250BEC" w:rsidRDefault="00250BEC" w:rsidP="00250BEC">
      <w:pPr>
        <w:widowControl w:val="0"/>
        <w:contextualSpacing/>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t xml:space="preserve">4) на постоянной основе </w:t>
      </w:r>
      <w:r w:rsidRPr="00250BEC">
        <w:rPr>
          <w:rFonts w:ascii="PT Astra Serif" w:eastAsia="Calibri" w:hAnsi="PT Astra Serif" w:cs="Times New Roman"/>
          <w:b/>
          <w:color w:val="000000"/>
          <w:szCs w:val="28"/>
        </w:rPr>
        <w:t>п</w:t>
      </w:r>
      <w:r w:rsidRPr="00250BEC">
        <w:rPr>
          <w:rFonts w:ascii="PT Astra Serif" w:eastAsia="Calibri" w:hAnsi="PT Astra Serif" w:cs="Times New Roman"/>
          <w:b/>
          <w:bCs/>
          <w:color w:val="000000"/>
          <w:szCs w:val="28"/>
        </w:rPr>
        <w:t>роведение общественного контроля</w:t>
      </w:r>
      <w:r w:rsidRPr="00250BEC">
        <w:rPr>
          <w:rFonts w:ascii="PT Astra Serif" w:eastAsia="Calibri" w:hAnsi="PT Astra Serif" w:cs="Times New Roman"/>
          <w:color w:val="000000"/>
          <w:szCs w:val="28"/>
        </w:rPr>
        <w:t xml:space="preserve"> </w:t>
      </w:r>
      <w:r w:rsidRPr="00250BEC">
        <w:rPr>
          <w:rFonts w:ascii="PT Astra Serif" w:eastAsia="Calibri" w:hAnsi="PT Astra Serif" w:cs="Times New Roman"/>
          <w:color w:val="000000"/>
          <w:szCs w:val="28"/>
        </w:rPr>
        <w:br/>
        <w:t>в сфере экологии, здравоохранения, доступности транспорта, образования.</w:t>
      </w:r>
    </w:p>
    <w:p w14:paraId="22BF12D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На территории Ульяновской области действуют 24 общественных палаты муниципальных образований, в состав которых входят 424 члена из числа активных общественников и гражданских активистов, представителей негосударственных организаций и профессиональных сообществ.</w:t>
      </w:r>
    </w:p>
    <w:p w14:paraId="1743660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lastRenderedPageBreak/>
        <w:t>Общественные палаты формируются на основе добровольного участия в их деятельности граждан Российской Федерации, проживающих на территории муниципального образования Ульяновской области, а также общественных объединений и некоммерческих организаций, осуществляющих свою деятельность на территории муниципального образования.</w:t>
      </w:r>
    </w:p>
    <w:p w14:paraId="0FADE7CC" w14:textId="77777777" w:rsidR="00250BEC" w:rsidRPr="00250BEC" w:rsidRDefault="00250BEC" w:rsidP="00250BEC">
      <w:pPr>
        <w:widowControl w:val="0"/>
        <w:autoSpaceDN w:val="0"/>
        <w:rPr>
          <w:rFonts w:ascii="PT Astra Serif" w:eastAsia="Arial Unicode MS" w:hAnsi="PT Astra Serif" w:cs="Tahoma"/>
          <w:kern w:val="3"/>
          <w:szCs w:val="28"/>
          <w:lang w:eastAsia="ru-RU"/>
        </w:rPr>
      </w:pPr>
      <w:r w:rsidRPr="00250BEC">
        <w:rPr>
          <w:rFonts w:ascii="PT Astra Serif" w:eastAsia="Arial Unicode MS" w:hAnsi="PT Astra Serif" w:cs="Tahoma"/>
          <w:kern w:val="3"/>
          <w:szCs w:val="28"/>
          <w:lang w:eastAsia="ru-RU"/>
        </w:rPr>
        <w:t xml:space="preserve">Общественные палаты муниципальных образований региона призваны обеспечивать согласование общественно значимых интересов граждан Российской Федерации, некоммерческих организаций и органов местного самоуправления, в соответствии с Федеральным </w:t>
      </w:r>
      <w:hyperlink r:id="rId54" w:history="1">
        <w:r w:rsidRPr="00250BEC">
          <w:rPr>
            <w:rFonts w:ascii="PT Astra Serif" w:eastAsia="Arial Unicode MS" w:hAnsi="PT Astra Serif" w:cs="Tahoma"/>
            <w:kern w:val="3"/>
            <w:szCs w:val="28"/>
          </w:rPr>
          <w:t>законом</w:t>
        </w:r>
      </w:hyperlink>
      <w:r w:rsidRPr="00250BEC">
        <w:rPr>
          <w:rFonts w:ascii="PT Astra Serif" w:eastAsia="Arial Unicode MS" w:hAnsi="PT Astra Serif" w:cs="Tahoma"/>
          <w:kern w:val="3"/>
          <w:szCs w:val="28"/>
          <w:lang w:eastAsia="ru-RU"/>
        </w:rPr>
        <w:t xml:space="preserve"> от 21 июля 2014 года № 212-ФЗ «Об основах общественного контроля в Российской Федерации» осуществлять общественный контроль за деятельностью органов местного самоуправления муниципального образования и исполнительных органов государственной власти</w:t>
      </w:r>
      <w:r w:rsidRPr="00250BEC">
        <w:rPr>
          <w:rFonts w:ascii="PT Astra Serif" w:eastAsia="Arial Unicode MS" w:hAnsi="PT Astra Serif" w:cs="Tahoma"/>
          <w:b/>
          <w:kern w:val="3"/>
          <w:szCs w:val="28"/>
          <w:lang w:eastAsia="ru-RU"/>
        </w:rPr>
        <w:t xml:space="preserve"> </w:t>
      </w:r>
      <w:r w:rsidRPr="00250BEC">
        <w:rPr>
          <w:rFonts w:ascii="PT Astra Serif" w:eastAsia="Arial Unicode MS" w:hAnsi="PT Astra Serif" w:cs="Tahoma"/>
          <w:kern w:val="3"/>
          <w:szCs w:val="28"/>
          <w:lang w:eastAsia="ru-RU"/>
        </w:rPr>
        <w:t xml:space="preserve">Ульяновской области, содействовать развитию институтов гражданского общества, содействовать </w:t>
      </w:r>
      <w:r w:rsidRPr="00250BEC">
        <w:rPr>
          <w:rFonts w:ascii="PT Astra Serif" w:eastAsia="Calibri" w:hAnsi="PT Astra Serif" w:cs="Times New Roman"/>
          <w:szCs w:val="28"/>
        </w:rPr>
        <w:t>поддержке гражданских инициатив</w:t>
      </w:r>
      <w:r w:rsidRPr="00250BEC">
        <w:rPr>
          <w:rFonts w:ascii="PT Astra Serif" w:eastAsia="Arial Unicode MS" w:hAnsi="PT Astra Serif" w:cs="Tahoma"/>
          <w:kern w:val="3"/>
          <w:szCs w:val="28"/>
          <w:lang w:eastAsia="ru-RU"/>
        </w:rPr>
        <w:t>.</w:t>
      </w:r>
    </w:p>
    <w:p w14:paraId="1DA23B0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рамках реализации положений </w:t>
      </w:r>
      <w:hyperlink r:id="rId55" w:history="1">
        <w:r w:rsidRPr="00250BEC">
          <w:rPr>
            <w:rFonts w:ascii="PT Astra Serif" w:eastAsia="Calibri" w:hAnsi="PT Astra Serif" w:cs="Times New Roman"/>
            <w:szCs w:val="28"/>
          </w:rPr>
          <w:t>Федерального закон</w:t>
        </w:r>
      </w:hyperlink>
      <w:r w:rsidRPr="00250BEC">
        <w:rPr>
          <w:rFonts w:ascii="PT Astra Serif" w:eastAsia="Calibri" w:hAnsi="PT Astra Serif" w:cs="Times New Roman"/>
          <w:szCs w:val="28"/>
        </w:rPr>
        <w:t>а от 10 июня 2008 года № 76-ФЗ «Об общественном контроле за обеспечением прав человека в местах принудительного содержания и о содействии лицам, находящимся в местах принудительного содержания» на территории региона сформирована и действует Общественная наблюдательная комиссия Ульяновской области, в состав которой входят 9 представителей общественных объединений, духовенства, правозащитных организаций. ОНК оказывает содействие лицам, находящимся в местах принудительного содержания, в вопросах обеспечения благоприятных условий их содержания, создания условий для их адаптации к жизни в обществе. Члены ОНК в 2025 году включились в процесс внедрения механизма пробации.</w:t>
      </w:r>
    </w:p>
    <w:p w14:paraId="73BE4A2F" w14:textId="77777777" w:rsidR="00250BEC" w:rsidRPr="00250BEC" w:rsidRDefault="00250BEC" w:rsidP="00250BE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С 24 февраля 2025 года по поручению Президента РФ В.В. Путина </w:t>
      </w:r>
      <w:r w:rsidRPr="00250BEC">
        <w:rPr>
          <w:rFonts w:ascii="PT Astra Serif" w:eastAsia="Calibri" w:hAnsi="PT Astra Serif" w:cs="Times New Roman"/>
          <w:szCs w:val="28"/>
        </w:rPr>
        <w:br/>
        <w:t xml:space="preserve">в Ульяновской области стартовал </w:t>
      </w:r>
      <w:r w:rsidRPr="00250BEC">
        <w:rPr>
          <w:rFonts w:ascii="PT Astra Serif" w:eastAsia="Calibri" w:hAnsi="PT Astra Serif" w:cs="Times New Roman"/>
          <w:b/>
          <w:szCs w:val="28"/>
        </w:rPr>
        <w:t>региональный проект для участников специальной военной операции «Герои Симбирской земли».</w:t>
      </w:r>
      <w:r w:rsidRPr="00250BEC">
        <w:rPr>
          <w:rFonts w:ascii="PT Astra Serif" w:eastAsia="Calibri" w:hAnsi="PT Astra Serif" w:cs="Times New Roman"/>
          <w:szCs w:val="28"/>
        </w:rPr>
        <w:t xml:space="preserve"> Количество поданных заявок составило: 473. Конкурсные процедуры для участников (тестирование, собеседования с психологами и членами Общественного совета программы были проведены с апреля по июнь 2025 года). </w:t>
      </w:r>
    </w:p>
    <w:p w14:paraId="6630EF73" w14:textId="77777777" w:rsidR="00250BEC" w:rsidRPr="00250BEC" w:rsidRDefault="00250BEC" w:rsidP="00250BE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По итогам на очное обучение было отобрано 50 человек. Обучение включает в себя модули по программам: государственная политика и система государственного управления, экономика и финансы, региональное </w:t>
      </w:r>
      <w:r w:rsidRPr="00250BEC">
        <w:rPr>
          <w:rFonts w:ascii="PT Astra Serif" w:eastAsia="Calibri" w:hAnsi="PT Astra Serif" w:cs="Times New Roman"/>
          <w:szCs w:val="28"/>
        </w:rPr>
        <w:br/>
        <w:t xml:space="preserve">и муниципальное управление, современные технологии управления. </w:t>
      </w:r>
    </w:p>
    <w:p w14:paraId="7E5EEAB6" w14:textId="77777777" w:rsidR="00250BEC" w:rsidRPr="00250BEC" w:rsidRDefault="00250BEC" w:rsidP="00250BE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Кроме того, на дистанционное обучение было приглашено 100 участников (обучение началось 5 ноября 2025 года, сроком на 6 месяцев) по программе повышения квалификации «Государственное и муниципальное управление» (160 академических часов) с применением дистанционных образовательных технологий/электронного обучения. В кадровый резерв (отложенное участие в очной программе обучения) было отобрано ещё 25 человек, действующих участников СВО.</w:t>
      </w:r>
    </w:p>
    <w:p w14:paraId="1A5F4374" w14:textId="77777777" w:rsidR="00250BEC" w:rsidRPr="00250BEC" w:rsidRDefault="00250BEC" w:rsidP="00250BE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Оператором обучающей программы является АНО Организация </w:t>
      </w:r>
      <w:r w:rsidRPr="00250BEC">
        <w:rPr>
          <w:rFonts w:ascii="PT Astra Serif" w:eastAsia="Calibri" w:hAnsi="PT Astra Serif" w:cs="Times New Roman"/>
          <w:szCs w:val="28"/>
        </w:rPr>
        <w:lastRenderedPageBreak/>
        <w:t xml:space="preserve">дополнительного профессионального образования «Корпоративный университет Ульяновской области». Программа разработана с учётом методических рекомендаций Высшей школы государственного управления </w:t>
      </w:r>
      <w:proofErr w:type="spellStart"/>
      <w:r w:rsidRPr="00250BEC">
        <w:rPr>
          <w:rFonts w:ascii="PT Astra Serif" w:eastAsia="Calibri" w:hAnsi="PT Astra Serif" w:cs="Times New Roman"/>
          <w:szCs w:val="28"/>
        </w:rPr>
        <w:t>РАНХиГС</w:t>
      </w:r>
      <w:proofErr w:type="spellEnd"/>
      <w:r w:rsidRPr="00250BEC">
        <w:rPr>
          <w:rFonts w:ascii="PT Astra Serif" w:eastAsia="Calibri" w:hAnsi="PT Astra Serif" w:cs="Times New Roman"/>
          <w:szCs w:val="28"/>
        </w:rPr>
        <w:t xml:space="preserve">. Программа профессиональной переподготовки «Государственное </w:t>
      </w:r>
      <w:r w:rsidRPr="00250BEC">
        <w:rPr>
          <w:rFonts w:ascii="PT Astra Serif" w:eastAsia="Calibri" w:hAnsi="PT Astra Serif" w:cs="Times New Roman"/>
          <w:szCs w:val="28"/>
        </w:rPr>
        <w:br/>
        <w:t xml:space="preserve">и муниципальное управление» (502 академических часа) включает в себя </w:t>
      </w:r>
      <w:r w:rsidRPr="00250BEC">
        <w:rPr>
          <w:rFonts w:ascii="PT Astra Serif" w:eastAsia="Calibri" w:hAnsi="PT Astra Serif" w:cs="Times New Roman"/>
          <w:szCs w:val="28"/>
        </w:rPr>
        <w:br/>
        <w:t>4 очных модуля, продолжительностью каждого составляет 10 - 12 дней.</w:t>
      </w:r>
    </w:p>
    <w:p w14:paraId="53AB6C04"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Все участники очной программы проходят стажировку под руководством персональных наставников (Губернатора Ульяновской области, председателя и членов Правительства Ульяновской области и руководителей подведомственных учреждений, депутатов Законодательного Собрания Ульяновской области, глав администраций муниципальных образований Ульяновской области).</w:t>
      </w:r>
      <w:r w:rsidRPr="00250BEC">
        <w:rPr>
          <w:rFonts w:ascii="PT Astra Serif" w:eastAsia="Calibri" w:hAnsi="PT Astra Serif" w:cs="Times New Roman"/>
          <w:b/>
          <w:bCs/>
          <w:szCs w:val="28"/>
        </w:rPr>
        <w:t xml:space="preserve"> </w:t>
      </w:r>
      <w:r w:rsidRPr="00250BEC">
        <w:rPr>
          <w:rFonts w:ascii="PT Astra Serif" w:eastAsia="Calibri" w:hAnsi="PT Astra Serif" w:cs="Times New Roman"/>
          <w:szCs w:val="28"/>
        </w:rPr>
        <w:t xml:space="preserve">При формировании пары «Участник-наставник» учитывались в первую очередь интересы участников, их образование </w:t>
      </w:r>
      <w:r w:rsidRPr="00250BEC">
        <w:rPr>
          <w:rFonts w:ascii="PT Astra Serif" w:eastAsia="Calibri" w:hAnsi="PT Astra Serif" w:cs="Times New Roman"/>
          <w:szCs w:val="28"/>
        </w:rPr>
        <w:br/>
        <w:t xml:space="preserve">и предпочтения в дальнейшем месте стажировки и трудоустройства. </w:t>
      </w:r>
    </w:p>
    <w:p w14:paraId="725BBC1A" w14:textId="77777777" w:rsidR="00250BEC" w:rsidRPr="00250BEC" w:rsidRDefault="00250BEC" w:rsidP="00250BEC">
      <w:pPr>
        <w:widowControl w:val="0"/>
        <w:ind w:firstLine="0"/>
        <w:jc w:val="center"/>
        <w:rPr>
          <w:rFonts w:ascii="PT Astra Serif" w:eastAsia="Calibri" w:hAnsi="PT Astra Serif" w:cs="Times New Roman"/>
          <w:b/>
          <w:color w:val="000000"/>
          <w:szCs w:val="28"/>
        </w:rPr>
      </w:pPr>
    </w:p>
    <w:p w14:paraId="444C2BCE" w14:textId="77777777" w:rsidR="00250BEC" w:rsidRPr="00250BEC" w:rsidRDefault="00250BEC" w:rsidP="00250BEC">
      <w:pPr>
        <w:widowControl w:val="0"/>
        <w:ind w:firstLine="0"/>
        <w:jc w:val="center"/>
        <w:rPr>
          <w:rFonts w:ascii="PT Astra Serif" w:eastAsia="Calibri" w:hAnsi="PT Astra Serif" w:cs="Times New Roman"/>
          <w:b/>
          <w:color w:val="000000"/>
          <w:szCs w:val="28"/>
        </w:rPr>
      </w:pPr>
      <w:r w:rsidRPr="00250BEC">
        <w:rPr>
          <w:rFonts w:ascii="PT Astra Serif" w:eastAsia="Calibri" w:hAnsi="PT Astra Serif" w:cs="Times New Roman"/>
          <w:b/>
          <w:color w:val="000000"/>
          <w:szCs w:val="28"/>
        </w:rPr>
        <w:t>Основные задачи на 2026 год</w:t>
      </w:r>
    </w:p>
    <w:p w14:paraId="39394924" w14:textId="77777777" w:rsidR="00250BEC" w:rsidRPr="00250BEC" w:rsidRDefault="00250BEC" w:rsidP="00250BEC">
      <w:pPr>
        <w:widowControl w:val="0"/>
        <w:ind w:firstLine="0"/>
        <w:jc w:val="center"/>
        <w:rPr>
          <w:rFonts w:ascii="PT Astra Serif" w:eastAsia="Calibri" w:hAnsi="PT Astra Serif" w:cs="Times New Roman"/>
          <w:b/>
          <w:color w:val="000000"/>
          <w:szCs w:val="28"/>
        </w:rPr>
      </w:pPr>
    </w:p>
    <w:p w14:paraId="65B7B29B"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 xml:space="preserve">1. Реализация программы переподготовки для участников специальной военной операции «Герои Симбирской земли» (совместно с АНО «Корпоративный университет Ульяновской области» до июля 2026 года включительно), дальнейшее трудоустройство участников программы </w:t>
      </w:r>
      <w:r w:rsidRPr="00250BEC">
        <w:rPr>
          <w:rFonts w:ascii="PT Astra Serif" w:eastAsia="Calibri" w:hAnsi="PT Astra Serif" w:cs="Times New Roman"/>
          <w:szCs w:val="28"/>
        </w:rPr>
        <w:br/>
        <w:t xml:space="preserve">в органы государственной власти, органы местного самоуправления </w:t>
      </w:r>
      <w:r w:rsidRPr="00250BEC">
        <w:rPr>
          <w:rFonts w:ascii="PT Astra Serif" w:eastAsia="Calibri" w:hAnsi="PT Astra Serif" w:cs="Times New Roman"/>
          <w:szCs w:val="28"/>
        </w:rPr>
        <w:br/>
        <w:t xml:space="preserve">и государственные корпорации). </w:t>
      </w:r>
    </w:p>
    <w:p w14:paraId="534BDDEB"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color w:val="000000"/>
          <w:szCs w:val="28"/>
        </w:rPr>
        <w:t>2. Ф</w:t>
      </w:r>
      <w:r w:rsidRPr="00250BEC">
        <w:rPr>
          <w:rFonts w:ascii="PT Astra Serif" w:eastAsia="Calibri" w:hAnsi="PT Astra Serif" w:cs="Times New Roman"/>
          <w:szCs w:val="28"/>
        </w:rPr>
        <w:t>ормирование нового состава Общественной палаты Ульяновской области (апрель - июль 2026 года). Всего утверждается 60 человек по трём квотам:</w:t>
      </w:r>
    </w:p>
    <w:p w14:paraId="208D52A5"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20 человек, представителей Общероссийских (межрегиональных) общественных объединений - от Губернатора Ульяновской области,</w:t>
      </w:r>
    </w:p>
    <w:p w14:paraId="68A84859"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20 человек, представителей региональных общественных объединений - от Законодательного собрания Ульяновской области,</w:t>
      </w:r>
    </w:p>
    <w:p w14:paraId="1AEC7851" w14:textId="77777777" w:rsidR="00250BEC" w:rsidRPr="00250BEC" w:rsidRDefault="00250BEC" w:rsidP="00250BEC">
      <w:pPr>
        <w:widowControl w:val="0"/>
        <w:contextualSpacing/>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t>20 человек, представителей местных общественных объединений - от рабочей группы Общественной палаты Ульяновской области.</w:t>
      </w:r>
    </w:p>
    <w:p w14:paraId="7CD08A2C" w14:textId="77777777" w:rsidR="00250BEC" w:rsidRPr="00250BEC" w:rsidRDefault="00250BEC" w:rsidP="00250BEC">
      <w:pPr>
        <w:widowControl w:val="0"/>
        <w:contextualSpacing/>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t xml:space="preserve">3. Подготовка общественных наблюдателей для проведения выборов депутатов Государственной Думы Федерального Собрания Российской Федерации и Губернатора Ульяновской области (будет подготовлено </w:t>
      </w:r>
      <w:r w:rsidRPr="00250BEC">
        <w:rPr>
          <w:rFonts w:ascii="PT Astra Serif" w:eastAsia="Calibri" w:hAnsi="PT Astra Serif" w:cs="Times New Roman"/>
          <w:color w:val="000000"/>
          <w:szCs w:val="28"/>
        </w:rPr>
        <w:br/>
        <w:t xml:space="preserve">и обучено более </w:t>
      </w:r>
      <w:r w:rsidRPr="00250BEC">
        <w:rPr>
          <w:rFonts w:ascii="PT Astra Serif" w:eastAsia="Calibri" w:hAnsi="PT Astra Serif" w:cs="Times New Roman"/>
          <w:szCs w:val="28"/>
        </w:rPr>
        <w:t>3</w:t>
      </w:r>
      <w:r w:rsidRPr="00250BEC">
        <w:rPr>
          <w:rFonts w:ascii="PT Astra Serif" w:eastAsia="Calibri" w:hAnsi="PT Astra Serif" w:cs="Times New Roman"/>
          <w:color w:val="000000"/>
          <w:szCs w:val="28"/>
        </w:rPr>
        <w:t xml:space="preserve"> тысяч человек, август-сентябрь 2026 года). </w:t>
      </w:r>
    </w:p>
    <w:p w14:paraId="6751B683"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Calibri" w:hAnsi="PT Astra Serif" w:cs="Times New Roman"/>
          <w:szCs w:val="28"/>
        </w:rPr>
        <w:t>4. Совместно с региональным отделением Российского общества «Знание» проведение лекционных занятий по темам внутренней и внешней политики для государственных и муниципальных гражданских служащих, студентов, сотрудников промышленных предприятий (в течение года).</w:t>
      </w:r>
    </w:p>
    <w:p w14:paraId="44D3BB9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5. Совместно с органами местного самоуправления проведение мероприятий по увековечению памяти погибших участников СВО (в течение года).</w:t>
      </w:r>
    </w:p>
    <w:p w14:paraId="09D0A7A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6. Проведение областного конкурса на предоставление субсидий на общую сумму 39 млн рублей, из них 19,5 млн рублей </w:t>
      </w:r>
      <w:proofErr w:type="spellStart"/>
      <w:r w:rsidRPr="00250BEC">
        <w:rPr>
          <w:rFonts w:ascii="PT Astra Serif" w:eastAsia="Calibri" w:hAnsi="PT Astra Serif" w:cs="Times New Roman"/>
          <w:szCs w:val="28"/>
        </w:rPr>
        <w:t>софинансирование</w:t>
      </w:r>
      <w:proofErr w:type="spellEnd"/>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lastRenderedPageBreak/>
        <w:t>Фонда Президентских грантов. В июле планируется определить до 45 победителей из числа СО НКО. Реализация проектов – с октября 2026 года до декабря 2027 года.</w:t>
      </w:r>
    </w:p>
    <w:p w14:paraId="24BCD863" w14:textId="77777777" w:rsidR="00250BEC" w:rsidRPr="00250BEC" w:rsidRDefault="00250BEC" w:rsidP="00250BEC">
      <w:pPr>
        <w:widowControl w:val="0"/>
        <w:contextualSpacing/>
        <w:rPr>
          <w:rFonts w:ascii="PT Astra Serif" w:hAnsi="PT Astra Serif"/>
          <w:color w:val="000000" w:themeColor="text1"/>
          <w:highlight w:val="yellow"/>
          <w:shd w:val="clear" w:color="auto" w:fill="FFFFFF"/>
        </w:rPr>
      </w:pPr>
    </w:p>
    <w:p w14:paraId="7BC60735" w14:textId="77777777" w:rsidR="00250BEC" w:rsidRPr="00250BEC" w:rsidRDefault="00250BEC" w:rsidP="00250BEC">
      <w:pPr>
        <w:widowControl w:val="0"/>
        <w:ind w:firstLine="0"/>
        <w:jc w:val="center"/>
        <w:rPr>
          <w:rFonts w:ascii="PT Astra Serif" w:hAnsi="PT Astra Serif"/>
          <w:b/>
          <w:bCs/>
          <w:szCs w:val="28"/>
        </w:rPr>
      </w:pPr>
      <w:r w:rsidRPr="00250BEC">
        <w:rPr>
          <w:rFonts w:ascii="PT Astra Serif" w:hAnsi="PT Astra Serif"/>
          <w:b/>
          <w:bCs/>
          <w:szCs w:val="28"/>
        </w:rPr>
        <w:t>Итоги реализации государственной национальной политики РФ</w:t>
      </w:r>
    </w:p>
    <w:p w14:paraId="770F73C3" w14:textId="77777777" w:rsidR="00250BEC" w:rsidRPr="00250BEC" w:rsidRDefault="00250BEC" w:rsidP="00250BEC">
      <w:pPr>
        <w:widowControl w:val="0"/>
        <w:ind w:firstLine="0"/>
        <w:jc w:val="center"/>
        <w:rPr>
          <w:rFonts w:ascii="PT Astra Serif" w:hAnsi="PT Astra Serif"/>
          <w:b/>
          <w:bCs/>
          <w:szCs w:val="28"/>
        </w:rPr>
      </w:pPr>
      <w:r w:rsidRPr="00250BEC">
        <w:rPr>
          <w:rFonts w:ascii="PT Astra Serif" w:hAnsi="PT Astra Serif"/>
          <w:b/>
          <w:bCs/>
          <w:szCs w:val="28"/>
        </w:rPr>
        <w:t>на территории Ульяновской области за 2025 год</w:t>
      </w:r>
    </w:p>
    <w:p w14:paraId="26D8F541" w14:textId="77777777" w:rsidR="00250BEC" w:rsidRPr="00250BEC" w:rsidRDefault="00250BEC" w:rsidP="00250BEC">
      <w:pPr>
        <w:widowControl w:val="0"/>
        <w:ind w:firstLine="0"/>
        <w:rPr>
          <w:rFonts w:ascii="PT Astra Serif" w:hAnsi="PT Astra Serif"/>
          <w:szCs w:val="28"/>
        </w:rPr>
      </w:pPr>
    </w:p>
    <w:p w14:paraId="6C458A5D"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По данным Всероссийской переписи населения 2020 года в Ульяновской области проживают 1 млн 196 тыс. 745 человек.</w:t>
      </w:r>
    </w:p>
    <w:p w14:paraId="42DA0420"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От общей численности населения:</w:t>
      </w:r>
    </w:p>
    <w:p w14:paraId="40DD20A8"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Русские составляют 65,19% (780 тыс. 171 чел.);</w:t>
      </w:r>
    </w:p>
    <w:p w14:paraId="7E3AAF7C"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Татары – 9,3% (111 тыс. 365 чел.);</w:t>
      </w:r>
    </w:p>
    <w:p w14:paraId="2C6B1BD0"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Чуваши – 4,86% (58 тыс. 206 чел.);</w:t>
      </w:r>
    </w:p>
    <w:p w14:paraId="2416C678"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Мордва – 2,39% (24 тыс. 90 чел.).</w:t>
      </w:r>
    </w:p>
    <w:p w14:paraId="18C89D26"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Менее одного процента составляют представители следующих народов:</w:t>
      </w:r>
    </w:p>
    <w:p w14:paraId="63416D14"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Украинцы – 0,32% (3 тыс. 863 чел.);</w:t>
      </w:r>
    </w:p>
    <w:p w14:paraId="600293E5"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Азербайджанцы – 0,29% (3 тыс. 518 чел.);</w:t>
      </w:r>
    </w:p>
    <w:p w14:paraId="5DF0AD27"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Армяне – 0,27% (3 тыс. 290 чел.);</w:t>
      </w:r>
    </w:p>
    <w:p w14:paraId="752F9FC2"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Цыгане – 0,36% (4 тыс. 341 чел.);</w:t>
      </w:r>
    </w:p>
    <w:p w14:paraId="3F10D993"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Белорусы – 0,07% (875 чел.);</w:t>
      </w:r>
    </w:p>
    <w:p w14:paraId="0477BF3D"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Немцы – 0,07% (877 чел.);</w:t>
      </w:r>
    </w:p>
    <w:p w14:paraId="00F02AAE"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Узбеки – 0,14% (1 тыс. 725 чел.);</w:t>
      </w:r>
    </w:p>
    <w:p w14:paraId="18A20C70" w14:textId="77777777" w:rsidR="00250BEC" w:rsidRPr="00250BEC" w:rsidRDefault="00250BEC" w:rsidP="00250BEC">
      <w:pPr>
        <w:widowControl w:val="0"/>
        <w:tabs>
          <w:tab w:val="left" w:pos="1080"/>
          <w:tab w:val="left" w:pos="1260"/>
        </w:tabs>
        <w:rPr>
          <w:rFonts w:ascii="PT Astra Serif" w:hAnsi="PT Astra Serif"/>
          <w:szCs w:val="28"/>
          <w:lang w:eastAsia="ru-RU"/>
        </w:rPr>
      </w:pPr>
      <w:r w:rsidRPr="00250BEC">
        <w:rPr>
          <w:rFonts w:ascii="PT Astra Serif" w:hAnsi="PT Astra Serif"/>
          <w:szCs w:val="28"/>
          <w:lang w:eastAsia="ru-RU"/>
        </w:rPr>
        <w:t>Таджики – 0,26% (3 тыс. 122 чел.).</w:t>
      </w:r>
    </w:p>
    <w:p w14:paraId="1BC3D326" w14:textId="77777777" w:rsidR="00250BEC" w:rsidRPr="00250BEC" w:rsidRDefault="00250BEC" w:rsidP="00250BEC">
      <w:pPr>
        <w:widowControl w:val="0"/>
        <w:tabs>
          <w:tab w:val="left" w:pos="1080"/>
          <w:tab w:val="left" w:pos="1260"/>
        </w:tabs>
        <w:rPr>
          <w:rFonts w:ascii="PT Astra Serif" w:hAnsi="PT Astra Serif"/>
          <w:szCs w:val="28"/>
        </w:rPr>
      </w:pPr>
      <w:r w:rsidRPr="00250BEC">
        <w:rPr>
          <w:rFonts w:ascii="PT Astra Serif" w:hAnsi="PT Astra Serif"/>
          <w:szCs w:val="28"/>
        </w:rPr>
        <w:t xml:space="preserve">Всего на территории региона проживают представители более 100 народов. </w:t>
      </w:r>
      <w:bookmarkStart w:id="50" w:name="_Hlk163051083"/>
      <w:r w:rsidRPr="00250BEC">
        <w:rPr>
          <w:rFonts w:ascii="PT Astra Serif" w:hAnsi="PT Astra Serif"/>
          <w:szCs w:val="28"/>
        </w:rPr>
        <w:t>На 31.12.2025 на территории Ульяновской области зарегистрировано и действует 29 национальных общественных организаций, из них 14 национально-культурных автономий.</w:t>
      </w:r>
    </w:p>
    <w:p w14:paraId="42880919"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 xml:space="preserve">По данным социологического исследования «Мониторинг ключевых показателей межнациональных и межконфессиональных отношений </w:t>
      </w:r>
      <w:r w:rsidRPr="00250BEC">
        <w:rPr>
          <w:rFonts w:ascii="PT Astra Serif" w:hAnsi="PT Astra Serif"/>
          <w:szCs w:val="28"/>
        </w:rPr>
        <w:br/>
        <w:t>в регионе», проведённого в сентябре – октябре 2025 года (выборка 700 человек, репрезентативна по полу и возрасту), более половины участников исследования (58%) придерживается мнения о том, что многонациональность России приносит больше пользы, чем вреда. За год число сторонников данной точки зрения увеличилось на 4%. Уровень гражданской идентичности составил 96%.</w:t>
      </w:r>
    </w:p>
    <w:bookmarkEnd w:id="50"/>
    <w:p w14:paraId="77D1CD52" w14:textId="77777777" w:rsidR="00250BEC" w:rsidRPr="00250BEC" w:rsidRDefault="00250BEC" w:rsidP="00250BEC">
      <w:pPr>
        <w:widowControl w:val="0"/>
        <w:rPr>
          <w:rFonts w:ascii="PT Astra Serif" w:hAnsi="PT Astra Serif"/>
          <w:szCs w:val="28"/>
        </w:rPr>
      </w:pPr>
      <w:r w:rsidRPr="00250BEC">
        <w:rPr>
          <w:rFonts w:ascii="PT Astra Serif" w:hAnsi="PT Astra Serif"/>
          <w:color w:val="000000"/>
          <w:szCs w:val="28"/>
        </w:rPr>
        <w:t xml:space="preserve">Финансирование мероприятий в сфере государственной национальной политики Российской Федерации на территории Ульяновской области осуществлялось в рамках подпрограммы «Укрепление единства российской нации и этнокультурное развитие народов России на территории Ульяновской области» государственной программы Ульяновской области «Гражданское общество и государственная национальная политика в Ульяновской </w:t>
      </w:r>
      <w:r w:rsidRPr="00250BEC">
        <w:rPr>
          <w:rFonts w:ascii="PT Astra Serif" w:hAnsi="PT Astra Serif"/>
          <w:szCs w:val="28"/>
        </w:rPr>
        <w:t xml:space="preserve">области», утверждённой постановлением Правительства Ульяновской области от 30.11.2023 № 32/647-П «Об утверждении государственной программы Ульяновской области «Гражданское общество и государственная национальная политика в Ульяновской области». На её реализацию в 2025 </w:t>
      </w:r>
      <w:r w:rsidRPr="00250BEC">
        <w:rPr>
          <w:rFonts w:ascii="PT Astra Serif" w:hAnsi="PT Astra Serif"/>
          <w:szCs w:val="28"/>
        </w:rPr>
        <w:lastRenderedPageBreak/>
        <w:t>году было предусмотрено 21,098 млн рублей. Средства подпрограммы освоены на 99,91% выделенных средств (0,09% - экономия по итогам торгов).</w:t>
      </w:r>
    </w:p>
    <w:p w14:paraId="46BEC504" w14:textId="77777777" w:rsidR="00250BEC" w:rsidRPr="00250BEC" w:rsidRDefault="00250BEC" w:rsidP="00250BEC">
      <w:pPr>
        <w:widowControl w:val="0"/>
        <w:rPr>
          <w:rFonts w:ascii="PT Astra Serif" w:hAnsi="PT Astra Serif"/>
          <w:color w:val="000000"/>
          <w:szCs w:val="28"/>
        </w:rPr>
      </w:pPr>
      <w:r w:rsidRPr="00250BEC">
        <w:rPr>
          <w:rFonts w:ascii="PT Astra Serif" w:hAnsi="PT Astra Serif"/>
          <w:szCs w:val="28"/>
        </w:rPr>
        <w:t xml:space="preserve">В рамках подпрограммы были предоставлены гранты на реализацию </w:t>
      </w:r>
      <w:r w:rsidRPr="00250BEC">
        <w:rPr>
          <w:rFonts w:ascii="PT Astra Serif" w:hAnsi="PT Astra Serif"/>
          <w:szCs w:val="28"/>
        </w:rPr>
        <w:br/>
      </w:r>
      <w:r w:rsidRPr="00250BEC">
        <w:rPr>
          <w:rFonts w:ascii="PT Astra Serif" w:hAnsi="PT Astra Serif"/>
          <w:color w:val="000000"/>
          <w:szCs w:val="28"/>
        </w:rPr>
        <w:t xml:space="preserve">18 проектов НКО на сумму 6,68 млн рублей, подготовлены 72 телепередачи на национальных языках народов, проживающих в Ульяновской области (татарском, чувашском, мордовском), реализованы меры по профилактике распространения радикальной идеологии, этнокультурной адаптации иностранных граждан, на сохранение родных языков, поддержке национальных языков и культур. </w:t>
      </w:r>
      <w:r w:rsidRPr="00250BEC">
        <w:rPr>
          <w:rFonts w:ascii="PT Astra Serif" w:eastAsia="Times New Roman" w:hAnsi="PT Astra Serif"/>
          <w:szCs w:val="28"/>
          <w:lang w:eastAsia="ru-RU"/>
        </w:rPr>
        <w:t xml:space="preserve">Управлением на основании методики социальной адаптации иностранных граждан, поступившей из ФАДН России в августе 2025 года, </w:t>
      </w:r>
      <w:r w:rsidRPr="00250BEC">
        <w:rPr>
          <w:rFonts w:ascii="PT Astra Serif" w:hAnsi="PT Astra Serif"/>
          <w:bCs/>
          <w:szCs w:val="28"/>
        </w:rPr>
        <w:t xml:space="preserve">разработаны и направлены в типографию макеты буклетов по 8 тематическим направлениям, в которых содержится информация по вопросам миграционного законодательства, профилактики экстремизма </w:t>
      </w:r>
      <w:r w:rsidRPr="00250BEC">
        <w:rPr>
          <w:rFonts w:ascii="PT Astra Serif" w:hAnsi="PT Astra Serif"/>
          <w:bCs/>
          <w:szCs w:val="28"/>
        </w:rPr>
        <w:br/>
        <w:t xml:space="preserve">и идеологии терроризма, оформления необходимых разрешительных документов, контактная информация исполнительных органов власти Ульяновской области. Тираж буклетов – около 32 тыс. Буклеты распространены среди иностранных граждан при содействии органов государственной власти и органов местного самоуправления Ульяновской области, УРОО «Центр социально-культурной адаптации и интеграции иностранных граждан», высших учебных заведений Ульяновской области, УМВД России по Ульяновской области. </w:t>
      </w:r>
      <w:r w:rsidRPr="00250BEC">
        <w:rPr>
          <w:rFonts w:ascii="PT Astra Serif" w:hAnsi="PT Astra Serif"/>
          <w:color w:val="000000"/>
          <w:szCs w:val="28"/>
        </w:rPr>
        <w:t xml:space="preserve">Также разработаны баннеры в рамках федерального оперативно профилактического мероприятия «Нет ненависти и вражде!», которые размещены в 12 муниципальных районах и городских округах Ульяновской области. </w:t>
      </w:r>
    </w:p>
    <w:p w14:paraId="1F98F89B" w14:textId="77777777" w:rsidR="00250BEC" w:rsidRPr="00250BEC" w:rsidRDefault="00250BEC" w:rsidP="00250BEC">
      <w:pPr>
        <w:widowControl w:val="0"/>
        <w:rPr>
          <w:rFonts w:ascii="PT Astra Serif" w:hAnsi="PT Astra Serif"/>
          <w:bCs/>
          <w:szCs w:val="28"/>
        </w:rPr>
      </w:pPr>
      <w:r w:rsidRPr="00250BEC">
        <w:rPr>
          <w:rFonts w:ascii="PT Astra Serif" w:hAnsi="PT Astra Serif"/>
          <w:bCs/>
          <w:szCs w:val="28"/>
        </w:rPr>
        <w:t xml:space="preserve">На территории Центра социально-культурной адаптации и интеграции иностранных граждан за 2025 год осуществлено 12 тыс. трансляций социальных видеороликов, направленных на противодействие экстремизму </w:t>
      </w:r>
      <w:r w:rsidRPr="00250BEC">
        <w:rPr>
          <w:rFonts w:ascii="PT Astra Serif" w:hAnsi="PT Astra Serif"/>
          <w:bCs/>
          <w:szCs w:val="28"/>
        </w:rPr>
        <w:br/>
        <w:t>и идеологии терроризма в среде иностранных граждан, прибывающих на территорию Ульяновской области. Также Центром адаптации разработаны папки для документов иностранных граждан, на которых размещается информация по недопущению нарушения законодательства Российской Федерации, в доступной для восприятия иностранными гражданами форме.</w:t>
      </w:r>
    </w:p>
    <w:p w14:paraId="4A861718" w14:textId="77777777" w:rsidR="00250BEC" w:rsidRPr="00250BEC" w:rsidRDefault="00250BEC" w:rsidP="00250BEC">
      <w:pPr>
        <w:widowControl w:val="0"/>
        <w:rPr>
          <w:rFonts w:ascii="PT Astra Serif" w:hAnsi="PT Astra Serif"/>
          <w:spacing w:val="-4"/>
          <w:szCs w:val="28"/>
        </w:rPr>
      </w:pPr>
      <w:r w:rsidRPr="00250BEC">
        <w:rPr>
          <w:rFonts w:ascii="PT Astra Serif" w:hAnsi="PT Astra Serif"/>
          <w:spacing w:val="-4"/>
          <w:szCs w:val="28"/>
        </w:rPr>
        <w:t>Главной основной задачей на 2026 год остается поддержание межнационального и межконфессионального мира и согласия, предотвращение конфликтов на межнациональной и межконфессиональной почве, а также популяризация традиционных российских духовно-нравственных ценностей.</w:t>
      </w:r>
    </w:p>
    <w:p w14:paraId="1530C3D2"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Главным итогом реализации государственной национальной политики Российской Федерации на территории в Ульяновской области является сохранение и укрепление межнационального и межконфессионального мира </w:t>
      </w:r>
      <w:r w:rsidRPr="00250BEC">
        <w:rPr>
          <w:rFonts w:ascii="PT Astra Serif" w:hAnsi="PT Astra Serif"/>
          <w:szCs w:val="28"/>
        </w:rPr>
        <w:br/>
        <w:t>и согласия.</w:t>
      </w:r>
    </w:p>
    <w:p w14:paraId="0AD50970"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течение года не зафиксировано публичных конфликтов на межнациональной (межрелигиозной, межконфессиональной) почве.</w:t>
      </w:r>
    </w:p>
    <w:p w14:paraId="29D7BF5E" w14:textId="77777777" w:rsidR="00250BEC" w:rsidRPr="00250BEC" w:rsidRDefault="00250BEC" w:rsidP="00250BEC">
      <w:pPr>
        <w:widowControl w:val="0"/>
        <w:rPr>
          <w:rFonts w:ascii="PT Astra Serif" w:hAnsi="PT Astra Serif"/>
          <w:szCs w:val="28"/>
        </w:rPr>
      </w:pPr>
    </w:p>
    <w:p w14:paraId="54D53D08" w14:textId="77777777" w:rsidR="00250BEC" w:rsidRPr="00250BEC" w:rsidRDefault="00250BEC" w:rsidP="00250BEC">
      <w:pPr>
        <w:widowControl w:val="0"/>
        <w:rPr>
          <w:rFonts w:ascii="PT Astra Serif" w:hAnsi="PT Astra Serif"/>
          <w:szCs w:val="28"/>
        </w:rPr>
      </w:pPr>
    </w:p>
    <w:p w14:paraId="13934B7A" w14:textId="77777777" w:rsidR="00250BEC" w:rsidRPr="00250BEC" w:rsidRDefault="00250BEC" w:rsidP="00250BEC">
      <w:pPr>
        <w:widowControl w:val="0"/>
        <w:rPr>
          <w:rFonts w:ascii="PT Astra Serif" w:hAnsi="PT Astra Serif"/>
          <w:szCs w:val="28"/>
        </w:rPr>
      </w:pPr>
    </w:p>
    <w:p w14:paraId="14C34C8F" w14:textId="77777777" w:rsidR="00250BEC" w:rsidRPr="00250BEC" w:rsidRDefault="00250BEC" w:rsidP="00250BEC">
      <w:pPr>
        <w:widowControl w:val="0"/>
        <w:ind w:firstLine="0"/>
        <w:jc w:val="center"/>
        <w:rPr>
          <w:rFonts w:ascii="PT Astra Serif" w:hAnsi="PT Astra Serif"/>
          <w:b/>
          <w:bCs/>
          <w:i/>
          <w:iCs/>
          <w:szCs w:val="28"/>
        </w:rPr>
      </w:pPr>
      <w:r w:rsidRPr="00250BEC">
        <w:rPr>
          <w:rFonts w:ascii="PT Astra Serif" w:hAnsi="PT Astra Serif"/>
          <w:b/>
          <w:bCs/>
          <w:i/>
          <w:iCs/>
          <w:szCs w:val="28"/>
        </w:rPr>
        <w:lastRenderedPageBreak/>
        <w:t>Укрепление общегражданского единства</w:t>
      </w:r>
    </w:p>
    <w:p w14:paraId="235CB722" w14:textId="77777777" w:rsidR="00250BEC" w:rsidRPr="00250BEC" w:rsidRDefault="00250BEC" w:rsidP="00250BEC">
      <w:pPr>
        <w:widowControl w:val="0"/>
        <w:rPr>
          <w:rFonts w:ascii="PT Astra Serif" w:hAnsi="PT Astra Serif"/>
          <w:szCs w:val="28"/>
        </w:rPr>
      </w:pPr>
    </w:p>
    <w:p w14:paraId="36EA5B22"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По результатам социологического исследования, проведённого</w:t>
      </w:r>
      <w:r w:rsidRPr="00250BEC">
        <w:rPr>
          <w:rFonts w:ascii="PT Astra Serif" w:hAnsi="PT Astra Serif"/>
          <w:szCs w:val="28"/>
        </w:rPr>
        <w:br/>
        <w:t>в Ульяновской области в сентябре - октябре 2025 года, отмечена тенденция сплочения российского многонационального народа. За 2025 год уровень общегражданской идентичности вырос с 95% до 96%. Около 71% опрошенных жителей оценили межнациональные отношения положительно, 98% из них не сталкивались с нарушениями их прав из-за национальной принадлежности. Межрелигиозные (межконфессиональные) отношения в регионе положительно оценили 84% опрошенных, 97% респондентов не испытывали в 2025 году недоверие из-за своих религиозных убеждений.</w:t>
      </w:r>
    </w:p>
    <w:p w14:paraId="57B701A4"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2025 году была продолжена практика совместного участия представителей органов власти, традиционных религиозных конфессий, национальных общественных организаций, казачьих обществ, иных некоммерческих организаций в торжественных мероприятиях, приуроченных к важнейшим государственным праздникам и памятным датам России (День защитника Отечества, День Победы, День России, День памяти и скорби, День Государственного флага, День солидарности в борьбе с терроризмом, День народного единства и др.).</w:t>
      </w:r>
    </w:p>
    <w:p w14:paraId="22C6C5B3" w14:textId="77777777" w:rsidR="00250BEC" w:rsidRPr="00250BEC" w:rsidRDefault="00250BEC" w:rsidP="00250BEC">
      <w:pPr>
        <w:widowControl w:val="0"/>
        <w:rPr>
          <w:rFonts w:ascii="PT Astra Serif" w:hAnsi="PT Astra Serif"/>
          <w:bCs/>
          <w:szCs w:val="28"/>
        </w:rPr>
      </w:pPr>
      <w:r w:rsidRPr="00250BEC">
        <w:rPr>
          <w:rFonts w:ascii="PT Astra Serif" w:hAnsi="PT Astra Serif"/>
          <w:szCs w:val="28"/>
        </w:rPr>
        <w:t xml:space="preserve">Лидеры национальных общественных, казачьих организаций Ульяновской области в 2025 году активно принимали участие в сборе гуманитарной помощи для </w:t>
      </w:r>
      <w:r w:rsidRPr="00250BEC">
        <w:rPr>
          <w:rFonts w:ascii="PT Astra Serif" w:hAnsi="PT Astra Serif"/>
          <w:bCs/>
          <w:szCs w:val="28"/>
        </w:rPr>
        <w:t>российских бойцов, находящихся в зоне проведения СВО. В 2025 году были организованы отправки гуманитарного груза с продовольствием, медикаментами и спецоборудованием. Также оказана помощь семьям погибших на СВО и содействие в погребении тел погибших воинов-контрактников.</w:t>
      </w:r>
    </w:p>
    <w:p w14:paraId="3E9B24B1" w14:textId="11570619" w:rsidR="00250BEC" w:rsidRPr="00250BEC" w:rsidRDefault="00250BEC" w:rsidP="00250BEC">
      <w:pPr>
        <w:widowControl w:val="0"/>
        <w:rPr>
          <w:rFonts w:ascii="PT Astra Serif" w:hAnsi="PT Astra Serif"/>
          <w:szCs w:val="28"/>
        </w:rPr>
      </w:pPr>
      <w:r w:rsidRPr="00250BEC">
        <w:rPr>
          <w:rFonts w:ascii="PT Astra Serif" w:hAnsi="PT Astra Serif"/>
          <w:szCs w:val="28"/>
        </w:rPr>
        <w:t>Была оказана поддержка реализации проектов НКО, направленных на укрепление межнациональных отношений и общегражданского единства: «Край, в котором я живу. Штрихи к межконфессиональному портрету региона», «Молодёжный фестиваль национальных культур «За мир и дружбу», «НАСТАВНИКИ», «</w:t>
      </w:r>
      <w:r w:rsidRPr="00250BEC">
        <w:rPr>
          <w:rFonts w:ascii="PT Astra Serif" w:hAnsi="PT Astra Serif"/>
          <w:color w:val="000000"/>
          <w:szCs w:val="28"/>
        </w:rPr>
        <w:t>Лента героического времени», «Региональный историко-патриотический фестиваль для детей и подростков с ОВЗ #</w:t>
      </w:r>
      <w:proofErr w:type="spellStart"/>
      <w:r w:rsidRPr="00250BEC">
        <w:rPr>
          <w:rFonts w:ascii="PT Astra Serif" w:hAnsi="PT Astra Serif"/>
          <w:color w:val="000000"/>
          <w:szCs w:val="28"/>
        </w:rPr>
        <w:t>ДорогамиВеликогоПодвига</w:t>
      </w:r>
      <w:proofErr w:type="spellEnd"/>
      <w:r w:rsidRPr="00250BEC">
        <w:rPr>
          <w:rFonts w:ascii="PT Astra Serif" w:hAnsi="PT Astra Serif"/>
          <w:color w:val="000000"/>
          <w:szCs w:val="28"/>
        </w:rPr>
        <w:t>»</w:t>
      </w:r>
      <w:r w:rsidRPr="00250BEC">
        <w:rPr>
          <w:rFonts w:ascii="PT Astra Serif" w:hAnsi="PT Astra Serif"/>
          <w:szCs w:val="28"/>
        </w:rPr>
        <w:t xml:space="preserve"> и </w:t>
      </w:r>
      <w:proofErr w:type="spellStart"/>
      <w:r w:rsidRPr="00250BEC">
        <w:rPr>
          <w:rFonts w:ascii="PT Astra Serif" w:hAnsi="PT Astra Serif"/>
          <w:szCs w:val="28"/>
        </w:rPr>
        <w:t>др</w:t>
      </w:r>
      <w:proofErr w:type="spellEnd"/>
      <w:r w:rsidR="00005A38">
        <w:rPr>
          <w:rFonts w:ascii="PT Astra Serif" w:hAnsi="PT Astra Serif"/>
          <w:szCs w:val="28"/>
          <w:lang w:val="en-US"/>
        </w:rPr>
        <w:t>e</w:t>
      </w:r>
      <w:proofErr w:type="spellStart"/>
      <w:r w:rsidR="00005A38">
        <w:rPr>
          <w:rFonts w:ascii="PT Astra Serif" w:hAnsi="PT Astra Serif"/>
          <w:szCs w:val="28"/>
        </w:rPr>
        <w:t>гие</w:t>
      </w:r>
      <w:proofErr w:type="spellEnd"/>
      <w:r w:rsidRPr="00250BEC">
        <w:rPr>
          <w:rFonts w:ascii="PT Astra Serif" w:hAnsi="PT Astra Serif"/>
          <w:szCs w:val="28"/>
        </w:rPr>
        <w:t>.</w:t>
      </w:r>
    </w:p>
    <w:p w14:paraId="60DB6AC6" w14:textId="77777777" w:rsidR="00250BEC" w:rsidRPr="00250BEC" w:rsidRDefault="00250BEC" w:rsidP="00250BEC">
      <w:pPr>
        <w:widowControl w:val="0"/>
        <w:rPr>
          <w:rFonts w:ascii="PT Astra Serif" w:hAnsi="PT Astra Serif"/>
          <w:color w:val="000000"/>
          <w:szCs w:val="28"/>
        </w:rPr>
      </w:pPr>
      <w:r w:rsidRPr="00250BEC">
        <w:rPr>
          <w:rFonts w:ascii="PT Astra Serif" w:hAnsi="PT Astra Serif"/>
          <w:color w:val="000000"/>
          <w:szCs w:val="28"/>
        </w:rPr>
        <w:t xml:space="preserve">В целях профилактики распространения радикальной идеологии на национальной и религиозной почве совместно со священнослужителями традиционных религиозных конфессий и лидерами национальных общественных организаций проведены семинары со студентами вузов, на региональных телеканалах размещена социальная реклама, предоставлена субсидия для реализации проектов, направленных на профилактику распространения радикальных идеологий. В рамках федерального оперативно-профилактического мероприятия «Нет ненависти и вражде!» в 12 муниципальных районах и городских округах Ульяновской области размещены баннеры, содержание которых было направлено на формирование нетерпимости к экстремистской идеологии и ксенофобии, на пропаганду негативного отношения к радикальным объединениям и движениям, на </w:t>
      </w:r>
      <w:r w:rsidRPr="00250BEC">
        <w:rPr>
          <w:rFonts w:ascii="PT Astra Serif" w:hAnsi="PT Astra Serif"/>
          <w:color w:val="000000"/>
          <w:szCs w:val="28"/>
        </w:rPr>
        <w:lastRenderedPageBreak/>
        <w:t>укрепление патриотизма.</w:t>
      </w:r>
    </w:p>
    <w:p w14:paraId="5C9C0AEA" w14:textId="77777777" w:rsidR="00250BEC" w:rsidRPr="00250BEC" w:rsidRDefault="00250BEC" w:rsidP="00250BEC">
      <w:pPr>
        <w:widowControl w:val="0"/>
        <w:rPr>
          <w:rFonts w:ascii="PT Astra Serif" w:hAnsi="PT Astra Serif"/>
          <w:color w:val="000000"/>
          <w:szCs w:val="28"/>
        </w:rPr>
      </w:pPr>
    </w:p>
    <w:p w14:paraId="695B9CCE" w14:textId="77777777" w:rsidR="00250BEC" w:rsidRPr="00250BEC" w:rsidRDefault="00250BEC" w:rsidP="00250BEC">
      <w:pPr>
        <w:widowControl w:val="0"/>
        <w:ind w:firstLine="0"/>
        <w:jc w:val="center"/>
        <w:rPr>
          <w:rFonts w:ascii="PT Astra Serif" w:hAnsi="PT Astra Serif"/>
          <w:b/>
          <w:bCs/>
          <w:i/>
          <w:iCs/>
          <w:color w:val="000000"/>
          <w:szCs w:val="28"/>
        </w:rPr>
      </w:pPr>
      <w:r w:rsidRPr="00250BEC">
        <w:rPr>
          <w:rFonts w:ascii="PT Astra Serif" w:hAnsi="PT Astra Serif"/>
          <w:b/>
          <w:bCs/>
          <w:i/>
          <w:iCs/>
          <w:color w:val="000000"/>
          <w:szCs w:val="28"/>
        </w:rPr>
        <w:t>Межнациональные отношения</w:t>
      </w:r>
    </w:p>
    <w:p w14:paraId="7A9B76F4" w14:textId="77777777" w:rsidR="00250BEC" w:rsidRPr="00250BEC" w:rsidRDefault="00250BEC" w:rsidP="00250BEC">
      <w:pPr>
        <w:widowControl w:val="0"/>
        <w:rPr>
          <w:rFonts w:ascii="PT Astra Serif" w:hAnsi="PT Astra Serif"/>
          <w:color w:val="000000"/>
          <w:szCs w:val="28"/>
        </w:rPr>
      </w:pPr>
    </w:p>
    <w:p w14:paraId="392F72F7"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На территории Ульяновской области в 2025 году действовало</w:t>
      </w:r>
      <w:r w:rsidRPr="00250BEC">
        <w:rPr>
          <w:rFonts w:ascii="PT Astra Serif" w:hAnsi="PT Astra Serif"/>
          <w:szCs w:val="28"/>
        </w:rPr>
        <w:br/>
        <w:t>29 национальных общественных организаций, из которых 14 являлись национально-культурными автономиями.</w:t>
      </w:r>
    </w:p>
    <w:p w14:paraId="6C5A3F2D"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Вопросы укрепления межнациональных отношений, предупреждения межнациональных конфликтов, принятия мер, направленных на социальную</w:t>
      </w:r>
      <w:r w:rsidRPr="00250BEC">
        <w:rPr>
          <w:rFonts w:ascii="PT Astra Serif" w:hAnsi="PT Astra Serif"/>
          <w:szCs w:val="28"/>
        </w:rPr>
        <w:br/>
        <w:t>и культурную адаптацию и интеграцию мигрантов, координировал Совет при Губернаторе Ульяновской области по межнациональным отношениям.</w:t>
      </w:r>
    </w:p>
    <w:p w14:paraId="5D368C32" w14:textId="77777777" w:rsidR="00250BEC" w:rsidRPr="00250BEC" w:rsidRDefault="00250BEC" w:rsidP="00250BEC">
      <w:pPr>
        <w:widowControl w:val="0"/>
        <w:rPr>
          <w:rFonts w:ascii="PT Astra Serif" w:hAnsi="PT Astra Serif"/>
          <w:szCs w:val="28"/>
        </w:rPr>
      </w:pPr>
      <w:r w:rsidRPr="00250BEC">
        <w:rPr>
          <w:rFonts w:ascii="PT Astra Serif" w:hAnsi="PT Astra Serif"/>
          <w:color w:val="000000"/>
          <w:szCs w:val="28"/>
        </w:rPr>
        <w:t xml:space="preserve">В 2025 году </w:t>
      </w:r>
      <w:r w:rsidRPr="00250BEC">
        <w:rPr>
          <w:rFonts w:ascii="PT Astra Serif" w:hAnsi="PT Astra Serif"/>
          <w:szCs w:val="28"/>
        </w:rPr>
        <w:t>в Ульяновской области проведено более 400 национальных</w:t>
      </w:r>
      <w:r w:rsidRPr="00250BEC">
        <w:rPr>
          <w:rFonts w:ascii="PT Astra Serif" w:hAnsi="PT Astra Serif"/>
          <w:szCs w:val="28"/>
        </w:rPr>
        <w:br/>
        <w:t>и межнациональных массовых мероприятий (праздники, фестивали, конференции, конкурсы, выставки), в них приняло участие свыше 150 тыс. человек.</w:t>
      </w:r>
    </w:p>
    <w:p w14:paraId="10AD34E8"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Была продолжена практика грантовой поддержки проектов, направленных на этнокультурное развитие народов, проживающих </w:t>
      </w:r>
      <w:r w:rsidRPr="00250BEC">
        <w:rPr>
          <w:rFonts w:ascii="PT Astra Serif" w:hAnsi="PT Astra Serif"/>
          <w:szCs w:val="28"/>
        </w:rPr>
        <w:br/>
        <w:t xml:space="preserve">в Ульяновской области, укрепления межнациональных отношений, предупреждения межнациональных конфликтов, реализацию мер, направленных на социальную и культурную адаптацию и интеграцию мигрантов. </w:t>
      </w:r>
    </w:p>
    <w:p w14:paraId="5FD35A7B" w14:textId="77777777" w:rsidR="00250BEC" w:rsidRPr="00250BEC" w:rsidRDefault="00250BEC" w:rsidP="00250BEC">
      <w:pPr>
        <w:widowControl w:val="0"/>
        <w:rPr>
          <w:rFonts w:ascii="PT Astra Serif" w:hAnsi="PT Astra Serif"/>
          <w:color w:val="000000"/>
          <w:szCs w:val="28"/>
        </w:rPr>
      </w:pPr>
      <w:r w:rsidRPr="00250BEC">
        <w:rPr>
          <w:rFonts w:ascii="PT Astra Serif" w:hAnsi="PT Astra Serif"/>
          <w:color w:val="000000"/>
          <w:szCs w:val="28"/>
        </w:rPr>
        <w:t>В рамках подпрограммы было предоставлено 18 грантов в форме субсидий на общую сумму в 6 688,757 тыс. рублей, за счёт которых национально-культурными автономиями и иными национальными общественными организациями были реализованы проекты «Национальный дворик для дошколят», «Несущий свет мордовскому народу», «Русский народ в истории Симбирского края», «Детский фестиваль народов России «</w:t>
      </w:r>
      <w:proofErr w:type="spellStart"/>
      <w:r w:rsidRPr="00250BEC">
        <w:rPr>
          <w:rFonts w:ascii="PT Astra Serif" w:hAnsi="PT Astra Serif"/>
          <w:color w:val="000000"/>
          <w:szCs w:val="28"/>
        </w:rPr>
        <w:t>Изюм.fest</w:t>
      </w:r>
      <w:proofErr w:type="spellEnd"/>
      <w:r w:rsidRPr="00250BEC">
        <w:rPr>
          <w:rFonts w:ascii="PT Astra Serif" w:hAnsi="PT Astra Serif"/>
          <w:color w:val="000000"/>
          <w:szCs w:val="28"/>
        </w:rPr>
        <w:t>» как площадка для межкультурных коммуникаций», Фестиваль народов Поволжья, Поволжский аксаковский диктант и другие.</w:t>
      </w:r>
    </w:p>
    <w:p w14:paraId="4A431559"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Из регионального бюджета было выделено 6 млн рублей для выпуска телепередач на татарском языке «</w:t>
      </w:r>
      <w:proofErr w:type="spellStart"/>
      <w:r w:rsidRPr="00250BEC">
        <w:rPr>
          <w:rFonts w:ascii="PT Astra Serif" w:hAnsi="PT Astra Serif"/>
          <w:szCs w:val="28"/>
        </w:rPr>
        <w:t>Чишме</w:t>
      </w:r>
      <w:proofErr w:type="spellEnd"/>
      <w:r w:rsidRPr="00250BEC">
        <w:rPr>
          <w:rFonts w:ascii="PT Astra Serif" w:hAnsi="PT Astra Serif"/>
          <w:szCs w:val="28"/>
        </w:rPr>
        <w:t>» и на чувашском языке «</w:t>
      </w:r>
      <w:proofErr w:type="spellStart"/>
      <w:r w:rsidRPr="00250BEC">
        <w:rPr>
          <w:rFonts w:ascii="PT Astra Serif" w:hAnsi="PT Astra Serif"/>
          <w:szCs w:val="28"/>
        </w:rPr>
        <w:t>Еткер</w:t>
      </w:r>
      <w:proofErr w:type="spellEnd"/>
      <w:r w:rsidRPr="00250BEC">
        <w:rPr>
          <w:rFonts w:ascii="PT Astra Serif" w:hAnsi="PT Astra Serif"/>
          <w:szCs w:val="28"/>
        </w:rPr>
        <w:t>», на мордовском языке «</w:t>
      </w:r>
      <w:proofErr w:type="spellStart"/>
      <w:r w:rsidRPr="00250BEC">
        <w:rPr>
          <w:rFonts w:ascii="PT Astra Serif" w:hAnsi="PT Astra Serif"/>
          <w:szCs w:val="28"/>
        </w:rPr>
        <w:t>Шумбрат</w:t>
      </w:r>
      <w:proofErr w:type="spellEnd"/>
      <w:r w:rsidRPr="00250BEC">
        <w:rPr>
          <w:rFonts w:ascii="PT Astra Serif" w:hAnsi="PT Astra Serif"/>
          <w:szCs w:val="28"/>
        </w:rPr>
        <w:t xml:space="preserve"> РАВ».</w:t>
      </w:r>
    </w:p>
    <w:p w14:paraId="0A96CA0E"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Продолжена поддержка функционирования системы мониторинга </w:t>
      </w:r>
      <w:proofErr w:type="spellStart"/>
      <w:r w:rsidRPr="00250BEC">
        <w:rPr>
          <w:rFonts w:ascii="PT Astra Serif" w:hAnsi="PT Astra Serif"/>
          <w:szCs w:val="28"/>
        </w:rPr>
        <w:t>этноконфессиональных</w:t>
      </w:r>
      <w:proofErr w:type="spellEnd"/>
      <w:r w:rsidRPr="00250BEC">
        <w:rPr>
          <w:rFonts w:ascii="PT Astra Serif" w:hAnsi="PT Astra Serif"/>
          <w:szCs w:val="28"/>
        </w:rPr>
        <w:t xml:space="preserve"> отношений.</w:t>
      </w:r>
    </w:p>
    <w:p w14:paraId="55D242F1"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Всего за 2025 год было выявлено 167 фактов публикаций оскорблений, негативных оценок или призывов к насильственным действиям по отношению к различным национальным или религиозным группам. Информационные материалы направлены в Центр по противодействию экстремизму УМВД России по Ульяновской области для принятия решения по компетенции.</w:t>
      </w:r>
    </w:p>
    <w:p w14:paraId="7E5EF8CE" w14:textId="77777777" w:rsidR="00250BEC" w:rsidRPr="00250BEC" w:rsidRDefault="00250BEC" w:rsidP="00250BEC">
      <w:pPr>
        <w:widowControl w:val="0"/>
        <w:rPr>
          <w:rFonts w:ascii="PT Astra Serif" w:hAnsi="PT Astra Serif"/>
          <w:b/>
          <w:bCs/>
          <w:i/>
          <w:iCs/>
          <w:szCs w:val="28"/>
        </w:rPr>
      </w:pPr>
    </w:p>
    <w:p w14:paraId="1C7BEE33" w14:textId="77777777" w:rsidR="00250BEC" w:rsidRPr="00250BEC" w:rsidRDefault="00250BEC" w:rsidP="00250BEC">
      <w:pPr>
        <w:widowControl w:val="0"/>
        <w:ind w:firstLine="0"/>
        <w:jc w:val="center"/>
        <w:rPr>
          <w:rFonts w:ascii="PT Astra Serif" w:hAnsi="PT Astra Serif"/>
          <w:b/>
          <w:bCs/>
          <w:i/>
          <w:iCs/>
          <w:szCs w:val="28"/>
        </w:rPr>
      </w:pPr>
      <w:proofErr w:type="spellStart"/>
      <w:r w:rsidRPr="00250BEC">
        <w:rPr>
          <w:rFonts w:ascii="PT Astra Serif" w:hAnsi="PT Astra Serif"/>
          <w:b/>
          <w:bCs/>
          <w:i/>
          <w:iCs/>
          <w:szCs w:val="28"/>
        </w:rPr>
        <w:t>Этноконфессиональные</w:t>
      </w:r>
      <w:proofErr w:type="spellEnd"/>
      <w:r w:rsidRPr="00250BEC">
        <w:rPr>
          <w:rFonts w:ascii="PT Astra Serif" w:hAnsi="PT Astra Serif"/>
          <w:b/>
          <w:bCs/>
          <w:i/>
          <w:iCs/>
          <w:szCs w:val="28"/>
        </w:rPr>
        <w:t xml:space="preserve"> отношения</w:t>
      </w:r>
    </w:p>
    <w:p w14:paraId="596DDBA4" w14:textId="77777777" w:rsidR="00250BEC" w:rsidRPr="00250BEC" w:rsidRDefault="00250BEC" w:rsidP="00250BEC">
      <w:pPr>
        <w:widowControl w:val="0"/>
        <w:rPr>
          <w:rFonts w:ascii="PT Astra Serif" w:hAnsi="PT Astra Serif"/>
          <w:b/>
          <w:bCs/>
          <w:i/>
          <w:iCs/>
          <w:szCs w:val="28"/>
        </w:rPr>
      </w:pPr>
    </w:p>
    <w:p w14:paraId="668FF67F" w14:textId="77777777" w:rsidR="00250BEC" w:rsidRPr="00250BEC" w:rsidRDefault="00250BEC" w:rsidP="00250BEC">
      <w:pPr>
        <w:widowControl w:val="0"/>
        <w:contextualSpacing/>
        <w:rPr>
          <w:rFonts w:ascii="PT Astra Serif" w:hAnsi="PT Astra Serif"/>
          <w:kern w:val="2"/>
          <w:szCs w:val="28"/>
        </w:rPr>
      </w:pPr>
      <w:r w:rsidRPr="00250BEC">
        <w:rPr>
          <w:rFonts w:ascii="PT Astra Serif" w:hAnsi="PT Astra Serif"/>
          <w:kern w:val="2"/>
          <w:szCs w:val="28"/>
        </w:rPr>
        <w:t xml:space="preserve">В Ульяновской области самые большие по численности религии - православие и ислам </w:t>
      </w:r>
      <w:proofErr w:type="spellStart"/>
      <w:r w:rsidRPr="00250BEC">
        <w:rPr>
          <w:rFonts w:ascii="PT Astra Serif" w:hAnsi="PT Astra Serif"/>
          <w:kern w:val="2"/>
          <w:szCs w:val="28"/>
        </w:rPr>
        <w:t>ханафитского</w:t>
      </w:r>
      <w:proofErr w:type="spellEnd"/>
      <w:r w:rsidRPr="00250BEC">
        <w:rPr>
          <w:rFonts w:ascii="PT Astra Serif" w:hAnsi="PT Astra Serif"/>
          <w:kern w:val="2"/>
          <w:szCs w:val="28"/>
        </w:rPr>
        <w:t xml:space="preserve"> толка. Согласно результатам Всероссийской переписи населения 2020 года, большинство населения </w:t>
      </w:r>
      <w:r w:rsidRPr="00250BEC">
        <w:rPr>
          <w:rFonts w:ascii="PT Astra Serif" w:hAnsi="PT Astra Serif"/>
          <w:kern w:val="2"/>
          <w:szCs w:val="28"/>
        </w:rPr>
        <w:lastRenderedPageBreak/>
        <w:t xml:space="preserve">г. Ульяновска относится к представителям народов, исторически исповедующих православие. </w:t>
      </w:r>
    </w:p>
    <w:p w14:paraId="3BF050C3" w14:textId="77777777" w:rsidR="00250BEC" w:rsidRPr="00250BEC" w:rsidRDefault="00250BEC" w:rsidP="00250BEC">
      <w:pPr>
        <w:widowControl w:val="0"/>
        <w:contextualSpacing/>
        <w:rPr>
          <w:rFonts w:ascii="PT Astra Serif" w:hAnsi="PT Astra Serif"/>
          <w:kern w:val="2"/>
          <w:szCs w:val="28"/>
        </w:rPr>
      </w:pPr>
      <w:r w:rsidRPr="00250BEC">
        <w:rPr>
          <w:rFonts w:ascii="PT Astra Serif" w:hAnsi="PT Astra Serif"/>
          <w:kern w:val="2"/>
          <w:szCs w:val="28"/>
        </w:rPr>
        <w:t xml:space="preserve">В соответствии с мониторингом ключевых показателей межнациональных и межконфессиональных отношений в Ульяновской области, проведённым в </w:t>
      </w:r>
      <w:r w:rsidRPr="00250BEC">
        <w:rPr>
          <w:rFonts w:ascii="PT Astra Serif" w:hAnsi="PT Astra Serif"/>
          <w:szCs w:val="28"/>
        </w:rPr>
        <w:t>сентябре - октябре 2025 года</w:t>
      </w:r>
      <w:r w:rsidRPr="00250BEC">
        <w:rPr>
          <w:rFonts w:ascii="PT Astra Serif" w:hAnsi="PT Astra Serif"/>
          <w:kern w:val="2"/>
          <w:szCs w:val="28"/>
        </w:rPr>
        <w:t xml:space="preserve"> (объём выборки по Ульяновской области – 700 человек, выборка репрезентативна по полу </w:t>
      </w:r>
      <w:r w:rsidRPr="00250BEC">
        <w:rPr>
          <w:rFonts w:ascii="PT Astra Serif" w:hAnsi="PT Astra Serif"/>
          <w:kern w:val="2"/>
          <w:szCs w:val="28"/>
        </w:rPr>
        <w:br/>
        <w:t xml:space="preserve">и возрасту), большинство участников исследования (82%) считают себя верующими. Среди верующих 88% опрошенных православные, 11% - мусульмане, другие религии исповедуют значительно меньшее число опрошенных (около 1% в целом). </w:t>
      </w:r>
    </w:p>
    <w:p w14:paraId="0D570E87"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2025 году на территории Ульяновской области было зарегистрировано 417 религиозных организаций, из них православных – 254, мусульманских – 137, иных – 26 (иудейская, протестантские, католические, армянская апостольская, лютеранская, старообрядческая и т.д.).</w:t>
      </w:r>
    </w:p>
    <w:p w14:paraId="5FD501AB"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Вопросы сохранения традиционных духовных ценностей, укрепления межрелигиозного диалога в 2025 году координировал Совет по взаимодействию с религиозными объединениями при Губернаторе Ульяновской области, в состав которого входят представители наиболее многочисленных традиционных религиозных объединений Ульяновской области. В целях минимизации деструктивного влияния идей религиозного радикализма распоряжением Правительства Ульяновской области от 30.09.2025 № 468-пр разработан и утвержден план мероприятий по реализации в 2025 и 2026 годах основ государственной политики по сохранению и укреплению традиционных российских духовно-нравственных ценностей на территории Ульяновской области, за основу которого взят Указ Президента РФ от 09.11.2022 № 809 «Об утверждении Основ государственной политики по сохранению и укреплению традиционных российских духовно-нравственных ценностей».</w:t>
      </w:r>
    </w:p>
    <w:p w14:paraId="09ADF8E8"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В течение 2025 года представители религиозных конфессий принимали участие в государственных праздниках и иных мероприятиях, оказывали содействие образовательным организациям в ознакомлении учащихся </w:t>
      </w:r>
      <w:r w:rsidRPr="00250BEC">
        <w:rPr>
          <w:rFonts w:ascii="PT Astra Serif" w:hAnsi="PT Astra Serif"/>
          <w:szCs w:val="28"/>
        </w:rPr>
        <w:br/>
        <w:t>с основами религиозных культур, традиционных для Поволжья.</w:t>
      </w:r>
    </w:p>
    <w:p w14:paraId="72329274"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Совместно с представителями </w:t>
      </w:r>
      <w:bookmarkStart w:id="51" w:name="_Hlk223429913"/>
      <w:r w:rsidRPr="00250BEC">
        <w:rPr>
          <w:rFonts w:ascii="PT Astra Serif" w:hAnsi="PT Astra Serif"/>
          <w:szCs w:val="28"/>
        </w:rPr>
        <w:t xml:space="preserve">Русской Православной Церкви </w:t>
      </w:r>
      <w:bookmarkEnd w:id="51"/>
      <w:r w:rsidRPr="00250BEC">
        <w:rPr>
          <w:rFonts w:ascii="PT Astra Serif" w:hAnsi="PT Astra Serif"/>
          <w:szCs w:val="28"/>
        </w:rPr>
        <w:br/>
        <w:t xml:space="preserve">и </w:t>
      </w:r>
      <w:bookmarkStart w:id="52" w:name="_Hlk223429933"/>
      <w:r w:rsidRPr="00250BEC">
        <w:rPr>
          <w:rFonts w:ascii="PT Astra Serif" w:hAnsi="PT Astra Serif"/>
          <w:szCs w:val="28"/>
        </w:rPr>
        <w:t xml:space="preserve">Регионального Духовного Управления Мусульман </w:t>
      </w:r>
      <w:bookmarkEnd w:id="52"/>
      <w:r w:rsidRPr="00250BEC">
        <w:rPr>
          <w:rFonts w:ascii="PT Astra Serif" w:hAnsi="PT Astra Serif"/>
          <w:szCs w:val="28"/>
        </w:rPr>
        <w:t xml:space="preserve">Ульяновской области </w:t>
      </w:r>
      <w:r w:rsidRPr="00250BEC">
        <w:rPr>
          <w:rFonts w:ascii="PT Astra Serif" w:hAnsi="PT Astra Serif"/>
          <w:szCs w:val="28"/>
        </w:rPr>
        <w:br/>
        <w:t>в 2025 году неоднократно проводились беседы и встречи на тему профилактики распространения идеологии терроризма, в том числе встречи со студентами Ульяновского государственного технического университета, прибывшими из Йеменской Республики, Киргизии, Таджикистана, Узбекистана.</w:t>
      </w:r>
    </w:p>
    <w:p w14:paraId="1929527F"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целях реализации в Ульяновской области Основ государственной политики по сохранению и укреплению традиционных российских духовно-нравственных ценностей в 2025 году оказано содействие епархиям Симбирской митрополии Русской Православной Церкви при организации областного крестного хода с Казанской (</w:t>
      </w:r>
      <w:proofErr w:type="spellStart"/>
      <w:r w:rsidRPr="00250BEC">
        <w:rPr>
          <w:rFonts w:ascii="PT Astra Serif" w:hAnsi="PT Astra Serif"/>
          <w:szCs w:val="28"/>
        </w:rPr>
        <w:t>Жадовской</w:t>
      </w:r>
      <w:proofErr w:type="spellEnd"/>
      <w:r w:rsidRPr="00250BEC">
        <w:rPr>
          <w:rFonts w:ascii="PT Astra Serif" w:hAnsi="PT Astra Serif"/>
          <w:szCs w:val="28"/>
        </w:rPr>
        <w:t xml:space="preserve">) иконой Божией Матери. В День народного единства, 4 ноября 2025 года, в Ульяновске состоялись </w:t>
      </w:r>
      <w:r w:rsidRPr="00250BEC">
        <w:rPr>
          <w:rFonts w:ascii="PT Astra Serif" w:hAnsi="PT Astra Serif"/>
          <w:szCs w:val="28"/>
        </w:rPr>
        <w:lastRenderedPageBreak/>
        <w:t xml:space="preserve">торжественное богослужение и массовый Крестный ход, прошедший </w:t>
      </w:r>
      <w:r w:rsidRPr="00250BEC">
        <w:rPr>
          <w:rFonts w:ascii="PT Astra Serif" w:hAnsi="PT Astra Serif"/>
          <w:szCs w:val="28"/>
        </w:rPr>
        <w:br/>
        <w:t>в Ульяновске в третий раз, в котором по данным правоохранительных органов приняли участие более 7 тыс. прихожан. 27 ноября в Ульяновске прошло пленарное заседание регионального этапа ХХХIV Международных Рождественских образовательных чтений «Просвещение и нравственность: формирование личности и вызовы времени», главным организатором которого являлась Симбирская митрополия Русской Православной Церкви. Ранее при непосредственном участии Симбирской митрополии были организованы Рождественский, Пасхальный концерты духовной музыки.</w:t>
      </w:r>
    </w:p>
    <w:p w14:paraId="614E8A68"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2025 году РДУМ Ульяновской области на территории спортивного комплекса «Волга-Спорт-Арена» проведён областной мусульманский благотворительный ужин (</w:t>
      </w:r>
      <w:proofErr w:type="spellStart"/>
      <w:r w:rsidRPr="00250BEC">
        <w:rPr>
          <w:rFonts w:ascii="PT Astra Serif" w:hAnsi="PT Astra Serif"/>
          <w:szCs w:val="28"/>
        </w:rPr>
        <w:t>Ифтар</w:t>
      </w:r>
      <w:proofErr w:type="spellEnd"/>
      <w:r w:rsidRPr="00250BEC">
        <w:rPr>
          <w:rFonts w:ascii="PT Astra Serif" w:hAnsi="PT Astra Serif"/>
          <w:szCs w:val="28"/>
        </w:rPr>
        <w:t xml:space="preserve">) для священнослужителей и прихожан мечетей Ульяновской области, в том числе, для героев-участников СВО </w:t>
      </w:r>
      <w:r w:rsidRPr="00250BEC">
        <w:rPr>
          <w:rFonts w:ascii="PT Astra Serif" w:hAnsi="PT Astra Serif"/>
          <w:szCs w:val="28"/>
        </w:rPr>
        <w:br/>
        <w:t>и членов их семей. В мероприятии приняло участие более 4 тысяч человек.</w:t>
      </w:r>
    </w:p>
    <w:p w14:paraId="1D20A16F"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Священнослужители Симбирской митрополии Русской Православной Церкви и Регионального Духовного Управления Мусульман Ульяновской области в 2025 году неоднократно выезжали с гуманитарной миссией зону проведения специальной военной операции для передачи благотворительной помощи и духовной поддержки военнослужащих батальона «Симбирск» </w:t>
      </w:r>
      <w:r w:rsidRPr="00250BEC">
        <w:rPr>
          <w:rFonts w:ascii="PT Astra Serif" w:hAnsi="PT Astra Serif"/>
          <w:szCs w:val="28"/>
        </w:rPr>
        <w:br/>
        <w:t>и «</w:t>
      </w:r>
      <w:proofErr w:type="spellStart"/>
      <w:r w:rsidRPr="00250BEC">
        <w:rPr>
          <w:rFonts w:ascii="PT Astra Serif" w:hAnsi="PT Astra Serif"/>
          <w:szCs w:val="28"/>
        </w:rPr>
        <w:t>Свияга</w:t>
      </w:r>
      <w:proofErr w:type="spellEnd"/>
      <w:r w:rsidRPr="00250BEC">
        <w:rPr>
          <w:rFonts w:ascii="PT Astra Serif" w:hAnsi="PT Astra Serif"/>
          <w:szCs w:val="28"/>
        </w:rPr>
        <w:t>».</w:t>
      </w:r>
    </w:p>
    <w:p w14:paraId="07DDD726" w14:textId="77777777" w:rsidR="00250BEC" w:rsidRPr="00250BEC" w:rsidRDefault="00250BEC" w:rsidP="00250BEC">
      <w:pPr>
        <w:widowControl w:val="0"/>
        <w:rPr>
          <w:rFonts w:ascii="PT Astra Serif" w:hAnsi="PT Astra Serif"/>
          <w:szCs w:val="28"/>
        </w:rPr>
      </w:pPr>
    </w:p>
    <w:p w14:paraId="64938CA4" w14:textId="77777777" w:rsidR="00250BEC" w:rsidRPr="00250BEC" w:rsidRDefault="00250BEC" w:rsidP="00250BEC">
      <w:pPr>
        <w:widowControl w:val="0"/>
        <w:ind w:firstLine="0"/>
        <w:jc w:val="center"/>
        <w:rPr>
          <w:rFonts w:ascii="PT Astra Serif" w:hAnsi="PT Astra Serif"/>
          <w:b/>
          <w:bCs/>
          <w:i/>
          <w:iCs/>
          <w:szCs w:val="28"/>
        </w:rPr>
      </w:pPr>
      <w:r w:rsidRPr="00250BEC">
        <w:rPr>
          <w:rFonts w:ascii="PT Astra Serif" w:hAnsi="PT Astra Serif"/>
          <w:b/>
          <w:bCs/>
          <w:i/>
          <w:iCs/>
          <w:szCs w:val="28"/>
        </w:rPr>
        <w:t>Государственная политика в отношении российского казачества</w:t>
      </w:r>
    </w:p>
    <w:p w14:paraId="0B87667E" w14:textId="77777777" w:rsidR="00250BEC" w:rsidRPr="00250BEC" w:rsidRDefault="00250BEC" w:rsidP="00250BEC">
      <w:pPr>
        <w:widowControl w:val="0"/>
        <w:rPr>
          <w:rFonts w:ascii="PT Astra Serif" w:hAnsi="PT Astra Serif"/>
          <w:szCs w:val="28"/>
        </w:rPr>
      </w:pPr>
    </w:p>
    <w:p w14:paraId="6473AD5D" w14:textId="77777777" w:rsidR="00250BEC" w:rsidRPr="00250BEC" w:rsidRDefault="00250BEC" w:rsidP="00250BEC">
      <w:pPr>
        <w:widowControl w:val="0"/>
        <w:rPr>
          <w:rFonts w:ascii="PT Astra Serif" w:hAnsi="PT Astra Serif"/>
          <w:szCs w:val="28"/>
          <w:highlight w:val="cyan"/>
        </w:rPr>
      </w:pPr>
      <w:r w:rsidRPr="00250BEC">
        <w:rPr>
          <w:rFonts w:ascii="PT Astra Serif" w:hAnsi="PT Astra Serif"/>
          <w:szCs w:val="28"/>
        </w:rPr>
        <w:t xml:space="preserve">Координация реализации государственной политики Российской Федерации в отношении российского казачества на территории Ульяновской области в 2025 году осуществлялась Советом по делам казачества </w:t>
      </w:r>
      <w:r w:rsidRPr="00250BEC">
        <w:rPr>
          <w:rFonts w:ascii="PT Astra Serif" w:hAnsi="PT Astra Serif"/>
          <w:szCs w:val="28"/>
        </w:rPr>
        <w:br/>
        <w:t>в Ульяновской области в соответствии с Планом мероприятий по реализации в 2024-2026 годах Стратегии государственной политики Российской Федерации в отношении российского казачества на 2021 - 2030 годы на территории Ульяновской области, утверждённым распоряжением Правительства Ульяновской области от 02.05.2024 № 180-пр.</w:t>
      </w:r>
    </w:p>
    <w:p w14:paraId="44CEAE76"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В числе главных направлений деятельности казачьих обществ </w:t>
      </w:r>
      <w:r w:rsidRPr="00250BEC">
        <w:rPr>
          <w:rFonts w:ascii="PT Astra Serif" w:hAnsi="PT Astra Serif"/>
          <w:szCs w:val="28"/>
        </w:rPr>
        <w:br/>
        <w:t>и казачьих общественных организаций Ульяновской области в 2025 году стало участие в специальной военной операции и поддержка её проведения, военно-патриотическое воспитание детей и молодёжи, охрана общественного порядка и обеспечение безопасности, проведение мероприятий, направленных на сохранение традиций и культуры казачества.</w:t>
      </w:r>
    </w:p>
    <w:p w14:paraId="4807D15D"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 xml:space="preserve">С 24 февраля 2022 года по настоящее время 160 казаков-добровольцев Симбирского </w:t>
      </w:r>
      <w:proofErr w:type="spellStart"/>
      <w:r w:rsidRPr="00250BEC">
        <w:rPr>
          <w:rFonts w:ascii="PT Astra Serif" w:hAnsi="PT Astra Serif"/>
          <w:szCs w:val="28"/>
        </w:rPr>
        <w:t>отдельского</w:t>
      </w:r>
      <w:proofErr w:type="spellEnd"/>
      <w:r w:rsidRPr="00250BEC">
        <w:rPr>
          <w:rFonts w:ascii="PT Astra Serif" w:hAnsi="PT Astra Serif"/>
          <w:szCs w:val="28"/>
        </w:rPr>
        <w:t xml:space="preserve"> казачьего общества (практически каждый третий) </w:t>
      </w:r>
      <w:r w:rsidRPr="00250BEC">
        <w:rPr>
          <w:rFonts w:ascii="PT Astra Serif" w:hAnsi="PT Astra Serif"/>
          <w:szCs w:val="28"/>
        </w:rPr>
        <w:br/>
        <w:t xml:space="preserve">в составе добровольческого казачьего отряда «БАРС-15» «Ермак» принимали и принимают участие в специальной военной операции, в том числе четыре атамана казачьих обществ Симбирского </w:t>
      </w:r>
      <w:proofErr w:type="spellStart"/>
      <w:r w:rsidRPr="00250BEC">
        <w:rPr>
          <w:rFonts w:ascii="PT Astra Serif" w:hAnsi="PT Astra Serif"/>
          <w:szCs w:val="28"/>
        </w:rPr>
        <w:t>отдельского</w:t>
      </w:r>
      <w:proofErr w:type="spellEnd"/>
      <w:r w:rsidRPr="00250BEC">
        <w:rPr>
          <w:rFonts w:ascii="PT Astra Serif" w:hAnsi="PT Astra Serif"/>
          <w:szCs w:val="28"/>
        </w:rPr>
        <w:t xml:space="preserve"> казачьего общества ВВКО (С.А. </w:t>
      </w:r>
      <w:proofErr w:type="spellStart"/>
      <w:r w:rsidRPr="00250BEC">
        <w:rPr>
          <w:rFonts w:ascii="PT Astra Serif" w:hAnsi="PT Astra Serif"/>
          <w:szCs w:val="28"/>
        </w:rPr>
        <w:t>Дедюев</w:t>
      </w:r>
      <w:proofErr w:type="spellEnd"/>
      <w:r w:rsidRPr="00250BEC">
        <w:rPr>
          <w:rFonts w:ascii="PT Astra Serif" w:hAnsi="PT Astra Serif"/>
          <w:szCs w:val="28"/>
        </w:rPr>
        <w:t>, В.С. </w:t>
      </w:r>
      <w:proofErr w:type="spellStart"/>
      <w:r w:rsidRPr="00250BEC">
        <w:rPr>
          <w:rFonts w:ascii="PT Astra Serif" w:hAnsi="PT Astra Serif"/>
          <w:szCs w:val="28"/>
        </w:rPr>
        <w:t>Кухарев</w:t>
      </w:r>
      <w:proofErr w:type="spellEnd"/>
      <w:r w:rsidRPr="00250BEC">
        <w:rPr>
          <w:rFonts w:ascii="PT Astra Serif" w:hAnsi="PT Astra Serif"/>
          <w:szCs w:val="28"/>
        </w:rPr>
        <w:t>, А.Н. </w:t>
      </w:r>
      <w:proofErr w:type="spellStart"/>
      <w:r w:rsidRPr="00250BEC">
        <w:rPr>
          <w:rFonts w:ascii="PT Astra Serif" w:hAnsi="PT Astra Serif"/>
          <w:szCs w:val="28"/>
        </w:rPr>
        <w:t>Панащенко</w:t>
      </w:r>
      <w:proofErr w:type="spellEnd"/>
      <w:r w:rsidRPr="00250BEC">
        <w:rPr>
          <w:rFonts w:ascii="PT Astra Serif" w:hAnsi="PT Astra Serif"/>
          <w:szCs w:val="28"/>
        </w:rPr>
        <w:t>, М.А. Гусинский).</w:t>
      </w:r>
    </w:p>
    <w:p w14:paraId="6EF7B739"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В составе добровольческих батальонов Ульяновской области «</w:t>
      </w:r>
      <w:proofErr w:type="spellStart"/>
      <w:r w:rsidRPr="00250BEC">
        <w:rPr>
          <w:rFonts w:ascii="PT Astra Serif" w:hAnsi="PT Astra Serif"/>
          <w:szCs w:val="28"/>
        </w:rPr>
        <w:t>Свияга</w:t>
      </w:r>
      <w:proofErr w:type="spellEnd"/>
      <w:r w:rsidRPr="00250BEC">
        <w:rPr>
          <w:rFonts w:ascii="PT Astra Serif" w:hAnsi="PT Astra Serif"/>
          <w:szCs w:val="28"/>
        </w:rPr>
        <w:t xml:space="preserve">» и «Симбирск» в СВО участвует 15 казаков, убыли по мероприятиям частичной </w:t>
      </w:r>
      <w:r w:rsidRPr="00250BEC">
        <w:rPr>
          <w:rFonts w:ascii="PT Astra Serif" w:hAnsi="PT Astra Serif"/>
          <w:szCs w:val="28"/>
        </w:rPr>
        <w:lastRenderedPageBreak/>
        <w:t>мобилизации 5 казаков, подписали контракт с ВС РФ - 19 казаков, с ЧВК «Вагнер» - 1. За мужество, героизм и отвагу при проведении боевых действий 5 казаков награждены государственными наградами, 106 казаков наградами Всероссийского казачьего войска. К сожалению, 23 казака получили ранения, 17 погибли, один пропал без вести.</w:t>
      </w:r>
    </w:p>
    <w:p w14:paraId="303CE8C3"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Вопросы участия казаков в специальной военной операции, оказания им и членам их семей любого вида помощи находятся в центре внимания Совета и носят приоритетный характер.</w:t>
      </w:r>
    </w:p>
    <w:p w14:paraId="2BBA5FC7" w14:textId="77777777" w:rsidR="00250BEC" w:rsidRPr="00250BEC" w:rsidRDefault="00250BEC" w:rsidP="00250BEC">
      <w:pPr>
        <w:widowControl w:val="0"/>
        <w:contextualSpacing/>
        <w:rPr>
          <w:rFonts w:ascii="PT Astra Serif" w:hAnsi="PT Astra Serif"/>
          <w:szCs w:val="28"/>
        </w:rPr>
      </w:pPr>
      <w:r w:rsidRPr="00250BEC">
        <w:rPr>
          <w:rFonts w:ascii="PT Astra Serif" w:eastAsia="Times New Roman" w:hAnsi="PT Astra Serif"/>
          <w:szCs w:val="28"/>
        </w:rPr>
        <w:t xml:space="preserve">На системной основе практикуется привлечение членов казачьих обществ к охране общественного порядка во время проведения социально-значимых мероприятий, а также к работе по обеспечению экологической, пожарной безопасности на территории области, по подготовке допризывной молодёжи к службе в рядах Вооруженных сил РФ. </w:t>
      </w:r>
      <w:r w:rsidRPr="00250BEC">
        <w:rPr>
          <w:rFonts w:ascii="PT Astra Serif" w:hAnsi="PT Astra Serif"/>
          <w:szCs w:val="28"/>
        </w:rPr>
        <w:t xml:space="preserve">В настоящее время </w:t>
      </w:r>
      <w:r w:rsidRPr="00250BEC">
        <w:rPr>
          <w:rFonts w:ascii="PT Astra Serif" w:hAnsi="PT Astra Serif"/>
          <w:szCs w:val="28"/>
        </w:rPr>
        <w:br/>
        <w:t xml:space="preserve">в регионе действуют пять казачьих народных дружин по охране общественного порядка, две казачьи пожарные дружины, которые включены в реестр соответственно УМВД и ГУ МЧС по Ульяновской области. </w:t>
      </w:r>
    </w:p>
    <w:p w14:paraId="27F90E17" w14:textId="77777777" w:rsidR="00250BEC" w:rsidRPr="00250BEC" w:rsidRDefault="00250BEC" w:rsidP="00250BEC">
      <w:pPr>
        <w:widowControl w:val="0"/>
        <w:contextualSpacing/>
        <w:rPr>
          <w:rFonts w:ascii="PT Astra Serif" w:eastAsia="Times New Roman" w:hAnsi="PT Astra Serif"/>
          <w:b/>
          <w:szCs w:val="28"/>
          <w:lang w:eastAsia="ru-RU"/>
        </w:rPr>
      </w:pPr>
      <w:r w:rsidRPr="00250BEC">
        <w:rPr>
          <w:rFonts w:ascii="PT Astra Serif" w:eastAsia="Times New Roman" w:hAnsi="PT Astra Serif"/>
          <w:szCs w:val="28"/>
          <w:lang w:eastAsia="ru-RU"/>
        </w:rPr>
        <w:t>Постоянное внимание со стороны Совета уделяется развитию кластера непрерывного казачьего образования</w:t>
      </w:r>
      <w:r w:rsidRPr="00250BEC">
        <w:rPr>
          <w:rFonts w:ascii="PT Astra Serif" w:eastAsia="Times New Roman" w:hAnsi="PT Astra Serif"/>
          <w:b/>
          <w:szCs w:val="28"/>
          <w:lang w:eastAsia="ru-RU"/>
        </w:rPr>
        <w:t>.</w:t>
      </w:r>
    </w:p>
    <w:p w14:paraId="189E560F"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 xml:space="preserve">В 2025-2026 учебном году оно организовано в двух казачьих кадетских корпусах на базе образовательных организаций профессионального образования, в четырёх казачьих образовательных организациях среднего образования, трёх дошкольных образовательных организациях в виде казачьих классов (групп), казачьих объединений в 9 муниципальных образованиях Ульяновской области (рост численности казачьих классов </w:t>
      </w:r>
      <w:r w:rsidRPr="00250BEC">
        <w:rPr>
          <w:rFonts w:ascii="PT Astra Serif" w:hAnsi="PT Astra Serif"/>
          <w:szCs w:val="28"/>
        </w:rPr>
        <w:br/>
        <w:t>в 2025 году по сравнению с 2024 годом в 1.5 раза).</w:t>
      </w:r>
    </w:p>
    <w:p w14:paraId="0D583ECA"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По предложению Совета казачьим образовательным организациям (</w:t>
      </w:r>
      <w:proofErr w:type="spellStart"/>
      <w:r w:rsidRPr="00250BEC">
        <w:rPr>
          <w:rFonts w:ascii="PT Astra Serif" w:hAnsi="PT Astra Serif"/>
          <w:szCs w:val="28"/>
        </w:rPr>
        <w:t>Бряндинская</w:t>
      </w:r>
      <w:proofErr w:type="spellEnd"/>
      <w:r w:rsidRPr="00250BEC">
        <w:rPr>
          <w:rFonts w:ascii="PT Astra Serif" w:hAnsi="PT Astra Serif"/>
          <w:szCs w:val="28"/>
        </w:rPr>
        <w:t xml:space="preserve"> СШ, </w:t>
      </w:r>
      <w:proofErr w:type="spellStart"/>
      <w:r w:rsidRPr="00250BEC">
        <w:rPr>
          <w:rFonts w:ascii="PT Astra Serif" w:hAnsi="PT Astra Serif"/>
          <w:szCs w:val="28"/>
        </w:rPr>
        <w:t>Троицкосунгурская</w:t>
      </w:r>
      <w:proofErr w:type="spellEnd"/>
      <w:r w:rsidRPr="00250BEC">
        <w:rPr>
          <w:rFonts w:ascii="PT Astra Serif" w:hAnsi="PT Astra Serif"/>
          <w:szCs w:val="28"/>
        </w:rPr>
        <w:t xml:space="preserve"> СШ, </w:t>
      </w:r>
      <w:proofErr w:type="spellStart"/>
      <w:r w:rsidRPr="00250BEC">
        <w:rPr>
          <w:rFonts w:ascii="PT Astra Serif" w:hAnsi="PT Astra Serif"/>
          <w:szCs w:val="28"/>
        </w:rPr>
        <w:t>Инзенская</w:t>
      </w:r>
      <w:proofErr w:type="spellEnd"/>
      <w:r w:rsidRPr="00250BEC">
        <w:rPr>
          <w:rFonts w:ascii="PT Astra Serif" w:hAnsi="PT Astra Serif"/>
          <w:szCs w:val="28"/>
        </w:rPr>
        <w:t xml:space="preserve"> СШ №4) </w:t>
      </w:r>
      <w:r w:rsidRPr="00250BEC">
        <w:rPr>
          <w:rFonts w:ascii="PT Astra Serif" w:hAnsi="PT Astra Serif"/>
          <w:b/>
          <w:szCs w:val="28"/>
        </w:rPr>
        <w:t>в 2024 - 2025 году</w:t>
      </w:r>
      <w:r w:rsidRPr="00250BEC">
        <w:rPr>
          <w:rFonts w:ascii="PT Astra Serif" w:hAnsi="PT Astra Serif"/>
          <w:szCs w:val="28"/>
        </w:rPr>
        <w:t xml:space="preserve"> </w:t>
      </w:r>
      <w:r w:rsidRPr="00250BEC">
        <w:rPr>
          <w:rFonts w:ascii="PT Astra Serif" w:hAnsi="PT Astra Serif"/>
          <w:b/>
          <w:szCs w:val="28"/>
        </w:rPr>
        <w:t>из областного бюджета было выделено в виде субсидии по 1 млн рублей каждой</w:t>
      </w:r>
      <w:r w:rsidRPr="00250BEC">
        <w:rPr>
          <w:rFonts w:ascii="PT Astra Serif" w:hAnsi="PT Astra Serif"/>
          <w:szCs w:val="28"/>
        </w:rPr>
        <w:t xml:space="preserve"> для создания и совершенствования материально-технической, учебно-методической базы, приобретения казачьей формы одежды для обучающихся, приобретения средств обучения и т.д. В 2026 году и на плановый период 2027 - 2028 года предусматриваем выделение 5 млн рублей ежегодно на эти же цели. </w:t>
      </w:r>
    </w:p>
    <w:p w14:paraId="0D6D8DD9"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Общая численность обучающихся в системе непрерывного казачьего образования составляет более 2 500 человек.</w:t>
      </w:r>
    </w:p>
    <w:p w14:paraId="3EE775BB" w14:textId="77777777" w:rsidR="00250BEC" w:rsidRPr="00250BEC" w:rsidRDefault="00250BEC" w:rsidP="00250BEC">
      <w:pPr>
        <w:widowControl w:val="0"/>
        <w:rPr>
          <w:rFonts w:ascii="PT Astra Serif" w:eastAsia="Times New Roman" w:hAnsi="PT Astra Serif"/>
          <w:szCs w:val="28"/>
          <w:lang w:eastAsia="ru-RU"/>
        </w:rPr>
      </w:pPr>
      <w:r w:rsidRPr="00250BEC">
        <w:rPr>
          <w:rFonts w:ascii="PT Astra Serif" w:eastAsia="Times New Roman" w:hAnsi="PT Astra Serif"/>
          <w:szCs w:val="28"/>
          <w:lang w:eastAsia="ru-RU"/>
        </w:rPr>
        <w:t xml:space="preserve">В центре внимания Совета находится </w:t>
      </w:r>
      <w:r w:rsidRPr="00250BEC">
        <w:rPr>
          <w:rFonts w:ascii="PT Astra Serif" w:hAnsi="PT Astra Serif"/>
          <w:szCs w:val="28"/>
        </w:rPr>
        <w:t xml:space="preserve">работа по сохранению </w:t>
      </w:r>
      <w:r w:rsidRPr="00250BEC">
        <w:rPr>
          <w:rFonts w:ascii="PT Astra Serif" w:hAnsi="PT Astra Serif"/>
          <w:szCs w:val="28"/>
        </w:rPr>
        <w:br/>
        <w:t>и развитию самобытной казачьей культуры, развитию казачьего фестивального движения.</w:t>
      </w:r>
    </w:p>
    <w:p w14:paraId="509C4DBD"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 xml:space="preserve">В период с 10 по 12 июня в области традиционно один раз в два года проводится Всероссийский </w:t>
      </w:r>
      <w:r w:rsidRPr="00250BEC">
        <w:rPr>
          <w:rFonts w:ascii="PT Astra Serif" w:hAnsi="PT Astra Serif"/>
          <w:b/>
          <w:szCs w:val="28"/>
        </w:rPr>
        <w:t xml:space="preserve">фестиваль казачьей культуры «12 жемчужин». </w:t>
      </w:r>
      <w:r w:rsidRPr="00250BEC">
        <w:rPr>
          <w:rFonts w:ascii="PT Astra Serif" w:hAnsi="PT Astra Serif"/>
          <w:szCs w:val="28"/>
        </w:rPr>
        <w:t>Очередной фестиваль прошёл с 10 по 12 июня 2025 года в г. Ульяновске.</w:t>
      </w:r>
    </w:p>
    <w:p w14:paraId="175F3E74"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сентябре в дни празднования Дня города и Дня казачества Ульяновской области в г. Ульяновске традиционно проводится фестиваль казачьей культуры «Станица», в начале декабре (День казачки) - Областной фестиваль-конкурс казачьего творчества «Казачий курень».</w:t>
      </w:r>
    </w:p>
    <w:p w14:paraId="3BEBA61B" w14:textId="77777777" w:rsidR="00250BEC" w:rsidRPr="00250BEC" w:rsidRDefault="00250BEC" w:rsidP="00250BEC">
      <w:pPr>
        <w:widowControl w:val="0"/>
        <w:rPr>
          <w:rFonts w:ascii="PT Astra Serif" w:eastAsia="Times New Roman" w:hAnsi="PT Astra Serif"/>
          <w:color w:val="000000"/>
          <w:szCs w:val="28"/>
          <w:lang w:eastAsia="ru-RU"/>
        </w:rPr>
      </w:pPr>
      <w:r w:rsidRPr="00250BEC">
        <w:rPr>
          <w:rFonts w:ascii="PT Astra Serif" w:eastAsia="Times New Roman" w:hAnsi="PT Astra Serif"/>
          <w:color w:val="000000"/>
          <w:szCs w:val="28"/>
          <w:lang w:eastAsia="ru-RU"/>
        </w:rPr>
        <w:lastRenderedPageBreak/>
        <w:t xml:space="preserve">Государственная поддержка российского казачества на территории Ульяновской области осуществляется за счёт средств областного бюджета </w:t>
      </w:r>
    </w:p>
    <w:p w14:paraId="5A503BF7" w14:textId="77777777" w:rsidR="00250BEC" w:rsidRPr="00250BEC" w:rsidRDefault="00250BEC" w:rsidP="00250BEC">
      <w:pPr>
        <w:widowControl w:val="0"/>
        <w:rPr>
          <w:rFonts w:ascii="PT Astra Serif" w:eastAsia="Times New Roman" w:hAnsi="PT Astra Serif"/>
          <w:color w:val="000000"/>
          <w:szCs w:val="28"/>
          <w:lang w:eastAsia="ru-RU"/>
        </w:rPr>
      </w:pPr>
      <w:r w:rsidRPr="00250BEC">
        <w:rPr>
          <w:rFonts w:ascii="PT Astra Serif" w:eastAsia="Times New Roman" w:hAnsi="PT Astra Serif"/>
          <w:color w:val="000000"/>
          <w:szCs w:val="28"/>
          <w:lang w:eastAsia="ru-RU"/>
        </w:rPr>
        <w:t>Ульяновской области и бюджетов муниципальных образований, предусмотренных</w:t>
      </w:r>
      <w:r w:rsidRPr="00250BEC">
        <w:rPr>
          <w:rFonts w:ascii="PT Astra Serif" w:hAnsi="PT Astra Serif"/>
          <w:szCs w:val="28"/>
        </w:rPr>
        <w:t xml:space="preserve"> государственной программой Ульяновской области «Гражданское общество и государственная национальная политика </w:t>
      </w:r>
      <w:r w:rsidRPr="00250BEC">
        <w:rPr>
          <w:rFonts w:ascii="PT Astra Serif" w:hAnsi="PT Astra Serif"/>
          <w:szCs w:val="28"/>
        </w:rPr>
        <w:br/>
        <w:t>в Ульяновской области» и соответствующими муниципальными программами муниципальных образований.</w:t>
      </w:r>
    </w:p>
    <w:p w14:paraId="53194A9F" w14:textId="77777777" w:rsidR="00250BEC" w:rsidRPr="00250BEC" w:rsidRDefault="00250BEC" w:rsidP="00250BEC">
      <w:pPr>
        <w:widowControl w:val="0"/>
        <w:rPr>
          <w:rFonts w:ascii="PT Astra Serif" w:eastAsia="Times New Roman" w:hAnsi="PT Astra Serif"/>
          <w:color w:val="000000"/>
          <w:spacing w:val="-20"/>
          <w:szCs w:val="28"/>
          <w:lang w:eastAsia="ru-RU"/>
        </w:rPr>
      </w:pPr>
      <w:r w:rsidRPr="00250BEC">
        <w:rPr>
          <w:rFonts w:ascii="PT Astra Serif" w:eastAsia="Times New Roman" w:hAnsi="PT Astra Serif"/>
          <w:color w:val="000000"/>
          <w:szCs w:val="28"/>
          <w:lang w:eastAsia="ru-RU"/>
        </w:rPr>
        <w:t xml:space="preserve">При поддержке Совета по делам казачества в 2025 году Правительством Ульяновской области из областного бюджета Ульяновской области </w:t>
      </w:r>
      <w:r w:rsidRPr="00250BEC">
        <w:rPr>
          <w:rFonts w:ascii="PT Astra Serif" w:eastAsia="Times New Roman" w:hAnsi="PT Astra Serif"/>
          <w:color w:val="000000"/>
          <w:szCs w:val="28"/>
          <w:lang w:eastAsia="ru-RU"/>
        </w:rPr>
        <w:br/>
        <w:t xml:space="preserve">и бюджетов муниципальных образований Ульяновской области в виде субсидий на развитие российского казачества на территории Ульяновской области и реализацию его проектов выделено более 8 </w:t>
      </w:r>
      <w:r w:rsidRPr="00250BEC">
        <w:rPr>
          <w:rFonts w:ascii="PT Astra Serif" w:eastAsia="Times New Roman" w:hAnsi="PT Astra Serif"/>
          <w:color w:val="000000"/>
          <w:spacing w:val="-20"/>
          <w:szCs w:val="28"/>
          <w:lang w:eastAsia="ru-RU"/>
        </w:rPr>
        <w:t>млн рублей.</w:t>
      </w:r>
    </w:p>
    <w:p w14:paraId="0C509214" w14:textId="77777777" w:rsidR="00250BEC" w:rsidRPr="00250BEC" w:rsidRDefault="00250BEC" w:rsidP="00250BEC">
      <w:pPr>
        <w:widowControl w:val="0"/>
        <w:rPr>
          <w:rFonts w:ascii="PT Astra Serif" w:eastAsia="Times New Roman" w:hAnsi="PT Astra Serif"/>
          <w:color w:val="000000"/>
          <w:szCs w:val="28"/>
          <w:lang w:eastAsia="ru-RU"/>
        </w:rPr>
      </w:pPr>
      <w:r w:rsidRPr="00250BEC">
        <w:rPr>
          <w:rFonts w:ascii="PT Astra Serif" w:eastAsia="Times New Roman" w:hAnsi="PT Astra Serif"/>
          <w:color w:val="000000"/>
          <w:szCs w:val="28"/>
          <w:lang w:eastAsia="ru-RU"/>
        </w:rPr>
        <w:t xml:space="preserve">По предложению членов Совета в 2025 году принято постановление Правительства Ульяновской области «О предоставлении субсидии из областного бюджета Ульяновской области Симбирскому </w:t>
      </w:r>
      <w:proofErr w:type="spellStart"/>
      <w:r w:rsidRPr="00250BEC">
        <w:rPr>
          <w:rFonts w:ascii="PT Astra Serif" w:eastAsia="Times New Roman" w:hAnsi="PT Astra Serif"/>
          <w:color w:val="000000"/>
          <w:szCs w:val="28"/>
          <w:lang w:eastAsia="ru-RU"/>
        </w:rPr>
        <w:t>отдельскому</w:t>
      </w:r>
      <w:proofErr w:type="spellEnd"/>
      <w:r w:rsidRPr="00250BEC">
        <w:rPr>
          <w:rFonts w:ascii="PT Astra Serif" w:eastAsia="Times New Roman" w:hAnsi="PT Astra Serif"/>
          <w:color w:val="000000"/>
          <w:szCs w:val="28"/>
          <w:lang w:eastAsia="ru-RU"/>
        </w:rPr>
        <w:t xml:space="preserve"> казачьему обществу ВВКО». Субсидия предусматривает ежегодное выделение из бюджета Ульяновской области финансовой помощи в размере </w:t>
      </w:r>
      <w:r w:rsidRPr="00250BEC">
        <w:rPr>
          <w:rFonts w:ascii="PT Astra Serif" w:eastAsia="Times New Roman" w:hAnsi="PT Astra Serif"/>
          <w:color w:val="000000"/>
          <w:szCs w:val="28"/>
          <w:lang w:eastAsia="ru-RU"/>
        </w:rPr>
        <w:br/>
        <w:t xml:space="preserve">2 млн. рублей на финансовое обеспечение затрат, связанных с осуществлением уставной деятельности СОКО ВВКО. </w:t>
      </w:r>
    </w:p>
    <w:p w14:paraId="0A00B45A" w14:textId="77777777" w:rsidR="00250BEC" w:rsidRPr="00250BEC" w:rsidRDefault="00250BEC" w:rsidP="00250BEC">
      <w:pPr>
        <w:widowControl w:val="0"/>
        <w:rPr>
          <w:rFonts w:ascii="PT Astra Serif" w:eastAsia="Times New Roman" w:hAnsi="PT Astra Serif"/>
          <w:color w:val="000000"/>
          <w:szCs w:val="28"/>
          <w:lang w:eastAsia="ru-RU"/>
        </w:rPr>
      </w:pPr>
      <w:r w:rsidRPr="00250BEC">
        <w:rPr>
          <w:rFonts w:ascii="PT Astra Serif" w:eastAsia="Times New Roman" w:hAnsi="PT Astra Serif"/>
          <w:color w:val="000000"/>
          <w:szCs w:val="28"/>
          <w:lang w:eastAsia="ru-RU"/>
        </w:rPr>
        <w:t xml:space="preserve">Кроме того, министерством молодёжного развития Ульяновской области в 2025 году открыты два филиала «Дома молодых» (г. Димитровград и </w:t>
      </w:r>
      <w:proofErr w:type="spellStart"/>
      <w:r w:rsidRPr="00250BEC">
        <w:rPr>
          <w:rFonts w:ascii="PT Astra Serif" w:eastAsia="Times New Roman" w:hAnsi="PT Astra Serif"/>
          <w:color w:val="000000"/>
          <w:szCs w:val="28"/>
          <w:lang w:eastAsia="ru-RU"/>
        </w:rPr>
        <w:t>р.п</w:t>
      </w:r>
      <w:proofErr w:type="spellEnd"/>
      <w:r w:rsidRPr="00250BEC">
        <w:rPr>
          <w:rFonts w:ascii="PT Astra Serif" w:eastAsia="Times New Roman" w:hAnsi="PT Astra Serif"/>
          <w:color w:val="000000"/>
          <w:szCs w:val="28"/>
          <w:lang w:eastAsia="ru-RU"/>
        </w:rPr>
        <w:t>. Новоспасское), где предусмотрены штатные должности для казаков, занимающихся казачьей молодёжью.</w:t>
      </w:r>
    </w:p>
    <w:p w14:paraId="5813A52E"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В учебных мероприятиях для государственных и муниципальных служащих</w:t>
      </w:r>
      <w:r w:rsidRPr="00250BEC">
        <w:rPr>
          <w:rFonts w:ascii="PT Astra Serif" w:hAnsi="PT Astra Serif"/>
          <w:b/>
          <w:szCs w:val="28"/>
        </w:rPr>
        <w:t xml:space="preserve"> </w:t>
      </w:r>
      <w:r w:rsidRPr="00250BEC">
        <w:rPr>
          <w:rFonts w:ascii="PT Astra Serif" w:hAnsi="PT Astra Serif"/>
          <w:szCs w:val="28"/>
        </w:rPr>
        <w:t>по направлению «Государственная политика Российской Федерации в отношении российского казачества» в течение 2025 года приняли участие 39 человек.</w:t>
      </w:r>
    </w:p>
    <w:p w14:paraId="04B4B04E" w14:textId="77777777" w:rsidR="00250BEC" w:rsidRPr="00250BEC" w:rsidRDefault="00250BEC" w:rsidP="00250BEC">
      <w:pPr>
        <w:widowControl w:val="0"/>
        <w:contextualSpacing/>
        <w:rPr>
          <w:rFonts w:ascii="PT Astra Serif" w:hAnsi="PT Astra Serif"/>
          <w:szCs w:val="28"/>
        </w:rPr>
      </w:pPr>
      <w:r w:rsidRPr="00250BEC">
        <w:rPr>
          <w:rFonts w:ascii="PT Astra Serif" w:hAnsi="PT Astra Serif"/>
          <w:szCs w:val="28"/>
        </w:rPr>
        <w:t>Приоритетным направлением Совета по делам казачества является работа с молодёжью.</w:t>
      </w:r>
    </w:p>
    <w:p w14:paraId="22DC449A" w14:textId="77777777" w:rsidR="00250BEC" w:rsidRPr="00250BEC" w:rsidRDefault="00250BEC" w:rsidP="00250BEC">
      <w:pPr>
        <w:widowControl w:val="0"/>
        <w:contextualSpacing/>
        <w:rPr>
          <w:rFonts w:ascii="PT Astra Serif" w:eastAsia="Times New Roman" w:hAnsi="PT Astra Serif"/>
          <w:szCs w:val="28"/>
          <w:lang w:eastAsia="ru-RU"/>
        </w:rPr>
      </w:pPr>
      <w:r w:rsidRPr="00250BEC">
        <w:rPr>
          <w:rFonts w:ascii="PT Astra Serif" w:hAnsi="PT Astra Serif"/>
          <w:szCs w:val="28"/>
        </w:rPr>
        <w:t>В связи с этим, членами Совета на заседаниях в июле и декабре 2024 года был предложен и утверждён комплекс мер по работе с молодёжью, направленных на повышение эффективности</w:t>
      </w:r>
      <w:r w:rsidRPr="00250BEC">
        <w:rPr>
          <w:rFonts w:ascii="PT Astra Serif" w:eastAsia="Times New Roman" w:hAnsi="PT Astra Serif"/>
          <w:szCs w:val="28"/>
          <w:lang w:eastAsia="ru-RU"/>
        </w:rPr>
        <w:t xml:space="preserve"> духовно-нравственного, военно-патриотического, культурного и физического воспитания детей и молодёжи </w:t>
      </w:r>
      <w:r w:rsidRPr="00250BEC">
        <w:rPr>
          <w:rFonts w:ascii="PT Astra Serif" w:eastAsia="Times New Roman" w:hAnsi="PT Astra Serif"/>
          <w:szCs w:val="28"/>
          <w:lang w:eastAsia="ru-RU"/>
        </w:rPr>
        <w:br/>
        <w:t xml:space="preserve">и способствующие развитию и сохранению традиций казачества, популяризации отечественного исторического и культурного наследия, развитию дополнительного образования и художественного творчества, массового спорта молодого поколения. </w:t>
      </w:r>
    </w:p>
    <w:p w14:paraId="77409E7C" w14:textId="77777777" w:rsidR="00250BEC" w:rsidRPr="00250BEC" w:rsidRDefault="00250BEC" w:rsidP="00250BEC">
      <w:pPr>
        <w:widowControl w:val="0"/>
        <w:contextualSpacing/>
        <w:rPr>
          <w:rFonts w:ascii="PT Astra Serif" w:eastAsia="Times New Roman" w:hAnsi="PT Astra Serif"/>
          <w:szCs w:val="28"/>
          <w:lang w:eastAsia="ru-RU"/>
        </w:rPr>
      </w:pPr>
      <w:r w:rsidRPr="00250BEC">
        <w:rPr>
          <w:rFonts w:ascii="PT Astra Serif" w:eastAsia="Times New Roman" w:hAnsi="PT Astra Serif"/>
          <w:szCs w:val="28"/>
          <w:lang w:eastAsia="ru-RU"/>
        </w:rPr>
        <w:t>В апреле 2024 года было создано и зарегистрировано Ульяновское региональное детско-юношеское общественное движение «Казачья молодёжь», охватывающее своей деятельностью детей и молодёжь в возрасте от 8 до 35 лет. Сегодня в орбиту деятельности этой организации вовлечено более 1500</w:t>
      </w:r>
      <w:r w:rsidRPr="00250BEC">
        <w:rPr>
          <w:rFonts w:ascii="PT Astra Serif" w:eastAsia="Times New Roman" w:hAnsi="PT Astra Serif"/>
          <w:b/>
          <w:szCs w:val="28"/>
          <w:lang w:eastAsia="ru-RU"/>
        </w:rPr>
        <w:t xml:space="preserve"> </w:t>
      </w:r>
      <w:r w:rsidRPr="00250BEC">
        <w:rPr>
          <w:rFonts w:ascii="PT Astra Serif" w:eastAsia="Times New Roman" w:hAnsi="PT Astra Serif"/>
          <w:szCs w:val="28"/>
          <w:lang w:eastAsia="ru-RU"/>
        </w:rPr>
        <w:t>человек, объединённых в 52 первичные организации практически во всех муниципальных образованиях Ульяновской области.</w:t>
      </w:r>
    </w:p>
    <w:p w14:paraId="050CF363" w14:textId="77777777" w:rsidR="00250BEC" w:rsidRPr="00250BEC" w:rsidRDefault="00250BEC" w:rsidP="00250BEC">
      <w:pPr>
        <w:widowControl w:val="0"/>
        <w:contextualSpacing/>
        <w:rPr>
          <w:rFonts w:ascii="PT Astra Serif" w:eastAsia="Times New Roman" w:hAnsi="PT Astra Serif"/>
          <w:szCs w:val="28"/>
          <w:lang w:eastAsia="ru-RU"/>
        </w:rPr>
      </w:pPr>
      <w:r w:rsidRPr="00250BEC">
        <w:rPr>
          <w:rFonts w:ascii="PT Astra Serif" w:eastAsia="Times New Roman" w:hAnsi="PT Astra Serif"/>
          <w:szCs w:val="28"/>
          <w:lang w:eastAsia="ru-RU"/>
        </w:rPr>
        <w:t xml:space="preserve">Кроме того, мы продолжим реализацию казачьего проекта совместно </w:t>
      </w:r>
      <w:r w:rsidRPr="00250BEC">
        <w:rPr>
          <w:rFonts w:ascii="PT Astra Serif" w:eastAsia="Times New Roman" w:hAnsi="PT Astra Serif"/>
          <w:szCs w:val="28"/>
          <w:lang w:eastAsia="ru-RU"/>
        </w:rPr>
        <w:br/>
        <w:t xml:space="preserve">с Управлением МВД по Ульяновской области начатого в 2024 году </w:t>
      </w:r>
      <w:r w:rsidRPr="00250BEC">
        <w:rPr>
          <w:rFonts w:ascii="PT Astra Serif" w:eastAsia="Times New Roman" w:hAnsi="PT Astra Serif"/>
          <w:szCs w:val="28"/>
          <w:lang w:eastAsia="ru-RU"/>
        </w:rPr>
        <w:br/>
      </w:r>
      <w:r w:rsidRPr="00250BEC">
        <w:rPr>
          <w:rFonts w:ascii="PT Astra Serif" w:eastAsia="Times New Roman" w:hAnsi="PT Astra Serif"/>
          <w:szCs w:val="28"/>
          <w:lang w:eastAsia="ru-RU"/>
        </w:rPr>
        <w:lastRenderedPageBreak/>
        <w:t>«С надеждой в будущее». Проектом</w:t>
      </w:r>
      <w:r w:rsidRPr="00250BEC">
        <w:rPr>
          <w:rFonts w:ascii="PT Astra Serif" w:eastAsia="Times New Roman" w:hAnsi="PT Astra Serif"/>
          <w:b/>
          <w:szCs w:val="28"/>
          <w:lang w:eastAsia="ru-RU"/>
        </w:rPr>
        <w:t xml:space="preserve"> </w:t>
      </w:r>
      <w:r w:rsidRPr="00250BEC">
        <w:rPr>
          <w:rFonts w:ascii="PT Astra Serif" w:eastAsia="Times New Roman" w:hAnsi="PT Astra Serif"/>
          <w:szCs w:val="28"/>
          <w:lang w:eastAsia="ru-RU"/>
        </w:rPr>
        <w:t xml:space="preserve">предусматривается ежегодное проведение трёх смен в августе на базе казачьего историко-культурного парка «Станица» (с. </w:t>
      </w:r>
      <w:proofErr w:type="spellStart"/>
      <w:r w:rsidRPr="00250BEC">
        <w:rPr>
          <w:rFonts w:ascii="PT Astra Serif" w:eastAsia="Times New Roman" w:hAnsi="PT Astra Serif"/>
          <w:szCs w:val="28"/>
          <w:lang w:eastAsia="ru-RU"/>
        </w:rPr>
        <w:t>Н.Беденьга</w:t>
      </w:r>
      <w:proofErr w:type="spellEnd"/>
      <w:r w:rsidRPr="00250BEC">
        <w:rPr>
          <w:rFonts w:ascii="PT Astra Serif" w:eastAsia="Times New Roman" w:hAnsi="PT Astra Serif"/>
          <w:szCs w:val="28"/>
          <w:lang w:eastAsia="ru-RU"/>
        </w:rPr>
        <w:t>, Ульяновский район) военно-полевых выходов с трудными подростками региона. Опыт проведения этого мероприятия в 2024 году заинтересовал МВД России и им принято решение о его распространении среди всех субъектов Российской Федерации.</w:t>
      </w:r>
    </w:p>
    <w:p w14:paraId="5CE1C5A6" w14:textId="77777777" w:rsidR="00250BEC" w:rsidRPr="00250BEC" w:rsidRDefault="00250BEC" w:rsidP="00250BEC">
      <w:pPr>
        <w:widowControl w:val="0"/>
        <w:contextualSpacing/>
        <w:rPr>
          <w:rFonts w:ascii="PT Astra Serif" w:eastAsia="Times New Roman" w:hAnsi="PT Astra Serif"/>
          <w:szCs w:val="28"/>
          <w:lang w:eastAsia="ru-RU"/>
        </w:rPr>
      </w:pPr>
      <w:r w:rsidRPr="00250BEC">
        <w:rPr>
          <w:rFonts w:ascii="PT Astra Serif" w:eastAsia="Times New Roman" w:hAnsi="PT Astra Serif"/>
          <w:szCs w:val="28"/>
          <w:lang w:eastAsia="ru-RU"/>
        </w:rPr>
        <w:t>В 2025 году по предложению казачьей молодёжи мы начали реализацию проекта в рамках выполнения национального проекта «Беспилотные авиационные системы» в целях активного вовлечения патриотической молодёжи, и в первую очередь УР ДЮОД «Казачья молодёжь» в новый образовательный модуль – обучение управлению БПЛА.</w:t>
      </w:r>
    </w:p>
    <w:p w14:paraId="5C686358" w14:textId="77777777" w:rsidR="00250BEC" w:rsidRPr="00250BEC" w:rsidRDefault="00250BEC" w:rsidP="00250BEC">
      <w:pPr>
        <w:widowControl w:val="0"/>
        <w:contextualSpacing/>
        <w:rPr>
          <w:rFonts w:ascii="PT Astra Serif" w:eastAsia="Times New Roman" w:hAnsi="PT Astra Serif"/>
          <w:szCs w:val="28"/>
          <w:lang w:eastAsia="ru-RU"/>
        </w:rPr>
      </w:pPr>
      <w:r w:rsidRPr="00250BEC">
        <w:rPr>
          <w:rFonts w:ascii="PT Astra Serif" w:eastAsia="Times New Roman" w:hAnsi="PT Astra Serif"/>
          <w:szCs w:val="28"/>
          <w:lang w:eastAsia="ru-RU"/>
        </w:rPr>
        <w:t xml:space="preserve">В июне 2026 года будет проведен региональный отборочный турнир среди членов первичных организаций УР ДЮОД «Казачья молодёжь» для участия во Всероссийском чемпионате пилотирования </w:t>
      </w:r>
      <w:proofErr w:type="spellStart"/>
      <w:r w:rsidRPr="00250BEC">
        <w:rPr>
          <w:rFonts w:ascii="PT Astra Serif" w:eastAsia="Times New Roman" w:hAnsi="PT Astra Serif"/>
          <w:szCs w:val="28"/>
          <w:lang w:eastAsia="ru-RU"/>
        </w:rPr>
        <w:t>дронов</w:t>
      </w:r>
      <w:proofErr w:type="spellEnd"/>
      <w:r w:rsidRPr="00250BEC">
        <w:rPr>
          <w:rFonts w:ascii="PT Astra Serif" w:eastAsia="Times New Roman" w:hAnsi="PT Astra Serif"/>
          <w:szCs w:val="28"/>
          <w:lang w:eastAsia="ru-RU"/>
        </w:rPr>
        <w:t xml:space="preserve"> для детей (Пилоты будущего). </w:t>
      </w:r>
    </w:p>
    <w:p w14:paraId="2BB81258" w14:textId="77777777" w:rsidR="00250BEC" w:rsidRPr="00250BEC" w:rsidRDefault="00250BEC" w:rsidP="00250BEC">
      <w:pPr>
        <w:widowControl w:val="0"/>
        <w:rPr>
          <w:rFonts w:ascii="PT Astra Serif" w:eastAsia="Times New Roman" w:hAnsi="PT Astra Serif"/>
          <w:color w:val="000000"/>
          <w:szCs w:val="28"/>
          <w:lang w:eastAsia="ru-RU"/>
        </w:rPr>
      </w:pPr>
      <w:r w:rsidRPr="00250BEC">
        <w:rPr>
          <w:rFonts w:ascii="PT Astra Serif" w:eastAsia="Times New Roman" w:hAnsi="PT Astra Serif"/>
          <w:color w:val="000000"/>
          <w:szCs w:val="28"/>
          <w:lang w:eastAsia="ru-RU"/>
        </w:rPr>
        <w:t>Таким образом выстроенная система работы Совета по делам казачества позволяет эффективно выполнять задачи, определенные</w:t>
      </w:r>
      <w:r w:rsidRPr="00250BEC">
        <w:rPr>
          <w:rFonts w:ascii="PT Astra Serif" w:hAnsi="PT Astra Serif"/>
          <w:szCs w:val="28"/>
        </w:rPr>
        <w:t xml:space="preserve"> Стратегией развития государственной политики Российской Федерации в отношении российского казачества, поручения Президента РФ и Совета при Президенте Российской Федерации по делам казачества, </w:t>
      </w:r>
      <w:r w:rsidRPr="00250BEC">
        <w:rPr>
          <w:rFonts w:ascii="PT Astra Serif" w:eastAsia="Times New Roman" w:hAnsi="PT Astra Serif"/>
          <w:color w:val="000000"/>
          <w:szCs w:val="28"/>
          <w:lang w:eastAsia="ru-RU"/>
        </w:rPr>
        <w:t>комиссии по делам казачества в Приволжском федеральном округе.</w:t>
      </w:r>
    </w:p>
    <w:p w14:paraId="4FA4789C" w14:textId="77777777" w:rsidR="00250BEC" w:rsidRPr="00250BEC" w:rsidRDefault="00250BEC" w:rsidP="00250BEC">
      <w:pPr>
        <w:widowControl w:val="0"/>
        <w:rPr>
          <w:rFonts w:ascii="PT Astra Serif" w:eastAsia="Times New Roman" w:hAnsi="PT Astra Serif"/>
          <w:color w:val="000000"/>
          <w:szCs w:val="28"/>
          <w:lang w:eastAsia="ru-RU"/>
        </w:rPr>
      </w:pPr>
    </w:p>
    <w:p w14:paraId="73B3CCD0" w14:textId="77777777" w:rsidR="00250BEC" w:rsidRPr="00250BEC" w:rsidRDefault="00250BEC" w:rsidP="00250BEC">
      <w:pPr>
        <w:widowControl w:val="0"/>
        <w:ind w:firstLine="0"/>
        <w:jc w:val="center"/>
        <w:rPr>
          <w:rFonts w:ascii="PT Astra Serif" w:hAnsi="PT Astra Serif"/>
          <w:b/>
          <w:bCs/>
          <w:i/>
          <w:szCs w:val="28"/>
        </w:rPr>
      </w:pPr>
      <w:r w:rsidRPr="00250BEC">
        <w:rPr>
          <w:rFonts w:ascii="PT Astra Serif" w:hAnsi="PT Astra Serif"/>
          <w:b/>
          <w:bCs/>
          <w:i/>
          <w:szCs w:val="28"/>
        </w:rPr>
        <w:t xml:space="preserve">Основные риски и задачи в сфере реализации </w:t>
      </w:r>
      <w:r w:rsidRPr="00250BEC">
        <w:rPr>
          <w:rFonts w:ascii="PT Astra Serif" w:hAnsi="PT Astra Serif"/>
          <w:b/>
          <w:bCs/>
          <w:i/>
          <w:szCs w:val="28"/>
        </w:rPr>
        <w:br/>
        <w:t>государственной национальной политики в 2026 году</w:t>
      </w:r>
    </w:p>
    <w:p w14:paraId="53C54717" w14:textId="77777777" w:rsidR="00250BEC" w:rsidRPr="00250BEC" w:rsidRDefault="00250BEC" w:rsidP="00250BEC">
      <w:pPr>
        <w:widowControl w:val="0"/>
        <w:ind w:firstLine="0"/>
        <w:rPr>
          <w:rFonts w:ascii="PT Astra Serif" w:hAnsi="PT Astra Serif"/>
          <w:bCs/>
          <w:szCs w:val="28"/>
        </w:rPr>
      </w:pPr>
    </w:p>
    <w:p w14:paraId="52451D30"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В 2026 году необходимо принятие мер по минимизации риска возникновения социальной напряжённости, вызванной притоком иностранных граждан, прибывающих из стран с повышенной террористической активностью для временного проживания и осуществления трудовой деятельности на территории Ульяновской области (особенно из Таджикистана и Узбекистана).</w:t>
      </w:r>
    </w:p>
    <w:p w14:paraId="407DA07D" w14:textId="77777777" w:rsidR="00250BEC" w:rsidRPr="00250BEC" w:rsidRDefault="00250BEC" w:rsidP="00250BEC">
      <w:pPr>
        <w:widowControl w:val="0"/>
        <w:rPr>
          <w:rFonts w:ascii="PT Astra Serif" w:hAnsi="PT Astra Serif"/>
          <w:szCs w:val="28"/>
        </w:rPr>
      </w:pPr>
      <w:r w:rsidRPr="00250BEC">
        <w:rPr>
          <w:rFonts w:ascii="PT Astra Serif" w:hAnsi="PT Astra Serif"/>
          <w:szCs w:val="28"/>
        </w:rPr>
        <w:t>Главными задачами на 2026 год остаются сохранение межнационального и межконфессионального мира и согласия, профилактика конфликтов на межнациональной и межконфессиональной почве, профилактика экстремизма на национальной и религиозной почве, укрепление традиционных российских духовно-нравственных ценностей.</w:t>
      </w:r>
    </w:p>
    <w:p w14:paraId="2E82C463" w14:textId="77777777" w:rsidR="00250BEC" w:rsidRPr="00250BEC" w:rsidRDefault="00250BEC" w:rsidP="00250BEC">
      <w:pPr>
        <w:widowControl w:val="0"/>
        <w:contextualSpacing/>
        <w:rPr>
          <w:color w:val="000000" w:themeColor="text1"/>
          <w:highlight w:val="yellow"/>
          <w:shd w:val="clear" w:color="auto" w:fill="FFFFFF"/>
        </w:rPr>
      </w:pPr>
    </w:p>
    <w:p w14:paraId="69B4CFCC" w14:textId="77777777" w:rsidR="00250BEC" w:rsidRPr="00250BEC" w:rsidRDefault="00250BEC" w:rsidP="00250BEC">
      <w:pPr>
        <w:widowControl w:val="0"/>
        <w:ind w:firstLine="0"/>
        <w:contextualSpacing/>
        <w:jc w:val="center"/>
        <w:rPr>
          <w:rFonts w:ascii="PT Astra Serif" w:eastAsia="Calibri" w:hAnsi="PT Astra Serif" w:cs="Times New Roman"/>
          <w:b/>
          <w:spacing w:val="-4"/>
          <w:szCs w:val="28"/>
        </w:rPr>
      </w:pPr>
      <w:r w:rsidRPr="00250BEC">
        <w:rPr>
          <w:rFonts w:ascii="PT Astra Serif" w:eastAsia="Calibri" w:hAnsi="PT Astra Serif" w:cs="Times New Roman"/>
          <w:b/>
          <w:spacing w:val="-4"/>
          <w:szCs w:val="28"/>
        </w:rPr>
        <w:t>Ассоциация территориальных общественных самоуправлений</w:t>
      </w:r>
    </w:p>
    <w:p w14:paraId="5894AA09" w14:textId="77777777" w:rsidR="00250BEC" w:rsidRPr="00250BEC" w:rsidRDefault="00250BEC" w:rsidP="00250BEC">
      <w:pPr>
        <w:widowControl w:val="0"/>
        <w:ind w:firstLine="0"/>
        <w:rPr>
          <w:rFonts w:ascii="PT Astra Serif" w:eastAsia="Calibri" w:hAnsi="PT Astra Serif" w:cs="Times New Roman"/>
          <w:spacing w:val="-4"/>
          <w:szCs w:val="28"/>
          <w:u w:val="single"/>
        </w:rPr>
      </w:pPr>
    </w:p>
    <w:p w14:paraId="5A4C0ECF"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В настоящее время в Ульяновской области </w:t>
      </w:r>
      <w:r w:rsidRPr="00250BEC">
        <w:rPr>
          <w:rFonts w:ascii="PT Astra Serif" w:eastAsia="Calibri" w:hAnsi="PT Astra Serif" w:cs="PT Astra Serif"/>
          <w:b/>
          <w:szCs w:val="28"/>
        </w:rPr>
        <w:t>зарегистрировано</w:t>
      </w:r>
      <w:r w:rsidRPr="00250BEC">
        <w:rPr>
          <w:rFonts w:ascii="PT Astra Serif" w:eastAsia="Calibri" w:hAnsi="PT Astra Serif" w:cs="PT Astra Serif"/>
          <w:szCs w:val="28"/>
        </w:rPr>
        <w:t xml:space="preserve"> </w:t>
      </w:r>
      <w:r w:rsidRPr="00250BEC">
        <w:rPr>
          <w:rFonts w:ascii="PT Astra Serif" w:eastAsia="Calibri" w:hAnsi="PT Astra Serif" w:cs="PT Astra Serif"/>
          <w:szCs w:val="28"/>
        </w:rPr>
        <w:br/>
      </w:r>
      <w:r w:rsidRPr="00250BEC">
        <w:rPr>
          <w:rFonts w:ascii="PT Astra Serif" w:eastAsia="Calibri" w:hAnsi="PT Astra Serif" w:cs="PT Astra Serif"/>
          <w:b/>
          <w:szCs w:val="28"/>
        </w:rPr>
        <w:t>473 территориальных общественных самоуправления</w:t>
      </w:r>
      <w:r w:rsidRPr="00250BEC">
        <w:rPr>
          <w:rFonts w:ascii="PT Astra Serif" w:eastAsia="Calibri" w:hAnsi="PT Astra Serif" w:cs="PT Astra Serif"/>
          <w:szCs w:val="28"/>
        </w:rPr>
        <w:t xml:space="preserve"> (далее – ТОС), из них в статусе юридического лица зарегистрировано 443 ТОС. </w:t>
      </w:r>
    </w:p>
    <w:p w14:paraId="32E0F87C" w14:textId="77777777" w:rsidR="00250BEC" w:rsidRPr="00250BEC" w:rsidRDefault="00250BEC" w:rsidP="00250BEC">
      <w:pPr>
        <w:widowControl w:val="0"/>
        <w:rPr>
          <w:rFonts w:ascii="PT Astra Serif" w:eastAsia="Calibri" w:hAnsi="PT Astra Serif" w:cs="Calibri"/>
          <w:szCs w:val="28"/>
        </w:rPr>
      </w:pPr>
      <w:r w:rsidRPr="00250BEC">
        <w:rPr>
          <w:rFonts w:ascii="PT Astra Serif" w:eastAsia="Calibri" w:hAnsi="PT Astra Serif" w:cs="PT Astra Serif"/>
          <w:szCs w:val="28"/>
        </w:rPr>
        <w:t>В настоящее время по количеству ТОС, юридических лиц, Ульяновский регион занимает первое место в Приволжском федеральном округе.</w:t>
      </w:r>
    </w:p>
    <w:p w14:paraId="7BA98C5A" w14:textId="77777777" w:rsidR="00250BEC" w:rsidRPr="00250BEC" w:rsidRDefault="00250BEC" w:rsidP="00250BEC">
      <w:pPr>
        <w:widowControl w:val="0"/>
        <w:rPr>
          <w:rFonts w:ascii="PT Astra Serif" w:eastAsia="Calibri" w:hAnsi="PT Astra Serif" w:cs="PT Astra Serif"/>
          <w:color w:val="000000"/>
          <w:szCs w:val="28"/>
        </w:rPr>
      </w:pPr>
      <w:r w:rsidRPr="00250BEC">
        <w:rPr>
          <w:rFonts w:ascii="PT Astra Serif" w:eastAsia="Calibri" w:hAnsi="PT Astra Serif" w:cs="PT Astra Serif"/>
          <w:szCs w:val="28"/>
        </w:rPr>
        <w:t xml:space="preserve">За 2025 год </w:t>
      </w:r>
      <w:r w:rsidRPr="00250BEC">
        <w:rPr>
          <w:rFonts w:ascii="PT Astra Serif" w:eastAsia="Calibri" w:hAnsi="PT Astra Serif" w:cs="PT Astra Serif"/>
          <w:b/>
          <w:szCs w:val="28"/>
        </w:rPr>
        <w:t>18 проектов ТОС выиграли в конкурсах</w:t>
      </w:r>
      <w:r w:rsidRPr="00250BEC">
        <w:rPr>
          <w:rFonts w:ascii="PT Astra Serif" w:eastAsia="Calibri" w:hAnsi="PT Astra Serif" w:cs="PT Astra Serif"/>
          <w:szCs w:val="28"/>
        </w:rPr>
        <w:t xml:space="preserve"> Президентского </w:t>
      </w:r>
      <w:r w:rsidRPr="00250BEC">
        <w:rPr>
          <w:rFonts w:ascii="PT Astra Serif" w:eastAsia="Calibri" w:hAnsi="PT Astra Serif" w:cs="PT Astra Serif"/>
          <w:szCs w:val="28"/>
        </w:rPr>
        <w:lastRenderedPageBreak/>
        <w:t xml:space="preserve">фонда культурных инициатив, Фонда президентских грантов. Общая сумма привлеченных средств с учётом </w:t>
      </w:r>
      <w:proofErr w:type="spellStart"/>
      <w:r w:rsidRPr="00250BEC">
        <w:rPr>
          <w:rFonts w:ascii="PT Astra Serif" w:eastAsia="Calibri" w:hAnsi="PT Astra Serif" w:cs="PT Astra Serif"/>
          <w:szCs w:val="28"/>
        </w:rPr>
        <w:t>софинансирования</w:t>
      </w:r>
      <w:proofErr w:type="spellEnd"/>
      <w:r w:rsidRPr="00250BEC">
        <w:rPr>
          <w:rFonts w:ascii="PT Astra Serif" w:eastAsia="Calibri" w:hAnsi="PT Astra Serif" w:cs="PT Astra Serif"/>
          <w:szCs w:val="28"/>
        </w:rPr>
        <w:t xml:space="preserve"> составляет </w:t>
      </w:r>
      <w:r w:rsidRPr="00250BEC">
        <w:rPr>
          <w:rFonts w:ascii="PT Astra Serif" w:eastAsia="Calibri" w:hAnsi="PT Astra Serif" w:cs="PT Astra Serif"/>
          <w:b/>
          <w:szCs w:val="28"/>
        </w:rPr>
        <w:t xml:space="preserve">более </w:t>
      </w:r>
      <w:r w:rsidRPr="00250BEC">
        <w:rPr>
          <w:rFonts w:ascii="PT Astra Serif" w:eastAsia="Calibri" w:hAnsi="PT Astra Serif" w:cs="PT Astra Serif"/>
          <w:b/>
          <w:szCs w:val="28"/>
        </w:rPr>
        <w:br/>
        <w:t>19 млн 700 тыс. рублей.</w:t>
      </w:r>
      <w:r w:rsidRPr="00250BEC">
        <w:rPr>
          <w:rFonts w:ascii="PT Astra Serif" w:eastAsia="Calibri" w:hAnsi="PT Astra Serif" w:cs="PT Astra Serif"/>
          <w:color w:val="000000"/>
          <w:szCs w:val="28"/>
        </w:rPr>
        <w:t xml:space="preserve"> </w:t>
      </w:r>
    </w:p>
    <w:p w14:paraId="327A5AB2" w14:textId="77777777" w:rsidR="00250BEC" w:rsidRPr="00250BEC" w:rsidRDefault="00250BEC" w:rsidP="00250BEC">
      <w:pPr>
        <w:widowControl w:val="0"/>
        <w:rPr>
          <w:rFonts w:ascii="PT Astra Serif" w:eastAsia="Calibri" w:hAnsi="PT Astra Serif" w:cs="PT Astra Serif"/>
          <w:b/>
          <w:color w:val="000000"/>
          <w:szCs w:val="28"/>
        </w:rPr>
      </w:pPr>
      <w:r w:rsidRPr="00250BEC">
        <w:rPr>
          <w:rFonts w:ascii="PT Astra Serif" w:eastAsia="Calibri" w:hAnsi="PT Astra Serif" w:cs="PT Astra Serif"/>
          <w:color w:val="000000"/>
          <w:szCs w:val="28"/>
        </w:rPr>
        <w:t xml:space="preserve">В августе 2025 года состоялось подведение итогов областного конкурса среди социально ориентированных некоммерческих организаций. В число победителей вошли 7 ТОС города Ульяновска и Ульяновской области, </w:t>
      </w:r>
      <w:r w:rsidRPr="00250BEC">
        <w:rPr>
          <w:rFonts w:ascii="PT Astra Serif" w:eastAsia="Calibri" w:hAnsi="PT Astra Serif" w:cs="PT Astra Serif"/>
          <w:color w:val="000000"/>
          <w:szCs w:val="28"/>
        </w:rPr>
        <w:br/>
        <w:t xml:space="preserve">а также Ассоциация ТОС Ульяновской области (далее – Ассоциация). </w:t>
      </w:r>
      <w:r w:rsidRPr="00250BEC">
        <w:rPr>
          <w:rFonts w:ascii="PT Astra Serif" w:eastAsia="Calibri" w:hAnsi="PT Astra Serif" w:cs="PT Astra Serif"/>
          <w:b/>
          <w:color w:val="000000"/>
          <w:szCs w:val="28"/>
        </w:rPr>
        <w:t xml:space="preserve">На развитие своих территорий ТОС привлекли 5 млн 700 тыс. рублей. </w:t>
      </w:r>
    </w:p>
    <w:p w14:paraId="1AF63E33" w14:textId="77777777" w:rsidR="00250BEC" w:rsidRPr="00250BEC" w:rsidRDefault="00250BEC" w:rsidP="00250BEC">
      <w:pPr>
        <w:widowControl w:val="0"/>
        <w:shd w:val="clear" w:color="auto" w:fill="FFFFFF"/>
        <w:rPr>
          <w:rFonts w:ascii="PT Astra Serif" w:eastAsia="Calibri" w:hAnsi="PT Astra Serif" w:cs="Calibri"/>
          <w:b/>
          <w:color w:val="000000"/>
          <w:szCs w:val="28"/>
        </w:rPr>
      </w:pPr>
      <w:r w:rsidRPr="00250BEC">
        <w:rPr>
          <w:rFonts w:ascii="PT Astra Serif" w:eastAsia="Calibri" w:hAnsi="PT Astra Serif" w:cs="PT Astra Serif"/>
          <w:bCs/>
          <w:color w:val="000000"/>
          <w:szCs w:val="28"/>
        </w:rPr>
        <w:t>ТОС Ульяновской области являются абсолютными лидерами по количеству поданных на конкурсы проектов и по количеству выигранных проектов среди всех ТОС России. На постоянной основе проводятся обучающие семинары и консультации для активистов ТОС региона.</w:t>
      </w:r>
    </w:p>
    <w:p w14:paraId="73BCF4B4" w14:textId="77777777" w:rsidR="00250BEC" w:rsidRPr="00250BEC" w:rsidRDefault="00250BEC" w:rsidP="00250BEC">
      <w:pPr>
        <w:widowControl w:val="0"/>
        <w:shd w:val="clear" w:color="auto" w:fill="FFFFFF"/>
        <w:rPr>
          <w:rFonts w:ascii="PT Astra Serif" w:eastAsia="Calibri" w:hAnsi="PT Astra Serif" w:cs="Calibri"/>
          <w:b/>
          <w:i/>
          <w:color w:val="000000"/>
          <w:szCs w:val="28"/>
        </w:rPr>
      </w:pPr>
      <w:r w:rsidRPr="00250BEC">
        <w:rPr>
          <w:rFonts w:ascii="PT Astra Serif" w:eastAsia="Calibri" w:hAnsi="PT Astra Serif" w:cs="PT Astra Serif"/>
          <w:iCs/>
          <w:color w:val="000000"/>
          <w:szCs w:val="28"/>
        </w:rPr>
        <w:t xml:space="preserve">В 2025 году в рамках </w:t>
      </w:r>
      <w:r w:rsidRPr="00250BEC">
        <w:rPr>
          <w:rFonts w:ascii="PT Astra Serif" w:eastAsia="Calibri" w:hAnsi="PT Astra Serif" w:cs="PT Astra Serif"/>
          <w:b/>
          <w:iCs/>
          <w:color w:val="000000"/>
          <w:szCs w:val="28"/>
        </w:rPr>
        <w:t>государственной программы «Комфортная среда»</w:t>
      </w:r>
      <w:r w:rsidRPr="00250BEC">
        <w:rPr>
          <w:rFonts w:ascii="PT Astra Serif" w:eastAsia="Calibri" w:hAnsi="PT Astra Serif" w:cs="PT Astra Serif"/>
          <w:iCs/>
          <w:color w:val="000000"/>
          <w:szCs w:val="28"/>
        </w:rPr>
        <w:t xml:space="preserve"> был представлен 141 проект от ТОС города Ульяновска </w:t>
      </w:r>
      <w:r w:rsidRPr="00250BEC">
        <w:rPr>
          <w:rFonts w:ascii="PT Astra Serif" w:eastAsia="Calibri" w:hAnsi="PT Astra Serif" w:cs="PT Astra Serif"/>
          <w:iCs/>
          <w:color w:val="000000"/>
          <w:szCs w:val="28"/>
        </w:rPr>
        <w:br/>
        <w:t xml:space="preserve">и Ульяновской области. Выиграло 39 проектов ТОС, из них 31 проект от ТОС сельской местности. Общая сумма </w:t>
      </w:r>
      <w:r w:rsidRPr="00250BEC">
        <w:rPr>
          <w:rFonts w:ascii="PT Astra Serif" w:eastAsia="Calibri" w:hAnsi="PT Astra Serif" w:cs="PT Astra Serif"/>
          <w:b/>
          <w:iCs/>
          <w:color w:val="000000"/>
          <w:szCs w:val="28"/>
        </w:rPr>
        <w:t xml:space="preserve">привлеченных средств составила 25 млн рублей. </w:t>
      </w:r>
    </w:p>
    <w:p w14:paraId="330496DA"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Ключевым вектором работы в 2025 году стало </w:t>
      </w:r>
      <w:r w:rsidRPr="00250BEC">
        <w:rPr>
          <w:rFonts w:ascii="PT Astra Serif" w:eastAsia="Calibri" w:hAnsi="PT Astra Serif" w:cs="PT Astra Serif"/>
          <w:b/>
          <w:szCs w:val="28"/>
        </w:rPr>
        <w:t xml:space="preserve">масштабирование движения </w:t>
      </w:r>
      <w:r w:rsidRPr="00250BEC">
        <w:rPr>
          <w:rFonts w:ascii="PT Astra Serif" w:eastAsia="Calibri" w:hAnsi="PT Astra Serif" w:cs="PT Astra Serif"/>
          <w:b/>
          <w:bCs/>
          <w:szCs w:val="28"/>
        </w:rPr>
        <w:t>«Волонтеры ТОС»</w:t>
      </w:r>
      <w:r w:rsidRPr="00250BEC">
        <w:rPr>
          <w:rFonts w:ascii="PT Astra Serif" w:eastAsia="Calibri" w:hAnsi="PT Astra Serif" w:cs="PT Astra Serif"/>
          <w:szCs w:val="28"/>
        </w:rPr>
        <w:t xml:space="preserve">, определяемого как общественное движение, участники которого осуществляют добровольческую деятельность непосредственно на территориях проживания, обеспечивая комплексное развитие местных сообществ. Стратегическое планирование данного направления осуществлялось в тесном взаимодействии с исполнительной властью Ульяновского региона. </w:t>
      </w:r>
    </w:p>
    <w:p w14:paraId="521BED9B"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В целях консолидации актива и обмена лучшими практиками Ассоциацией была реализована масштабная </w:t>
      </w:r>
      <w:proofErr w:type="spellStart"/>
      <w:r w:rsidRPr="00250BEC">
        <w:rPr>
          <w:rFonts w:ascii="PT Astra Serif" w:eastAsia="Calibri" w:hAnsi="PT Astra Serif" w:cs="PT Astra Serif"/>
          <w:bCs/>
          <w:szCs w:val="28"/>
        </w:rPr>
        <w:t>форумная</w:t>
      </w:r>
      <w:proofErr w:type="spellEnd"/>
      <w:r w:rsidRPr="00250BEC">
        <w:rPr>
          <w:rFonts w:ascii="PT Astra Serif" w:eastAsia="Calibri" w:hAnsi="PT Astra Serif" w:cs="PT Astra Serif"/>
          <w:bCs/>
          <w:szCs w:val="28"/>
        </w:rPr>
        <w:t xml:space="preserve"> кампания</w:t>
      </w:r>
      <w:r w:rsidRPr="00250BEC">
        <w:rPr>
          <w:rFonts w:ascii="PT Astra Serif" w:eastAsia="Calibri" w:hAnsi="PT Astra Serif" w:cs="PT Astra Serif"/>
          <w:szCs w:val="28"/>
        </w:rPr>
        <w:t xml:space="preserve">. В течение года межмуниципальные и районные форумы были проведены </w:t>
      </w:r>
      <w:r w:rsidRPr="00250BEC">
        <w:rPr>
          <w:rFonts w:ascii="PT Astra Serif" w:eastAsia="Calibri" w:hAnsi="PT Astra Serif" w:cs="PT Astra Serif"/>
          <w:szCs w:val="28"/>
        </w:rPr>
        <w:br/>
        <w:t xml:space="preserve">в </w:t>
      </w:r>
      <w:r w:rsidRPr="00250BEC">
        <w:rPr>
          <w:rFonts w:ascii="PT Astra Serif" w:eastAsia="Calibri" w:hAnsi="PT Astra Serif" w:cs="PT Astra Serif"/>
          <w:bCs/>
          <w:szCs w:val="28"/>
        </w:rPr>
        <w:t>Мелекесском, Майнском, Ульяновском, Сенгилеевском, Тереньгульском, Радищевском, Сурском и Инзенском</w:t>
      </w:r>
      <w:r w:rsidRPr="00250BEC">
        <w:rPr>
          <w:rFonts w:ascii="PT Astra Serif" w:eastAsia="Calibri" w:hAnsi="PT Astra Serif" w:cs="PT Astra Serif"/>
          <w:szCs w:val="28"/>
        </w:rPr>
        <w:t xml:space="preserve"> районах. Центральным мероприятием стал </w:t>
      </w:r>
      <w:r w:rsidRPr="00250BEC">
        <w:rPr>
          <w:rFonts w:ascii="PT Astra Serif" w:eastAsia="Calibri" w:hAnsi="PT Astra Serif" w:cs="PT Astra Serif"/>
          <w:bCs/>
          <w:szCs w:val="28"/>
        </w:rPr>
        <w:t>IX Форум территориального общественного самоуправления</w:t>
      </w:r>
      <w:r w:rsidRPr="00250BEC">
        <w:rPr>
          <w:rFonts w:ascii="PT Astra Serif" w:eastAsia="Calibri" w:hAnsi="PT Astra Serif" w:cs="PT Astra Serif"/>
          <w:szCs w:val="28"/>
        </w:rPr>
        <w:t>, состоявшийся 09.07.2025 в Вешкаймском районе и приуроченный ко Дню ТОС Ульяновской области.</w:t>
      </w:r>
    </w:p>
    <w:p w14:paraId="147726EE"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Завершением годового цикла публичных мероприятий стало участие 17.12.2025 делегации Ассоциации в </w:t>
      </w:r>
      <w:r w:rsidRPr="00250BEC">
        <w:rPr>
          <w:rFonts w:ascii="PT Astra Serif" w:eastAsia="Calibri" w:hAnsi="PT Astra Serif" w:cs="PT Astra Serif"/>
          <w:bCs/>
          <w:szCs w:val="28"/>
        </w:rPr>
        <w:t>Гражданском Форуме Ульяновской области</w:t>
      </w:r>
      <w:r w:rsidRPr="00250BEC">
        <w:rPr>
          <w:rFonts w:ascii="PT Astra Serif" w:eastAsia="Calibri" w:hAnsi="PT Astra Serif" w:cs="PT Astra Serif"/>
          <w:szCs w:val="28"/>
        </w:rPr>
        <w:t xml:space="preserve">, в рамках которого были организованы дискуссионная площадка </w:t>
      </w:r>
      <w:r w:rsidRPr="00250BEC">
        <w:rPr>
          <w:rFonts w:ascii="PT Astra Serif" w:eastAsia="Calibri" w:hAnsi="PT Astra Serif" w:cs="PT Astra Serif"/>
          <w:szCs w:val="28"/>
        </w:rPr>
        <w:br/>
        <w:t>и выставочная экспозиция.</w:t>
      </w:r>
    </w:p>
    <w:p w14:paraId="3A1D4736"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Важное место в структуре деятельности заняла реализация </w:t>
      </w:r>
      <w:proofErr w:type="spellStart"/>
      <w:r w:rsidRPr="00250BEC">
        <w:rPr>
          <w:rFonts w:ascii="PT Astra Serif" w:eastAsia="Calibri" w:hAnsi="PT Astra Serif" w:cs="PT Astra Serif"/>
          <w:szCs w:val="28"/>
        </w:rPr>
        <w:t>грантового</w:t>
      </w:r>
      <w:proofErr w:type="spellEnd"/>
      <w:r w:rsidRPr="00250BEC">
        <w:rPr>
          <w:rFonts w:ascii="PT Astra Serif" w:eastAsia="Calibri" w:hAnsi="PT Astra Serif" w:cs="PT Astra Serif"/>
          <w:szCs w:val="28"/>
        </w:rPr>
        <w:t xml:space="preserve"> проекта </w:t>
      </w:r>
      <w:r w:rsidRPr="00250BEC">
        <w:rPr>
          <w:rFonts w:ascii="PT Astra Serif" w:eastAsia="Calibri" w:hAnsi="PT Astra Serif" w:cs="PT Astra Serif"/>
          <w:bCs/>
          <w:szCs w:val="28"/>
        </w:rPr>
        <w:t>«#</w:t>
      </w:r>
      <w:proofErr w:type="spellStart"/>
      <w:r w:rsidRPr="00250BEC">
        <w:rPr>
          <w:rFonts w:ascii="PT Astra Serif" w:eastAsia="Calibri" w:hAnsi="PT Astra Serif" w:cs="PT Astra Serif"/>
          <w:bCs/>
          <w:szCs w:val="28"/>
        </w:rPr>
        <w:t>ХештегТОС</w:t>
      </w:r>
      <w:proofErr w:type="spellEnd"/>
      <w:r w:rsidRPr="00250BEC">
        <w:rPr>
          <w:rFonts w:ascii="PT Astra Serif" w:eastAsia="Calibri" w:hAnsi="PT Astra Serif" w:cs="PT Astra Serif"/>
          <w:b/>
          <w:bCs/>
          <w:szCs w:val="28"/>
        </w:rPr>
        <w:t>»,</w:t>
      </w:r>
      <w:r w:rsidRPr="00250BEC">
        <w:rPr>
          <w:rFonts w:ascii="PT Astra Serif" w:eastAsia="Calibri" w:hAnsi="PT Astra Serif" w:cs="PT Astra Serif"/>
          <w:szCs w:val="28"/>
        </w:rPr>
        <w:t xml:space="preserve"> получившего поддержку в виде субсидии для социально ориентированных некоммерческих организаций. </w:t>
      </w:r>
      <w:r w:rsidRPr="00250BEC">
        <w:rPr>
          <w:rFonts w:ascii="PT Astra Serif" w:eastAsia="Calibri" w:hAnsi="PT Astra Serif" w:cs="PT Astra Serif"/>
          <w:bCs/>
          <w:szCs w:val="28"/>
        </w:rPr>
        <w:t>Проект направлен на повышение информационной открытости и цифровую трансформацию деятельности ТОС</w:t>
      </w:r>
      <w:r w:rsidRPr="00250BEC">
        <w:rPr>
          <w:rFonts w:ascii="PT Astra Serif" w:eastAsia="Calibri" w:hAnsi="PT Astra Serif" w:cs="PT Astra Serif"/>
          <w:szCs w:val="28"/>
        </w:rPr>
        <w:t>. В рамках данного направления был проведен комплекс обучающих мероприятий, среди которых лаборатория информационной открытости «</w:t>
      </w:r>
      <w:proofErr w:type="spellStart"/>
      <w:r w:rsidRPr="00250BEC">
        <w:rPr>
          <w:rFonts w:ascii="PT Astra Serif" w:eastAsia="Calibri" w:hAnsi="PT Astra Serif" w:cs="PT Astra Serif"/>
          <w:szCs w:val="28"/>
        </w:rPr>
        <w:t>ИнфоСфера</w:t>
      </w:r>
      <w:proofErr w:type="spellEnd"/>
      <w:r w:rsidRPr="00250BEC">
        <w:rPr>
          <w:rFonts w:ascii="PT Astra Serif" w:eastAsia="Calibri" w:hAnsi="PT Astra Serif" w:cs="PT Astra Serif"/>
          <w:szCs w:val="28"/>
        </w:rPr>
        <w:t xml:space="preserve">», конференция по работе в социальных сетях, серия семинаров по созданию контента и цифровизации отчетности. Системная работа по интеграции с федеральной экосистемой добровольчества </w:t>
      </w:r>
      <w:r w:rsidRPr="00250BEC">
        <w:rPr>
          <w:rFonts w:ascii="PT Astra Serif" w:eastAsia="Calibri" w:hAnsi="PT Astra Serif" w:cs="PT Astra Serif"/>
          <w:szCs w:val="28"/>
        </w:rPr>
        <w:lastRenderedPageBreak/>
        <w:t>«</w:t>
      </w:r>
      <w:proofErr w:type="spellStart"/>
      <w:r w:rsidRPr="00250BEC">
        <w:rPr>
          <w:rFonts w:ascii="PT Astra Serif" w:eastAsia="Calibri" w:hAnsi="PT Astra Serif" w:cs="PT Astra Serif"/>
          <w:szCs w:val="28"/>
        </w:rPr>
        <w:t>Добро.рф</w:t>
      </w:r>
      <w:proofErr w:type="spellEnd"/>
      <w:r w:rsidRPr="00250BEC">
        <w:rPr>
          <w:rFonts w:ascii="PT Astra Serif" w:eastAsia="Calibri" w:hAnsi="PT Astra Serif" w:cs="PT Astra Serif"/>
          <w:szCs w:val="28"/>
        </w:rPr>
        <w:t xml:space="preserve">» завершилась </w:t>
      </w:r>
      <w:r w:rsidRPr="00250BEC">
        <w:rPr>
          <w:rFonts w:ascii="PT Astra Serif" w:eastAsia="Calibri" w:hAnsi="PT Astra Serif" w:cs="PT Astra Serif"/>
          <w:bCs/>
          <w:szCs w:val="28"/>
        </w:rPr>
        <w:t>вступлением Ассоциации в члены Всероссийской Ассоциации «</w:t>
      </w:r>
      <w:proofErr w:type="spellStart"/>
      <w:r w:rsidRPr="00250BEC">
        <w:rPr>
          <w:rFonts w:ascii="PT Astra Serif" w:eastAsia="Calibri" w:hAnsi="PT Astra Serif" w:cs="PT Astra Serif"/>
          <w:bCs/>
          <w:szCs w:val="28"/>
        </w:rPr>
        <w:t>Добро.рф</w:t>
      </w:r>
      <w:proofErr w:type="spellEnd"/>
      <w:r w:rsidRPr="00250BEC">
        <w:rPr>
          <w:rFonts w:ascii="PT Astra Serif" w:eastAsia="Calibri" w:hAnsi="PT Astra Serif" w:cs="PT Astra Serif"/>
          <w:bCs/>
          <w:szCs w:val="28"/>
        </w:rPr>
        <w:t>»</w:t>
      </w:r>
      <w:r w:rsidRPr="00250BEC">
        <w:rPr>
          <w:rFonts w:ascii="PT Astra Serif" w:eastAsia="Calibri" w:hAnsi="PT Astra Serif" w:cs="PT Astra Serif"/>
          <w:szCs w:val="28"/>
        </w:rPr>
        <w:t xml:space="preserve"> и участием в Общем собрании организации в Москве 04.12.2025.</w:t>
      </w:r>
    </w:p>
    <w:p w14:paraId="1041B8CA"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b/>
          <w:bCs/>
          <w:szCs w:val="28"/>
        </w:rPr>
        <w:t>Образовательный блок</w:t>
      </w:r>
      <w:r w:rsidRPr="00250BEC">
        <w:rPr>
          <w:rFonts w:ascii="PT Astra Serif" w:eastAsia="Calibri" w:hAnsi="PT Astra Serif" w:cs="PT Astra Serif"/>
          <w:b/>
          <w:szCs w:val="28"/>
        </w:rPr>
        <w:t xml:space="preserve"> деятельности</w:t>
      </w:r>
      <w:r w:rsidRPr="00250BEC">
        <w:rPr>
          <w:rFonts w:ascii="PT Astra Serif" w:eastAsia="Calibri" w:hAnsi="PT Astra Serif" w:cs="PT Astra Serif"/>
          <w:szCs w:val="28"/>
        </w:rPr>
        <w:t xml:space="preserve"> был существенно расширен за счёт внедрения новых форматов и партнерств. В течение 2025 года на регулярной основе проводились семинары по проектному управлению, инициативному бюджетированию и подготовке заявок на Президентские </w:t>
      </w:r>
      <w:proofErr w:type="spellStart"/>
      <w:r w:rsidRPr="00250BEC">
        <w:rPr>
          <w:rFonts w:ascii="PT Astra Serif" w:eastAsia="Calibri" w:hAnsi="PT Astra Serif" w:cs="PT Astra Serif"/>
          <w:szCs w:val="28"/>
        </w:rPr>
        <w:t>грантовые</w:t>
      </w:r>
      <w:proofErr w:type="spellEnd"/>
      <w:r w:rsidRPr="00250BEC">
        <w:rPr>
          <w:rFonts w:ascii="PT Astra Serif" w:eastAsia="Calibri" w:hAnsi="PT Astra Serif" w:cs="PT Astra Serif"/>
          <w:szCs w:val="28"/>
        </w:rPr>
        <w:t xml:space="preserve"> конкурсы. Стратегическим шагом стала </w:t>
      </w:r>
      <w:r w:rsidRPr="00250BEC">
        <w:rPr>
          <w:rFonts w:ascii="PT Astra Serif" w:eastAsia="Calibri" w:hAnsi="PT Astra Serif" w:cs="PT Astra Serif"/>
          <w:bCs/>
          <w:szCs w:val="28"/>
        </w:rPr>
        <w:t xml:space="preserve">подготовка соглашения </w:t>
      </w:r>
      <w:r w:rsidRPr="00250BEC">
        <w:rPr>
          <w:rFonts w:ascii="PT Astra Serif" w:eastAsia="Calibri" w:hAnsi="PT Astra Serif" w:cs="PT Astra Serif"/>
          <w:bCs/>
          <w:szCs w:val="28"/>
        </w:rPr>
        <w:br/>
        <w:t>о сотрудничестве с Ульяновским государственным техническим университетом</w:t>
      </w:r>
      <w:r w:rsidRPr="00250BEC">
        <w:rPr>
          <w:rFonts w:ascii="PT Astra Serif" w:eastAsia="Calibri" w:hAnsi="PT Astra Serif" w:cs="PT Astra Serif"/>
          <w:szCs w:val="28"/>
        </w:rPr>
        <w:t>, в рамках которого стартовал цикл практико-ориентированных занятий для студентов, направленный на вовлечение молодежи в социальное проектирование и деятельность территориального самоуправления.</w:t>
      </w:r>
    </w:p>
    <w:p w14:paraId="445ACC83"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В 2025 году Ассоциация продолжила расширение географии межрегионального и межведомственного сотрудничества. Были формализованы </w:t>
      </w:r>
      <w:r w:rsidRPr="00250BEC">
        <w:rPr>
          <w:rFonts w:ascii="PT Astra Serif" w:eastAsia="Calibri" w:hAnsi="PT Astra Serif" w:cs="PT Astra Serif"/>
          <w:bCs/>
          <w:szCs w:val="28"/>
        </w:rPr>
        <w:t>партнерские отношения</w:t>
      </w:r>
      <w:r w:rsidRPr="00250BEC">
        <w:rPr>
          <w:rFonts w:ascii="PT Astra Serif" w:eastAsia="Calibri" w:hAnsi="PT Astra Serif" w:cs="PT Astra Serif"/>
          <w:szCs w:val="28"/>
        </w:rPr>
        <w:t xml:space="preserve"> посредством подписания соглашений с </w:t>
      </w:r>
      <w:r w:rsidRPr="00250BEC">
        <w:rPr>
          <w:rFonts w:ascii="PT Astra Serif" w:eastAsia="Calibri" w:hAnsi="PT Astra Serif" w:cs="PT Astra Serif"/>
          <w:bCs/>
          <w:szCs w:val="28"/>
        </w:rPr>
        <w:t>Ассоциацией ТОС Чувашской Республики</w:t>
      </w:r>
      <w:r w:rsidRPr="00250BEC">
        <w:rPr>
          <w:rFonts w:ascii="PT Astra Serif" w:eastAsia="Calibri" w:hAnsi="PT Astra Serif" w:cs="PT Astra Serif"/>
          <w:szCs w:val="28"/>
        </w:rPr>
        <w:t xml:space="preserve">, </w:t>
      </w:r>
      <w:r w:rsidRPr="00250BEC">
        <w:rPr>
          <w:rFonts w:ascii="PT Astra Serif" w:eastAsia="Calibri" w:hAnsi="PT Astra Serif" w:cs="PT Astra Serif"/>
          <w:bCs/>
          <w:szCs w:val="28"/>
        </w:rPr>
        <w:t>Ульяновской областной библиотекой для детей и юношества имени С.Т. Аксакова</w:t>
      </w:r>
      <w:r w:rsidRPr="00250BEC">
        <w:rPr>
          <w:rFonts w:ascii="PT Astra Serif" w:eastAsia="Calibri" w:hAnsi="PT Astra Serif" w:cs="PT Astra Serif"/>
          <w:szCs w:val="28"/>
        </w:rPr>
        <w:t xml:space="preserve"> и </w:t>
      </w:r>
      <w:r w:rsidRPr="00250BEC">
        <w:rPr>
          <w:rFonts w:ascii="PT Astra Serif" w:eastAsia="Calibri" w:hAnsi="PT Astra Serif" w:cs="PT Astra Serif"/>
          <w:bCs/>
          <w:szCs w:val="28"/>
        </w:rPr>
        <w:t>добровольческим поисково-спасательным отрядом «</w:t>
      </w:r>
      <w:proofErr w:type="spellStart"/>
      <w:r w:rsidRPr="00250BEC">
        <w:rPr>
          <w:rFonts w:ascii="PT Astra Serif" w:eastAsia="Calibri" w:hAnsi="PT Astra Serif" w:cs="PT Astra Serif"/>
          <w:bCs/>
          <w:szCs w:val="28"/>
        </w:rPr>
        <w:t>ЛизаАлерт</w:t>
      </w:r>
      <w:proofErr w:type="spellEnd"/>
      <w:r w:rsidRPr="00250BEC">
        <w:rPr>
          <w:rFonts w:ascii="PT Astra Serif" w:eastAsia="Calibri" w:hAnsi="PT Astra Serif" w:cs="PT Astra Serif"/>
          <w:bCs/>
          <w:szCs w:val="28"/>
        </w:rPr>
        <w:t>».</w:t>
      </w:r>
      <w:r w:rsidRPr="00250BEC">
        <w:rPr>
          <w:rFonts w:ascii="PT Astra Serif" w:eastAsia="Calibri" w:hAnsi="PT Astra Serif" w:cs="PT Astra Serif"/>
          <w:szCs w:val="28"/>
        </w:rPr>
        <w:t xml:space="preserve"> Опыт региона был успешно презентован на федеральных площадках в городе Перми и городе Йошкар-Оле, а также в ходе взаимодействия с коллегами из Луганской Народной Республики и города Новороссийска.</w:t>
      </w:r>
    </w:p>
    <w:p w14:paraId="6A64A118"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b/>
          <w:szCs w:val="28"/>
        </w:rPr>
        <w:t>Приоритетным направлением социальной работы</w:t>
      </w:r>
      <w:r w:rsidRPr="00250BEC">
        <w:rPr>
          <w:rFonts w:ascii="PT Astra Serif" w:eastAsia="Calibri" w:hAnsi="PT Astra Serif" w:cs="PT Astra Serif"/>
          <w:szCs w:val="28"/>
        </w:rPr>
        <w:t xml:space="preserve"> оставалась </w:t>
      </w:r>
      <w:r w:rsidRPr="00250BEC">
        <w:rPr>
          <w:rFonts w:ascii="PT Astra Serif" w:eastAsia="Calibri" w:hAnsi="PT Astra Serif" w:cs="PT Astra Serif"/>
          <w:bCs/>
          <w:szCs w:val="28"/>
        </w:rPr>
        <w:t>всесторонняя поддержка участников специальной военной операции</w:t>
      </w:r>
      <w:r w:rsidRPr="00250BEC">
        <w:rPr>
          <w:rFonts w:ascii="PT Astra Serif" w:eastAsia="Calibri" w:hAnsi="PT Astra Serif" w:cs="PT Astra Serif"/>
          <w:szCs w:val="28"/>
        </w:rPr>
        <w:t xml:space="preserve">. </w:t>
      </w:r>
      <w:r w:rsidRPr="00250BEC">
        <w:rPr>
          <w:rFonts w:ascii="PT Astra Serif" w:eastAsia="Calibri" w:hAnsi="PT Astra Serif" w:cs="PT Astra Serif"/>
          <w:szCs w:val="28"/>
        </w:rPr>
        <w:br/>
        <w:t xml:space="preserve">В Ассоциации ТОС Ульяновской области функционирует пункт плетения маскировочных сетей. Волонтеры ТОС Ульяновской области регулярно собирают гуманитарную помощь военнослужащим, участвующим в СВО, плетут сети, изготавливают окопные свечи, вяжут носки, шьют белье </w:t>
      </w:r>
      <w:r w:rsidRPr="00250BEC">
        <w:rPr>
          <w:rFonts w:ascii="PT Astra Serif" w:eastAsia="Calibri" w:hAnsi="PT Astra Serif" w:cs="PT Astra Serif"/>
          <w:szCs w:val="28"/>
        </w:rPr>
        <w:br/>
        <w:t>и одежду и др.</w:t>
      </w:r>
    </w:p>
    <w:p w14:paraId="3184F7F3"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Значительное внимание уделялось </w:t>
      </w:r>
      <w:r w:rsidRPr="00250BEC">
        <w:rPr>
          <w:rFonts w:ascii="PT Astra Serif" w:eastAsia="Calibri" w:hAnsi="PT Astra Serif" w:cs="PT Astra Serif"/>
          <w:b/>
          <w:szCs w:val="28"/>
        </w:rPr>
        <w:t>вопросам экологии</w:t>
      </w:r>
      <w:r w:rsidRPr="00250BEC">
        <w:rPr>
          <w:rFonts w:ascii="PT Astra Serif" w:eastAsia="Calibri" w:hAnsi="PT Astra Serif" w:cs="PT Astra Serif"/>
          <w:szCs w:val="28"/>
        </w:rPr>
        <w:t xml:space="preserve">. Так, </w:t>
      </w:r>
      <w:r w:rsidRPr="00250BEC">
        <w:rPr>
          <w:rFonts w:ascii="PT Astra Serif" w:eastAsia="Calibri" w:hAnsi="PT Astra Serif" w:cs="PT Astra Serif"/>
          <w:b/>
          <w:bCs/>
          <w:szCs w:val="28"/>
        </w:rPr>
        <w:t>проект «Экологическая инициатива»</w:t>
      </w:r>
      <w:r w:rsidRPr="00250BEC">
        <w:rPr>
          <w:rFonts w:ascii="PT Astra Serif" w:eastAsia="Calibri" w:hAnsi="PT Astra Serif" w:cs="PT Astra Serif"/>
          <w:bCs/>
          <w:szCs w:val="28"/>
        </w:rPr>
        <w:t xml:space="preserve"> был удостоен первого места в региональном этапе премии #МЫВМЕСТЕ-2025</w:t>
      </w:r>
      <w:r w:rsidRPr="00250BEC">
        <w:rPr>
          <w:rFonts w:ascii="PT Astra Serif" w:eastAsia="Calibri" w:hAnsi="PT Astra Serif" w:cs="PT Astra Serif"/>
          <w:szCs w:val="28"/>
        </w:rPr>
        <w:t xml:space="preserve"> в номинации «Устойчивое будущее». Практическим вкладом в благоустройство территории стала акция по зарыблению пруда Красотка в Мелекесском районе.</w:t>
      </w:r>
    </w:p>
    <w:p w14:paraId="55290423"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b/>
          <w:bCs/>
          <w:szCs w:val="28"/>
        </w:rPr>
        <w:t>Культурно-просветительская деятельность</w:t>
      </w:r>
      <w:r w:rsidRPr="00250BEC">
        <w:rPr>
          <w:rFonts w:ascii="PT Astra Serif" w:eastAsia="Calibri" w:hAnsi="PT Astra Serif" w:cs="PT Astra Serif"/>
          <w:szCs w:val="28"/>
        </w:rPr>
        <w:t xml:space="preserve"> реализовывалась </w:t>
      </w:r>
      <w:r w:rsidRPr="00250BEC">
        <w:rPr>
          <w:rFonts w:ascii="PT Astra Serif" w:eastAsia="Calibri" w:hAnsi="PT Astra Serif" w:cs="PT Astra Serif"/>
          <w:bCs/>
          <w:szCs w:val="28"/>
        </w:rPr>
        <w:t>при грантовой поддержке Президентского фонда культурных инициатив</w:t>
      </w:r>
      <w:r w:rsidRPr="00250BEC">
        <w:rPr>
          <w:rFonts w:ascii="PT Astra Serif" w:eastAsia="Calibri" w:hAnsi="PT Astra Serif" w:cs="PT Astra Serif"/>
          <w:szCs w:val="28"/>
        </w:rPr>
        <w:t xml:space="preserve">. Проект «Встречи с Высоцким» включил в себя серию </w:t>
      </w:r>
      <w:proofErr w:type="spellStart"/>
      <w:r w:rsidRPr="00250BEC">
        <w:rPr>
          <w:rFonts w:ascii="PT Astra Serif" w:eastAsia="Calibri" w:hAnsi="PT Astra Serif" w:cs="PT Astra Serif"/>
          <w:szCs w:val="28"/>
        </w:rPr>
        <w:t>разноформатных</w:t>
      </w:r>
      <w:proofErr w:type="spellEnd"/>
      <w:r w:rsidRPr="00250BEC">
        <w:rPr>
          <w:rFonts w:ascii="PT Astra Serif" w:eastAsia="Calibri" w:hAnsi="PT Astra Serif" w:cs="PT Astra Serif"/>
          <w:szCs w:val="28"/>
        </w:rPr>
        <w:t xml:space="preserve"> мероприятий — от интеллектуальных игр до масштабного фестиваля. Также были проведены патриотические акции ко Дню защитника Отечества </w:t>
      </w:r>
      <w:r w:rsidRPr="00250BEC">
        <w:rPr>
          <w:rFonts w:ascii="PT Astra Serif" w:eastAsia="Calibri" w:hAnsi="PT Astra Serif" w:cs="PT Astra Serif"/>
          <w:szCs w:val="28"/>
        </w:rPr>
        <w:br/>
        <w:t>и 80-летию Победы, этнокультурные фестивали и мероприятия, направленные на сохранение исторической памяти и укрепление традиционных ценностей.</w:t>
      </w:r>
    </w:p>
    <w:p w14:paraId="21908AE8"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По итогам Всероссийского конкурса «Лучшая практика ТОС»</w:t>
      </w:r>
      <w:r w:rsidRPr="00250BEC">
        <w:rPr>
          <w:rFonts w:ascii="PT Astra Serif" w:eastAsia="Calibri" w:hAnsi="PT Astra Serif" w:cs="PT Astra Serif"/>
          <w:szCs w:val="28"/>
        </w:rPr>
        <w:br/>
        <w:t xml:space="preserve">в номинации «Лучший субъект по поддержке ТОС» Ульяновская область </w:t>
      </w:r>
      <w:r w:rsidRPr="00250BEC">
        <w:rPr>
          <w:rFonts w:ascii="PT Astra Serif" w:eastAsia="Calibri" w:hAnsi="PT Astra Serif" w:cs="PT Astra Serif"/>
          <w:szCs w:val="28"/>
        </w:rPr>
        <w:br/>
        <w:t xml:space="preserve">в 2025 году получила высшую награду - Гран-при. </w:t>
      </w:r>
    </w:p>
    <w:p w14:paraId="412DB81A"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Ассоциация ТОС Ульяновской области является одной из лучших </w:t>
      </w:r>
      <w:r w:rsidRPr="00250BEC">
        <w:rPr>
          <w:rFonts w:ascii="PT Astra Serif" w:eastAsia="Calibri" w:hAnsi="PT Astra Serif" w:cs="PT Astra Serif"/>
          <w:szCs w:val="28"/>
        </w:rPr>
        <w:br/>
        <w:t>в России.</w:t>
      </w:r>
    </w:p>
    <w:p w14:paraId="11FCA4C6" w14:textId="77777777" w:rsidR="00250BEC" w:rsidRPr="00250BEC" w:rsidRDefault="00250BEC" w:rsidP="00250BEC">
      <w:pPr>
        <w:widowControl w:val="0"/>
        <w:rPr>
          <w:rFonts w:ascii="PT Astra Serif" w:eastAsia="Calibri" w:hAnsi="PT Astra Serif" w:cs="PT Astra Serif"/>
          <w:b/>
          <w:szCs w:val="28"/>
        </w:rPr>
      </w:pPr>
      <w:r w:rsidRPr="00250BEC">
        <w:rPr>
          <w:rFonts w:ascii="PT Astra Serif" w:eastAsia="Calibri" w:hAnsi="PT Astra Serif" w:cs="PT Astra Serif"/>
          <w:b/>
          <w:bCs/>
          <w:szCs w:val="28"/>
        </w:rPr>
        <w:lastRenderedPageBreak/>
        <w:t>Перспективы развития на 2026 год:</w:t>
      </w:r>
    </w:p>
    <w:p w14:paraId="244A05EA"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масштабирование движения «Волонтеры ТОС» на новые территории </w:t>
      </w:r>
      <w:r w:rsidRPr="00250BEC">
        <w:rPr>
          <w:rFonts w:ascii="PT Astra Serif" w:eastAsia="Calibri" w:hAnsi="PT Astra Serif" w:cs="PT Astra Serif"/>
          <w:szCs w:val="28"/>
        </w:rPr>
        <w:br/>
        <w:t>и вовлечение большего числа граждан;</w:t>
      </w:r>
    </w:p>
    <w:p w14:paraId="46D1AE82"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развитие цифровой инфраструктуры, создание единого стиля оформления социальных сетей ТОС региона;</w:t>
      </w:r>
    </w:p>
    <w:p w14:paraId="75209C85"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укрепление материально-технической базы ТОС через программы поддержки;</w:t>
      </w:r>
    </w:p>
    <w:p w14:paraId="7F219EB6"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расширение образовательных программ;</w:t>
      </w:r>
    </w:p>
    <w:p w14:paraId="47D2AAD2"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развитие межрегионального сотрудничества, организация всероссийских мероприятий на базе региона;</w:t>
      </w:r>
    </w:p>
    <w:p w14:paraId="77F01A1F"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углубление работы с молодежью, расширение сотрудничества </w:t>
      </w:r>
      <w:r w:rsidRPr="00250BEC">
        <w:rPr>
          <w:rFonts w:ascii="PT Astra Serif" w:eastAsia="Calibri" w:hAnsi="PT Astra Serif" w:cs="PT Astra Serif"/>
          <w:szCs w:val="28"/>
        </w:rPr>
        <w:br/>
        <w:t>с учебными заведениями, развитие «Молодежного совета ТОС»;</w:t>
      </w:r>
    </w:p>
    <w:p w14:paraId="5126FD50"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реализация новых проектов;</w:t>
      </w:r>
    </w:p>
    <w:p w14:paraId="5FD0CF2F"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дальнейшее позиционирование Ульяновской области как региона –лидера в развитии территориального общественного самоуправления.</w:t>
      </w:r>
    </w:p>
    <w:p w14:paraId="68A93835" w14:textId="77777777" w:rsidR="00250BEC" w:rsidRPr="00250BEC" w:rsidRDefault="00250BEC" w:rsidP="00250BEC">
      <w:pPr>
        <w:widowControl w:val="0"/>
        <w:rPr>
          <w:rFonts w:ascii="PT Astra Serif" w:eastAsia="Calibri" w:hAnsi="PT Astra Serif" w:cs="Calibri"/>
          <w:b/>
          <w:szCs w:val="28"/>
        </w:rPr>
      </w:pPr>
      <w:r w:rsidRPr="00250BEC">
        <w:rPr>
          <w:rFonts w:ascii="PT Astra Serif" w:eastAsia="Calibri" w:hAnsi="PT Astra Serif" w:cs="PT Astra Serif"/>
          <w:b/>
          <w:color w:val="1A1A1A"/>
          <w:szCs w:val="28"/>
        </w:rPr>
        <w:t>Основные задачи Ассоциации ТОС на 2026 год:</w:t>
      </w:r>
    </w:p>
    <w:p w14:paraId="3EDE25F1" w14:textId="77777777" w:rsidR="00250BEC" w:rsidRPr="00250BEC" w:rsidRDefault="00250BEC" w:rsidP="00250BEC">
      <w:pPr>
        <w:widowControl w:val="0"/>
        <w:rPr>
          <w:rFonts w:ascii="PT Astra Serif" w:eastAsia="Calibri" w:hAnsi="PT Astra Serif" w:cs="Calibri"/>
          <w:szCs w:val="28"/>
        </w:rPr>
      </w:pPr>
      <w:r w:rsidRPr="00250BEC">
        <w:rPr>
          <w:rFonts w:ascii="PT Astra Serif" w:eastAsia="Calibri" w:hAnsi="PT Astra Serif" w:cs="PT Astra Serif"/>
          <w:szCs w:val="28"/>
        </w:rPr>
        <w:t>проведение межмуниципальных Форум ТОС в районах Ульяновской области;</w:t>
      </w:r>
    </w:p>
    <w:p w14:paraId="6B625C79"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проведение </w:t>
      </w:r>
      <w:r w:rsidRPr="00250BEC">
        <w:rPr>
          <w:rFonts w:ascii="PT Astra Serif" w:eastAsia="Calibri" w:hAnsi="PT Astra Serif" w:cs="PT Astra Serif"/>
          <w:szCs w:val="28"/>
          <w:lang w:val="en-US"/>
        </w:rPr>
        <w:t>I</w:t>
      </w:r>
      <w:r w:rsidRPr="00250BEC">
        <w:rPr>
          <w:rFonts w:ascii="PT Astra Serif" w:eastAsia="Calibri" w:hAnsi="PT Astra Serif" w:cs="PT Astra Serif"/>
          <w:szCs w:val="28"/>
        </w:rPr>
        <w:t xml:space="preserve"> Всероссийского форума «Волонтеры ТОС»;</w:t>
      </w:r>
    </w:p>
    <w:p w14:paraId="37828A90"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развитие и масштабирование движения «Волонтеры ТОС» на территории Ульяновской области;</w:t>
      </w:r>
    </w:p>
    <w:p w14:paraId="260A92DA"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реализация проекта #</w:t>
      </w:r>
      <w:proofErr w:type="spellStart"/>
      <w:r w:rsidRPr="00250BEC">
        <w:rPr>
          <w:rFonts w:ascii="PT Astra Serif" w:eastAsia="Calibri" w:hAnsi="PT Astra Serif" w:cs="PT Astra Serif"/>
          <w:szCs w:val="28"/>
        </w:rPr>
        <w:t>ХештегТОС</w:t>
      </w:r>
      <w:proofErr w:type="spellEnd"/>
      <w:r w:rsidRPr="00250BEC">
        <w:rPr>
          <w:rFonts w:ascii="PT Astra Serif" w:eastAsia="Calibri" w:hAnsi="PT Astra Serif" w:cs="PT Astra Serif"/>
          <w:szCs w:val="28"/>
        </w:rPr>
        <w:t>, повышение информационной открытости ТОС Ульяновской области;</w:t>
      </w:r>
    </w:p>
    <w:p w14:paraId="7EB0752E"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подписание соглашения о создании «Молодежного Совета ТОС» на базе </w:t>
      </w:r>
      <w:proofErr w:type="spellStart"/>
      <w:r w:rsidRPr="00250BEC">
        <w:rPr>
          <w:rFonts w:ascii="PT Astra Serif" w:eastAsia="Calibri" w:hAnsi="PT Astra Serif" w:cs="PT Astra Serif"/>
          <w:szCs w:val="28"/>
        </w:rPr>
        <w:t>УлГТУ</w:t>
      </w:r>
      <w:proofErr w:type="spellEnd"/>
      <w:r w:rsidRPr="00250BEC">
        <w:rPr>
          <w:rFonts w:ascii="PT Astra Serif" w:eastAsia="Calibri" w:hAnsi="PT Astra Serif" w:cs="PT Astra Serif"/>
          <w:szCs w:val="28"/>
        </w:rPr>
        <w:t>;</w:t>
      </w:r>
    </w:p>
    <w:p w14:paraId="528C6A8F" w14:textId="77777777" w:rsidR="00250BEC" w:rsidRPr="00250BEC" w:rsidRDefault="00250BEC" w:rsidP="00250BEC">
      <w:pPr>
        <w:widowControl w:val="0"/>
        <w:rPr>
          <w:rFonts w:ascii="PT Astra Serif" w:eastAsia="Calibri" w:hAnsi="PT Astra Serif" w:cs="PT Astra Serif"/>
          <w:szCs w:val="28"/>
        </w:rPr>
      </w:pPr>
      <w:r w:rsidRPr="00250BEC">
        <w:rPr>
          <w:rFonts w:ascii="PT Astra Serif" w:eastAsia="Calibri" w:hAnsi="PT Astra Serif" w:cs="PT Astra Serif"/>
          <w:szCs w:val="28"/>
        </w:rPr>
        <w:t xml:space="preserve">развитие «Молодежного Совета ТОС» на базе </w:t>
      </w:r>
      <w:proofErr w:type="spellStart"/>
      <w:r w:rsidRPr="00250BEC">
        <w:rPr>
          <w:rFonts w:ascii="PT Astra Serif" w:eastAsia="Calibri" w:hAnsi="PT Astra Serif" w:cs="PT Astra Serif"/>
          <w:szCs w:val="28"/>
        </w:rPr>
        <w:t>УлГТУ</w:t>
      </w:r>
      <w:proofErr w:type="spellEnd"/>
      <w:r w:rsidRPr="00250BEC">
        <w:rPr>
          <w:rFonts w:ascii="PT Astra Serif" w:eastAsia="Calibri" w:hAnsi="PT Astra Serif" w:cs="PT Astra Serif"/>
          <w:szCs w:val="28"/>
        </w:rPr>
        <w:t>, совместные проекты;</w:t>
      </w:r>
    </w:p>
    <w:p w14:paraId="6FE0CBBC" w14:textId="77777777" w:rsidR="00250BEC" w:rsidRPr="00250BEC" w:rsidRDefault="00250BEC" w:rsidP="00250BEC">
      <w:pPr>
        <w:widowControl w:val="0"/>
        <w:rPr>
          <w:rFonts w:ascii="PT Astra Serif" w:eastAsia="Calibri" w:hAnsi="PT Astra Serif" w:cs="Calibri"/>
          <w:color w:val="000000"/>
          <w:szCs w:val="28"/>
        </w:rPr>
      </w:pPr>
      <w:r w:rsidRPr="00250BEC">
        <w:rPr>
          <w:rFonts w:ascii="PT Astra Serif" w:eastAsia="Calibri" w:hAnsi="PT Astra Serif" w:cs="PT Astra Serif"/>
          <w:szCs w:val="28"/>
        </w:rPr>
        <w:t xml:space="preserve">проведение Инженерного фестиваля «Письмо в будущее» совместно </w:t>
      </w:r>
      <w:r w:rsidRPr="00250BEC">
        <w:rPr>
          <w:rFonts w:ascii="PT Astra Serif" w:eastAsia="Calibri" w:hAnsi="PT Astra Serif" w:cs="PT Astra Serif"/>
          <w:szCs w:val="28"/>
        </w:rPr>
        <w:br/>
        <w:t xml:space="preserve">с «Молодежным Советом ТОС» при </w:t>
      </w:r>
      <w:proofErr w:type="spellStart"/>
      <w:r w:rsidRPr="00250BEC">
        <w:rPr>
          <w:rFonts w:ascii="PT Astra Serif" w:eastAsia="Calibri" w:hAnsi="PT Astra Serif" w:cs="PT Astra Serif"/>
          <w:szCs w:val="28"/>
        </w:rPr>
        <w:t>УлГТУ</w:t>
      </w:r>
      <w:proofErr w:type="spellEnd"/>
      <w:r w:rsidRPr="00250BEC">
        <w:rPr>
          <w:rFonts w:ascii="PT Astra Serif" w:eastAsia="Calibri" w:hAnsi="PT Astra Serif" w:cs="PT Astra Serif"/>
          <w:color w:val="000000"/>
          <w:szCs w:val="28"/>
        </w:rPr>
        <w:t>;</w:t>
      </w:r>
    </w:p>
    <w:p w14:paraId="1DF4D8B2" w14:textId="77777777" w:rsidR="00250BEC" w:rsidRPr="00250BEC" w:rsidRDefault="00250BEC" w:rsidP="00250BEC">
      <w:pPr>
        <w:widowControl w:val="0"/>
        <w:rPr>
          <w:rFonts w:ascii="PT Astra Serif" w:eastAsia="Calibri" w:hAnsi="PT Astra Serif" w:cs="PT Astra Serif"/>
          <w:color w:val="000000"/>
          <w:szCs w:val="28"/>
        </w:rPr>
      </w:pPr>
      <w:r w:rsidRPr="00250BEC">
        <w:rPr>
          <w:rFonts w:ascii="PT Astra Serif" w:eastAsia="Calibri" w:hAnsi="PT Astra Serif" w:cs="PT Astra Serif"/>
          <w:color w:val="000000"/>
          <w:szCs w:val="28"/>
        </w:rPr>
        <w:t xml:space="preserve">проведение в июле 2026 года Дня территориального общественного самоуправления в Ульяновской области, 15 лет движению ТОС </w:t>
      </w:r>
      <w:r w:rsidRPr="00250BEC">
        <w:rPr>
          <w:rFonts w:ascii="PT Astra Serif" w:eastAsia="Calibri" w:hAnsi="PT Astra Serif" w:cs="PT Astra Serif"/>
          <w:color w:val="000000"/>
          <w:szCs w:val="28"/>
        </w:rPr>
        <w:br/>
        <w:t>в Ульяновском регионе и празднования 10-летия создания Ассоциации ТОС Ульяновской области.</w:t>
      </w:r>
    </w:p>
    <w:p w14:paraId="5529DFA2" w14:textId="77777777" w:rsidR="00250BEC" w:rsidRPr="00250BEC" w:rsidRDefault="00250BEC" w:rsidP="00250BEC">
      <w:pPr>
        <w:widowControl w:val="0"/>
        <w:rPr>
          <w:rFonts w:ascii="PT Astra Serif" w:eastAsia="Calibri" w:hAnsi="PT Astra Serif" w:cs="PT Astra Serif"/>
          <w:color w:val="000000"/>
          <w:szCs w:val="28"/>
        </w:rPr>
      </w:pPr>
    </w:p>
    <w:p w14:paraId="427521D1" w14:textId="77777777" w:rsidR="00250BEC" w:rsidRPr="00250BEC" w:rsidRDefault="00250BEC" w:rsidP="00250BEC">
      <w:pPr>
        <w:widowControl w:val="0"/>
        <w:ind w:firstLine="0"/>
        <w:jc w:val="center"/>
        <w:rPr>
          <w:rFonts w:ascii="PT Astra Serif" w:eastAsia="Calibri" w:hAnsi="PT Astra Serif" w:cs="Times New Roman"/>
          <w:b/>
          <w:szCs w:val="28"/>
        </w:rPr>
      </w:pPr>
      <w:r w:rsidRPr="00250BEC">
        <w:rPr>
          <w:rFonts w:ascii="PT Astra Serif" w:eastAsia="Calibri" w:hAnsi="PT Astra Serif" w:cs="Times New Roman"/>
          <w:b/>
          <w:szCs w:val="28"/>
        </w:rPr>
        <w:t>Ассоциация «Совет муниципальных образований Ульяновской области»</w:t>
      </w:r>
    </w:p>
    <w:p w14:paraId="229F3235" w14:textId="77777777" w:rsidR="00250BEC" w:rsidRPr="00250BEC" w:rsidRDefault="00250BEC" w:rsidP="00250BEC">
      <w:pPr>
        <w:widowControl w:val="0"/>
        <w:ind w:firstLine="0"/>
        <w:jc w:val="center"/>
        <w:rPr>
          <w:rFonts w:ascii="PT Astra Serif" w:eastAsia="Calibri" w:hAnsi="PT Astra Serif" w:cs="Times New Roman"/>
          <w:b/>
          <w:szCs w:val="28"/>
        </w:rPr>
      </w:pPr>
    </w:p>
    <w:p w14:paraId="5055E894"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Ассоциация «Совет муниципальных образований Ульяновской области» (далее – СМО) создана в 2005 году и представляет собой организацию, обеспечивающую взаимодействие органов местного самоуправления, их должностных лиц, а также муниципальных образований, представление </w:t>
      </w:r>
      <w:r w:rsidRPr="00250BEC">
        <w:rPr>
          <w:rFonts w:ascii="PT Astra Serif" w:eastAsia="Calibri" w:hAnsi="PT Astra Serif" w:cs="Times New Roman"/>
          <w:szCs w:val="28"/>
        </w:rPr>
        <w:br/>
        <w:t>и защиту их общих интересов в пределах территории Ульяновской области.</w:t>
      </w:r>
    </w:p>
    <w:p w14:paraId="0AC860FE"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Ассоциация СМО</w:t>
      </w:r>
      <w:r w:rsidRPr="00250BEC">
        <w:rPr>
          <w:rFonts w:ascii="PT Astra Serif" w:eastAsia="Calibri" w:hAnsi="PT Astra Serif" w:cs="Times New Roman"/>
          <w:szCs w:val="28"/>
        </w:rPr>
        <w:t xml:space="preserve"> признается ВАРМСУ одной из </w:t>
      </w:r>
      <w:r w:rsidRPr="00250BEC">
        <w:rPr>
          <w:rFonts w:ascii="PT Astra Serif" w:eastAsia="Calibri" w:hAnsi="PT Astra Serif" w:cs="Times New Roman"/>
          <w:b/>
          <w:szCs w:val="28"/>
        </w:rPr>
        <w:t>самых эффективных в России.</w:t>
      </w:r>
    </w:p>
    <w:p w14:paraId="443DA0F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 2016 года Председателем СМО является С.С. </w:t>
      </w:r>
      <w:proofErr w:type="spellStart"/>
      <w:r w:rsidRPr="00250BEC">
        <w:rPr>
          <w:rFonts w:ascii="PT Astra Serif" w:eastAsia="Calibri" w:hAnsi="PT Astra Serif" w:cs="Times New Roman"/>
          <w:szCs w:val="28"/>
        </w:rPr>
        <w:t>Панчин</w:t>
      </w:r>
      <w:proofErr w:type="spellEnd"/>
      <w:r w:rsidRPr="00250BEC">
        <w:rPr>
          <w:rFonts w:ascii="PT Astra Serif" w:eastAsia="Calibri" w:hAnsi="PT Astra Serif" w:cs="Times New Roman"/>
          <w:szCs w:val="28"/>
        </w:rPr>
        <w:t xml:space="preserve">. </w:t>
      </w:r>
      <w:r w:rsidRPr="00250BEC">
        <w:rPr>
          <w:rFonts w:ascii="PT Astra Serif" w:eastAsia="Calibri" w:hAnsi="PT Astra Serif" w:cs="Times New Roman"/>
          <w:color w:val="000000"/>
          <w:szCs w:val="28"/>
          <w:shd w:val="clear" w:color="auto" w:fill="FFFFFF"/>
        </w:rPr>
        <w:t xml:space="preserve">6 декабря 2025 года на VIII Съезде Всероссийской ассоциации развития местного </w:t>
      </w:r>
      <w:r w:rsidRPr="00250BEC">
        <w:rPr>
          <w:rFonts w:ascii="PT Astra Serif" w:eastAsia="Calibri" w:hAnsi="PT Astra Serif" w:cs="Times New Roman"/>
          <w:color w:val="000000"/>
          <w:szCs w:val="28"/>
          <w:shd w:val="clear" w:color="auto" w:fill="FFFFFF"/>
        </w:rPr>
        <w:lastRenderedPageBreak/>
        <w:t>самоуправления Председатель СМО С.С. </w:t>
      </w:r>
      <w:proofErr w:type="spellStart"/>
      <w:r w:rsidRPr="00250BEC">
        <w:rPr>
          <w:rFonts w:ascii="PT Astra Serif" w:eastAsia="Calibri" w:hAnsi="PT Astra Serif" w:cs="Times New Roman"/>
          <w:color w:val="000000"/>
          <w:szCs w:val="28"/>
          <w:shd w:val="clear" w:color="auto" w:fill="FFFFFF"/>
        </w:rPr>
        <w:t>Панчин</w:t>
      </w:r>
      <w:proofErr w:type="spellEnd"/>
      <w:r w:rsidRPr="00250BEC">
        <w:rPr>
          <w:rFonts w:ascii="PT Astra Serif" w:eastAsia="Calibri" w:hAnsi="PT Astra Serif" w:cs="Times New Roman"/>
          <w:color w:val="000000"/>
          <w:szCs w:val="28"/>
          <w:shd w:val="clear" w:color="auto" w:fill="FFFFFF"/>
        </w:rPr>
        <w:t xml:space="preserve"> переизбран единоличным ревизором ВАРМСУ на очередной срок.</w:t>
      </w:r>
    </w:p>
    <w:p w14:paraId="0B557336"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Основные направления деятельности СМО:</w:t>
      </w:r>
    </w:p>
    <w:p w14:paraId="683190AB"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1. Оказание консультационной и методической помощи</w:t>
      </w:r>
      <w:r w:rsidRPr="00250BEC">
        <w:rPr>
          <w:rFonts w:ascii="PT Astra Serif" w:eastAsia="Calibri" w:hAnsi="PT Astra Serif" w:cs="Times New Roman"/>
          <w:szCs w:val="28"/>
        </w:rPr>
        <w:t xml:space="preserve"> работникам органов местного самоуправления:</w:t>
      </w:r>
    </w:p>
    <w:p w14:paraId="5087D6D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1.1. Консультирование по вопросам реализации полномочий органами местного самоуправления.</w:t>
      </w:r>
    </w:p>
    <w:p w14:paraId="064A1DC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Справочно: все поступающие обращения рассматриваются </w:t>
      </w:r>
      <w:r w:rsidRPr="00250BEC">
        <w:rPr>
          <w:rFonts w:ascii="PT Astra Serif" w:eastAsia="Calibri" w:hAnsi="PT Astra Serif" w:cs="Times New Roman"/>
          <w:szCs w:val="28"/>
        </w:rPr>
        <w:br/>
        <w:t>в 30-дневный срок. После осуществления анализа документов заявителям направляется обоснованная позиция СМО с указанием норм законодательства, на которых она основана.</w:t>
      </w:r>
    </w:p>
    <w:p w14:paraId="6465E23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Ежегодно СМО предоставляет около 1000 консультаций.</w:t>
      </w:r>
    </w:p>
    <w:p w14:paraId="33A4404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1.2. Проведение информационно-обучающих мероприятий в онлайн-формате.</w:t>
      </w:r>
    </w:p>
    <w:p w14:paraId="3F42DE0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Посредством ВКС для органов местного самоуправления проводятся </w:t>
      </w:r>
      <w:proofErr w:type="spellStart"/>
      <w:r w:rsidRPr="00250BEC">
        <w:rPr>
          <w:rFonts w:ascii="PT Astra Serif" w:eastAsia="Calibri" w:hAnsi="PT Astra Serif" w:cs="Times New Roman"/>
          <w:szCs w:val="28"/>
        </w:rPr>
        <w:t>вебинары</w:t>
      </w:r>
      <w:proofErr w:type="spellEnd"/>
      <w:r w:rsidRPr="00250BEC">
        <w:rPr>
          <w:rFonts w:ascii="PT Astra Serif" w:eastAsia="Calibri" w:hAnsi="PT Astra Serif" w:cs="Times New Roman"/>
          <w:szCs w:val="28"/>
        </w:rPr>
        <w:t xml:space="preserve"> и открытые совещания с участием представителей органов государственной власти: прокуратуры Ульяновской области, Управления Минюста России по Ульяновской области, государственно-правового управления администрации Губернатора Ульяновской области, Уполномоченного по противодействию коррупции в Ульяновской области, Управления </w:t>
      </w:r>
      <w:proofErr w:type="spellStart"/>
      <w:r w:rsidRPr="00250BEC">
        <w:rPr>
          <w:rFonts w:ascii="PT Astra Serif" w:eastAsia="Calibri" w:hAnsi="PT Astra Serif" w:cs="Times New Roman"/>
          <w:szCs w:val="28"/>
        </w:rPr>
        <w:t>Росреестра</w:t>
      </w:r>
      <w:proofErr w:type="spellEnd"/>
      <w:r w:rsidRPr="00250BEC">
        <w:rPr>
          <w:rFonts w:ascii="PT Astra Serif" w:eastAsia="Calibri" w:hAnsi="PT Astra Serif" w:cs="Times New Roman"/>
          <w:szCs w:val="28"/>
        </w:rPr>
        <w:t xml:space="preserve"> России по Ульяновской области и др. </w:t>
      </w:r>
    </w:p>
    <w:p w14:paraId="034B89A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Тематика различная: вопросы прокурорского надзора, привлечения </w:t>
      </w:r>
      <w:r w:rsidRPr="00250BEC">
        <w:rPr>
          <w:rFonts w:ascii="PT Astra Serif" w:eastAsia="Calibri" w:hAnsi="PT Astra Serif" w:cs="Times New Roman"/>
          <w:szCs w:val="28"/>
        </w:rPr>
        <w:br/>
        <w:t xml:space="preserve">к административной ответственности, муниципальной службы, противодействия коррупции, разработки и регистрации уставов муниципальных образований, нормотворческой деятельности органов местного самоуправления, регистрации прав на недвижимое имущество </w:t>
      </w:r>
      <w:r w:rsidRPr="00250BEC">
        <w:rPr>
          <w:rFonts w:ascii="PT Astra Serif" w:eastAsia="Calibri" w:hAnsi="PT Astra Serif" w:cs="Times New Roman"/>
          <w:szCs w:val="28"/>
        </w:rPr>
        <w:br/>
        <w:t>и иные.</w:t>
      </w:r>
    </w:p>
    <w:p w14:paraId="03ECBBD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1.3. Проведение семинаров-совещаний.</w:t>
      </w:r>
    </w:p>
    <w:p w14:paraId="2BEED75D"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Специалисты СМО проводят семинары для органов местного самоуправления на местах (в администрациях муниципальных районов при участии глав поселений этих районов), а также в формате ВКС. По окончании выступлений сотрудников СМО в формате живого диалога проводятся экспресс-консультации по вопросам, интересующим муниципалов. На детальные либо сложные вопросы даются письменные ответы. Ежегодно СМО проводится не менее 12 обучающих мероприятий.</w:t>
      </w:r>
    </w:p>
    <w:p w14:paraId="04C8D45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1.4. Ежегодно СМО разрабатывает как минимум 10</w:t>
      </w:r>
      <w:r w:rsidRPr="00250BEC">
        <w:rPr>
          <w:rFonts w:ascii="PT Astra Serif" w:eastAsia="Calibri" w:hAnsi="PT Astra Serif" w:cs="Times New Roman"/>
          <w:szCs w:val="28"/>
        </w:rPr>
        <w:t xml:space="preserve"> </w:t>
      </w:r>
      <w:r w:rsidRPr="00250BEC">
        <w:rPr>
          <w:rFonts w:ascii="PT Astra Serif" w:eastAsia="Calibri" w:hAnsi="PT Astra Serif" w:cs="Times New Roman"/>
          <w:bCs/>
          <w:szCs w:val="28"/>
        </w:rPr>
        <w:t xml:space="preserve">модельных муниципальных нормативных правовых актов </w:t>
      </w:r>
      <w:r w:rsidRPr="00250BEC">
        <w:rPr>
          <w:rFonts w:ascii="PT Astra Serif" w:eastAsia="Calibri" w:hAnsi="PT Astra Serif" w:cs="Times New Roman"/>
          <w:szCs w:val="28"/>
        </w:rPr>
        <w:t>как по новеллам федерального законодательства, так и по запросам органов местного самоуправления.</w:t>
      </w:r>
    </w:p>
    <w:p w14:paraId="27877FE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1.5. Издание печатных материалов.</w:t>
      </w:r>
    </w:p>
    <w:p w14:paraId="1441FAF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СМО издает не менее 2 брошюр информационно-методических материалов в год. Так, например, в 2025 году изданы следующие брошюры:</w:t>
      </w:r>
    </w:p>
    <w:p w14:paraId="4245F9F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«Доклад о состоянии местного самоуправления на территории Ульяновской области за 2024 год»;</w:t>
      </w:r>
    </w:p>
    <w:p w14:paraId="1192355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«Федеральный закон от 20.03.2025 № 33-ФЗ «Об общих принципах организации местного самоуправления в единой системе публичной власти». </w:t>
      </w:r>
    </w:p>
    <w:p w14:paraId="3115B90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lastRenderedPageBreak/>
        <w:t xml:space="preserve">1.6. В 2025 году Всероссийская ассоциация развития местного самоуправления провела конкурс советов муниципальных образований «Эффективные системные решения Советов муниципальных образований субъектов РФ», направленный на выявление и распространение лучших практик, укрепление кадрового потенциала, правовое сопровождение </w:t>
      </w:r>
      <w:r w:rsidRPr="00250BEC">
        <w:rPr>
          <w:rFonts w:ascii="PT Astra Serif" w:eastAsia="Calibri" w:hAnsi="PT Astra Serif" w:cs="Times New Roman"/>
          <w:szCs w:val="28"/>
        </w:rPr>
        <w:br/>
        <w:t>и консолидацию муниципального сообщества по всей России.</w:t>
      </w:r>
    </w:p>
    <w:p w14:paraId="29681AA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Проект СМО «На страже прав местного самоуправления» стал победителем в номинации «Методическая поддержка — Инструменты успеха» с проектами, направленными на повышение эффективности </w:t>
      </w:r>
      <w:r w:rsidRPr="00250BEC">
        <w:rPr>
          <w:rFonts w:ascii="PT Astra Serif" w:eastAsia="Calibri" w:hAnsi="PT Astra Serif" w:cs="Times New Roman"/>
          <w:szCs w:val="28"/>
        </w:rPr>
        <w:br/>
        <w:t xml:space="preserve">и прозрачности деятельности органов местного самоуправления и советов муниципальных образований. </w:t>
      </w:r>
    </w:p>
    <w:p w14:paraId="19D2919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2. Судебная защита прав должностных лиц</w:t>
      </w:r>
      <w:r w:rsidRPr="00250BEC">
        <w:rPr>
          <w:rFonts w:ascii="PT Astra Serif" w:eastAsia="Calibri" w:hAnsi="PT Astra Serif" w:cs="Times New Roman"/>
          <w:szCs w:val="28"/>
        </w:rPr>
        <w:t xml:space="preserve"> и органов местного самоуправления:</w:t>
      </w:r>
    </w:p>
    <w:p w14:paraId="3E2743EA"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2.1. Дела о привлечении органов местного самоуправления и бывших руководителей МУП к субсидиарной ответственности</w:t>
      </w:r>
      <w:r w:rsidRPr="00250BEC">
        <w:rPr>
          <w:rFonts w:ascii="PT Astra Serif" w:eastAsia="Calibri" w:hAnsi="PT Astra Serif" w:cs="Times New Roman"/>
          <w:szCs w:val="28"/>
        </w:rPr>
        <w:t xml:space="preserve"> (солидарно) по долгам данных юридических лиц и о взыскании с органов местного самоуправления компенсации уменьшения конкурсной массы за передачу социально значимых объектов.</w:t>
      </w:r>
      <w:r w:rsidRPr="00250BEC">
        <w:rPr>
          <w:rFonts w:ascii="PT Astra Serif" w:eastAsia="Calibri" w:hAnsi="PT Astra Serif" w:cs="Times New Roman"/>
          <w:bCs/>
          <w:szCs w:val="28"/>
        </w:rPr>
        <w:t xml:space="preserve"> </w:t>
      </w:r>
    </w:p>
    <w:p w14:paraId="0365327E"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Справочно: в 2024-2025 годах с участием сотрудников СМО рассмотрено более 19 дел.</w:t>
      </w:r>
    </w:p>
    <w:p w14:paraId="5C4EAE04"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Сумма выигранных (не взысканных с муниципалитетов) денежных средств составила: в 2024 году – около 200,0 млн рублей, в 2025 году – более 563,0 млн рублей.</w:t>
      </w:r>
    </w:p>
    <w:p w14:paraId="5176A9AB"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2.2. Дела об административных правонарушениях в отношении глав администраций муниципальных районов и поселений (ст. 7.32.5, 12.34, 15.15.10, 17.7 КоАП РФ и др.). </w:t>
      </w:r>
    </w:p>
    <w:p w14:paraId="5057D345"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Справочно: в 2024-2025 годах с участием сотрудников СМО рассмотрено более 27 дел.</w:t>
      </w:r>
    </w:p>
    <w:p w14:paraId="5450E937"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Сумма выигранных (не взысканных с муниципалитетов) денежных средств составила: в 2024 году – около 2,5 млн рублей, в 2025 году – более 3,5 млн рублей.</w:t>
      </w:r>
    </w:p>
    <w:p w14:paraId="3F0FB314"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2.3. Иные категории дел. </w:t>
      </w:r>
    </w:p>
    <w:p w14:paraId="5855E6C6"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В 2024 - 2025 годах с участием сотрудников СМО рассмотрено более 23 дел (по делам об освобождении от исполнительских сборов и штрафов </w:t>
      </w:r>
      <w:r w:rsidRPr="00250BEC">
        <w:rPr>
          <w:rFonts w:ascii="PT Astra Serif" w:eastAsia="Calibri" w:hAnsi="PT Astra Serif" w:cs="Times New Roman"/>
          <w:bCs/>
          <w:szCs w:val="28"/>
        </w:rPr>
        <w:br/>
        <w:t xml:space="preserve">в соответствии с Законом об исполнительном производстве, об </w:t>
      </w:r>
      <w:proofErr w:type="spellStart"/>
      <w:r w:rsidRPr="00250BEC">
        <w:rPr>
          <w:rFonts w:ascii="PT Astra Serif" w:eastAsia="Calibri" w:hAnsi="PT Astra Serif" w:cs="Times New Roman"/>
          <w:bCs/>
          <w:szCs w:val="28"/>
        </w:rPr>
        <w:t>обязании</w:t>
      </w:r>
      <w:proofErr w:type="spellEnd"/>
      <w:r w:rsidRPr="00250BEC">
        <w:rPr>
          <w:rFonts w:ascii="PT Astra Serif" w:eastAsia="Calibri" w:hAnsi="PT Astra Serif" w:cs="Times New Roman"/>
          <w:bCs/>
          <w:szCs w:val="28"/>
        </w:rPr>
        <w:t xml:space="preserve"> органов местного самоуправления заключить концессионные соглашения, принять муниципальный нормативно-правовой акт, совершить те или иные действия и т.д.).</w:t>
      </w:r>
    </w:p>
    <w:p w14:paraId="728311F8"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Имущественный эффект по данным категориям дел за 2024 - 2025 годы составил ориентировочно 100,0 млн рублей.</w:t>
      </w:r>
    </w:p>
    <w:p w14:paraId="29554158"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
          <w:szCs w:val="28"/>
        </w:rPr>
        <w:t xml:space="preserve">3. </w:t>
      </w:r>
      <w:r w:rsidRPr="00250BEC">
        <w:rPr>
          <w:rFonts w:ascii="PT Astra Serif" w:eastAsia="Calibri" w:hAnsi="PT Astra Serif" w:cs="Times New Roman"/>
          <w:b/>
          <w:bCs/>
          <w:szCs w:val="28"/>
        </w:rPr>
        <w:t>Организация взаимодействия</w:t>
      </w:r>
      <w:r w:rsidRPr="00250BEC">
        <w:rPr>
          <w:rFonts w:ascii="PT Astra Serif" w:eastAsia="Calibri" w:hAnsi="PT Astra Serif" w:cs="Times New Roman"/>
          <w:bCs/>
          <w:szCs w:val="28"/>
        </w:rPr>
        <w:t xml:space="preserve"> органов местного самоуправления, выражение и защита общих интересов муниципальных образований Ульяновской области.</w:t>
      </w:r>
    </w:p>
    <w:p w14:paraId="46B8965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3.1. Обеспечение деятельности Совета региональных, местных властей </w:t>
      </w:r>
      <w:r w:rsidRPr="00250BEC">
        <w:rPr>
          <w:rFonts w:ascii="PT Astra Serif" w:eastAsia="Calibri" w:hAnsi="PT Astra Serif" w:cs="Times New Roman"/>
          <w:szCs w:val="28"/>
        </w:rPr>
        <w:br/>
        <w:t>и сообществ в Ульяновской области (далее – СРИМ).</w:t>
      </w:r>
    </w:p>
    <w:p w14:paraId="326BC153" w14:textId="77777777" w:rsidR="00250BEC" w:rsidRPr="00250BEC" w:rsidRDefault="00250BEC" w:rsidP="00250BEC">
      <w:pPr>
        <w:widowControl w:val="0"/>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lastRenderedPageBreak/>
        <w:t>СРИМ является формой взаимодействия исполнительных органов государственной власти Ульяновской области, органов местного самоуправления муниципальных образований Ульяновской области, общественных организаций и независимых экспертов. Также Совет является важной площадкой для обмена опытом и выработки общей позиции по решению главных социально-экономических и общественно-политических вопросов развития муниципальных образований, обсуждению проектов федеральных законов и законов Ульяновской области, других нормативных правовых актов.</w:t>
      </w:r>
    </w:p>
    <w:p w14:paraId="6AE45874" w14:textId="77777777" w:rsidR="00250BEC" w:rsidRPr="00250BEC" w:rsidRDefault="00250BEC" w:rsidP="00250BEC">
      <w:pPr>
        <w:widowControl w:val="0"/>
        <w:rPr>
          <w:rFonts w:ascii="PT Astra Serif" w:eastAsia="Calibri" w:hAnsi="PT Astra Serif" w:cs="Times New Roman"/>
          <w:color w:val="000000"/>
          <w:szCs w:val="28"/>
        </w:rPr>
      </w:pPr>
      <w:r w:rsidRPr="00250BEC">
        <w:rPr>
          <w:rFonts w:ascii="PT Astra Serif" w:eastAsia="Calibri" w:hAnsi="PT Astra Serif" w:cs="Times New Roman"/>
          <w:color w:val="000000"/>
          <w:szCs w:val="28"/>
        </w:rPr>
        <w:t>Сопредседателями СРИМ являются Губернатор Ульяновской области А.Ю. Русских и Председатель Законодательного Собрания Ульяновской области В.В. Малышев, секретарем – Председатель СМО С.С. </w:t>
      </w:r>
      <w:proofErr w:type="spellStart"/>
      <w:r w:rsidRPr="00250BEC">
        <w:rPr>
          <w:rFonts w:ascii="PT Astra Serif" w:eastAsia="Calibri" w:hAnsi="PT Astra Serif" w:cs="Times New Roman"/>
          <w:color w:val="000000"/>
          <w:szCs w:val="28"/>
        </w:rPr>
        <w:t>Панчин</w:t>
      </w:r>
      <w:proofErr w:type="spellEnd"/>
      <w:r w:rsidRPr="00250BEC">
        <w:rPr>
          <w:rFonts w:ascii="PT Astra Serif" w:eastAsia="Calibri" w:hAnsi="PT Astra Serif" w:cs="Times New Roman"/>
          <w:color w:val="000000"/>
          <w:szCs w:val="28"/>
        </w:rPr>
        <w:t xml:space="preserve">. </w:t>
      </w:r>
    </w:p>
    <w:p w14:paraId="5522490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Традиционно проводятся 2 сессии СРИМ в год, каждая из которых включает дискуссионные площадки, круглые столы, выступления федеральных экспертов по актуальным вопросам местного самоуправления, </w:t>
      </w:r>
      <w:r w:rsidRPr="00250BEC">
        <w:rPr>
          <w:rFonts w:ascii="PT Astra Serif" w:eastAsia="Calibri" w:hAnsi="PT Astra Serif" w:cs="Times New Roman"/>
          <w:szCs w:val="28"/>
        </w:rPr>
        <w:br/>
        <w:t>а также пленарное заседание. В 2025 году соответствующие мероприятия прошли 30 апреля и 21 ноября.</w:t>
      </w:r>
    </w:p>
    <w:p w14:paraId="1F58B184"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color w:val="000000"/>
          <w:szCs w:val="28"/>
        </w:rPr>
        <w:t xml:space="preserve">3.2. </w:t>
      </w:r>
      <w:r w:rsidRPr="00250BEC">
        <w:rPr>
          <w:rFonts w:ascii="PT Astra Serif" w:eastAsia="Calibri" w:hAnsi="PT Astra Serif" w:cs="Times New Roman"/>
          <w:szCs w:val="28"/>
        </w:rPr>
        <w:t>СМО участвует в процессе разработки и принятия региональных правовых актов</w:t>
      </w:r>
      <w:r w:rsidRPr="00250BEC">
        <w:rPr>
          <w:rFonts w:ascii="PT Astra Serif" w:eastAsia="Calibri" w:hAnsi="PT Astra Serif" w:cs="Times New Roman"/>
          <w:bCs/>
          <w:szCs w:val="28"/>
        </w:rPr>
        <w:t>, затрагивающих деятельность органов местного самоуправления:</w:t>
      </w:r>
    </w:p>
    <w:p w14:paraId="289EE73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в</w:t>
      </w:r>
      <w:r w:rsidRPr="00250BEC">
        <w:rPr>
          <w:rFonts w:ascii="PT Astra Serif" w:eastAsia="Calibri" w:hAnsi="PT Astra Serif" w:cs="Times New Roman"/>
          <w:szCs w:val="28"/>
        </w:rPr>
        <w:t xml:space="preserve"> 2025 году Законодательным Собранием Ульяновской области приняты 5 региональных законов, внесенных СМО в порядке законодательной инициативы;</w:t>
      </w:r>
    </w:p>
    <w:p w14:paraId="7319607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СМО </w:t>
      </w:r>
      <w:r w:rsidRPr="00250BEC">
        <w:rPr>
          <w:rFonts w:ascii="PT Astra Serif" w:eastAsia="Calibri" w:hAnsi="PT Astra Serif" w:cs="Times New Roman"/>
          <w:bCs/>
          <w:szCs w:val="28"/>
        </w:rPr>
        <w:t xml:space="preserve">согласовывает проекты законов Ульяновской области, актов Губернатора и Правительства Ульяновской области </w:t>
      </w:r>
      <w:r w:rsidRPr="00250BEC">
        <w:rPr>
          <w:rFonts w:ascii="PT Astra Serif" w:eastAsia="Calibri" w:hAnsi="PT Astra Serif" w:cs="Times New Roman"/>
          <w:szCs w:val="28"/>
        </w:rPr>
        <w:t xml:space="preserve">по вопросам местного самоуправления. </w:t>
      </w:r>
    </w:p>
    <w:p w14:paraId="2F97224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Кроме того, Председатель СМО входит в состав всех образуемых рабочих органов при Правительстве Ульяновской области по вопросам местного самоуправления.</w:t>
      </w:r>
    </w:p>
    <w:p w14:paraId="540BD91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3.3.</w:t>
      </w:r>
      <w:r w:rsidRPr="00250BEC">
        <w:rPr>
          <w:rFonts w:ascii="PT Astra Serif" w:eastAsia="Calibri" w:hAnsi="PT Astra Serif" w:cs="Times New Roman"/>
          <w:szCs w:val="28"/>
        </w:rPr>
        <w:t xml:space="preserve"> СМО проводит мониторинг выполнения </w:t>
      </w:r>
      <w:r w:rsidRPr="00250BEC">
        <w:rPr>
          <w:rFonts w:ascii="PT Astra Serif" w:eastAsia="Calibri" w:hAnsi="PT Astra Serif" w:cs="Times New Roman"/>
          <w:bCs/>
          <w:szCs w:val="28"/>
        </w:rPr>
        <w:t>Плана мероприятий по реализации региональной Стратегии развития местного самоуправления Ульяновской области до 2030 года</w:t>
      </w:r>
      <w:r w:rsidRPr="00250BEC">
        <w:rPr>
          <w:rFonts w:ascii="PT Astra Serif" w:eastAsia="Calibri" w:hAnsi="PT Astra Serif" w:cs="Times New Roman"/>
          <w:szCs w:val="28"/>
        </w:rPr>
        <w:t xml:space="preserve"> (утвержден Губернатором Ульяновской области в 2021 году).</w:t>
      </w:r>
    </w:p>
    <w:p w14:paraId="6593F72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4. Ежегодно</w:t>
      </w:r>
      <w:r w:rsidRPr="00250BEC">
        <w:rPr>
          <w:rFonts w:ascii="PT Astra Serif" w:eastAsia="Calibri" w:hAnsi="PT Astra Serif" w:cs="Times New Roman"/>
          <w:szCs w:val="28"/>
        </w:rPr>
        <w:t xml:space="preserve"> СМО </w:t>
      </w:r>
      <w:r w:rsidRPr="00250BEC">
        <w:rPr>
          <w:rFonts w:ascii="PT Astra Serif" w:eastAsia="Calibri" w:hAnsi="PT Astra Serif" w:cs="Times New Roman"/>
          <w:b/>
          <w:szCs w:val="28"/>
        </w:rPr>
        <w:t>готовит Доклад</w:t>
      </w:r>
      <w:r w:rsidRPr="00250BEC">
        <w:rPr>
          <w:rFonts w:ascii="PT Astra Serif" w:eastAsia="Calibri" w:hAnsi="PT Astra Serif" w:cs="Times New Roman"/>
          <w:szCs w:val="28"/>
        </w:rPr>
        <w:t xml:space="preserve"> о состоянии местного самоуправления в Ульяновской области. С 2024 года необходимость подготовки и направления данного документа во Всероссийскую ассоциацию развития местного самоуправления (далее – ВАРМСУ) стало обязательным (п. 6.3 ст. 76 Федеральный закон от 20.03.2025 № 33-ФЗ «Об общих принципах организации местного самоуправления в единой системе публичной власти»). </w:t>
      </w:r>
    </w:p>
    <w:p w14:paraId="787DB562" w14:textId="77777777" w:rsidR="00250BEC" w:rsidRPr="00250BEC" w:rsidRDefault="00250BEC" w:rsidP="00250BEC">
      <w:pPr>
        <w:widowControl w:val="0"/>
        <w:rPr>
          <w:rFonts w:ascii="PT Astra Serif" w:eastAsia="Calibri" w:hAnsi="PT Astra Serif" w:cs="Times New Roman"/>
          <w:szCs w:val="28"/>
        </w:rPr>
      </w:pPr>
    </w:p>
    <w:p w14:paraId="09A47A79" w14:textId="77777777" w:rsidR="00250BEC" w:rsidRPr="00250BEC" w:rsidRDefault="00250BEC" w:rsidP="00250BEC">
      <w:pPr>
        <w:widowControl w:val="0"/>
        <w:ind w:firstLine="0"/>
        <w:contextualSpacing/>
        <w:jc w:val="center"/>
        <w:rPr>
          <w:rFonts w:ascii="PT Astra Serif" w:eastAsia="Calibri" w:hAnsi="PT Astra Serif" w:cs="Times New Roman"/>
          <w:b/>
          <w:szCs w:val="28"/>
        </w:rPr>
      </w:pPr>
      <w:r w:rsidRPr="00250BEC">
        <w:rPr>
          <w:rFonts w:ascii="PT Astra Serif" w:eastAsia="Calibri" w:hAnsi="PT Astra Serif" w:cs="Times New Roman"/>
          <w:b/>
          <w:szCs w:val="28"/>
        </w:rPr>
        <w:t>Сельские старосты</w:t>
      </w:r>
    </w:p>
    <w:p w14:paraId="05FB2FD4" w14:textId="77777777" w:rsidR="00250BEC" w:rsidRPr="00250BEC" w:rsidRDefault="00250BEC" w:rsidP="00250BEC">
      <w:pPr>
        <w:widowControl w:val="0"/>
        <w:ind w:firstLine="0"/>
        <w:contextualSpacing/>
        <w:jc w:val="center"/>
        <w:rPr>
          <w:rFonts w:ascii="PT Astra Serif" w:eastAsia="Calibri" w:hAnsi="PT Astra Serif" w:cs="Times New Roman"/>
          <w:b/>
          <w:szCs w:val="28"/>
        </w:rPr>
      </w:pPr>
    </w:p>
    <w:p w14:paraId="10669084"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Ключевыми направлениями деятельности сельских старост являются: </w:t>
      </w:r>
    </w:p>
    <w:p w14:paraId="49C2C9C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взаимодействие с органами местного самоуправления, муниципальными предприятиями, учреждениями и иными организациями по решению вопросов </w:t>
      </w:r>
      <w:r w:rsidRPr="00250BEC">
        <w:rPr>
          <w:rFonts w:ascii="PT Astra Serif" w:eastAsia="Calibri" w:hAnsi="PT Astra Serif" w:cs="Times New Roman"/>
          <w:szCs w:val="28"/>
        </w:rPr>
        <w:lastRenderedPageBreak/>
        <w:t xml:space="preserve">местного значения в сельском населенном пункте; </w:t>
      </w:r>
    </w:p>
    <w:p w14:paraId="50C3CF7A"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взаимодействие с населением, в том числе посредством участия </w:t>
      </w:r>
      <w:r w:rsidRPr="00250BEC">
        <w:rPr>
          <w:rFonts w:ascii="PT Astra Serif" w:eastAsia="Calibri" w:hAnsi="PT Astra Serif" w:cs="Times New Roman"/>
          <w:szCs w:val="28"/>
        </w:rPr>
        <w:br/>
        <w:t xml:space="preserve">в сходах, собраниях, конференциях граждан; </w:t>
      </w:r>
    </w:p>
    <w:p w14:paraId="02FB62A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информирование жителей сельского населенного пункта по вопросам организации и осуществления местного самоуправления, а также содействие </w:t>
      </w:r>
      <w:r w:rsidRPr="00250BEC">
        <w:rPr>
          <w:rFonts w:ascii="PT Astra Serif" w:eastAsia="Calibri" w:hAnsi="PT Astra Serif" w:cs="Times New Roman"/>
          <w:szCs w:val="28"/>
        </w:rPr>
        <w:br/>
        <w:t xml:space="preserve">в доведении до их сведения иной информации, полученной от органов местного самоуправления; </w:t>
      </w:r>
    </w:p>
    <w:p w14:paraId="0104404B"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содействие органам местного самоуправления в организации </w:t>
      </w:r>
      <w:r w:rsidRPr="00250BEC">
        <w:rPr>
          <w:rFonts w:ascii="PT Astra Serif" w:eastAsia="Calibri" w:hAnsi="PT Astra Serif" w:cs="Times New Roman"/>
          <w:szCs w:val="28"/>
        </w:rPr>
        <w:br/>
        <w:t xml:space="preserve">и проведении публичных слушаний и общественных обсуждений, обнародовании их результатов в сельском населенном пункте; </w:t>
      </w:r>
    </w:p>
    <w:p w14:paraId="1B232364"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отстаивание интересов жителей своего населенного пункта; </w:t>
      </w:r>
    </w:p>
    <w:p w14:paraId="2E1168E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связь с органами местного самоуправления, информирование </w:t>
      </w:r>
      <w:r w:rsidRPr="00250BEC">
        <w:rPr>
          <w:rFonts w:ascii="PT Astra Serif" w:eastAsia="Calibri" w:hAnsi="PT Astra Serif" w:cs="Times New Roman"/>
          <w:szCs w:val="28"/>
        </w:rPr>
        <w:br/>
        <w:t xml:space="preserve">о состоянии дел в сельском населенном пункте; </w:t>
      </w:r>
    </w:p>
    <w:p w14:paraId="6CF2016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помощь органам местного самоуправления в ведении профилактической работы с населением по благоустройству, содержанию, чистоте домов, улиц, мест общего пользования, улучшению экологического состояния, организации мест отдыха жителей, спортивных и детских площадок; </w:t>
      </w:r>
    </w:p>
    <w:p w14:paraId="1B2BC2D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помощь органам местного самоуправления в ведении профилактической работы с населением, направленной на обеспечение соблюдения требований безопасности жизнедеятельности (сходы граждан, подворные обходы, размещение и распространение агитационных материалов в общественных местах, проведение целевых инструктажей, ведение журналов); </w:t>
      </w:r>
    </w:p>
    <w:p w14:paraId="78DD7C4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размещение и доведение до населения наглядной информации (памяток, листовок, копий нормативных правовых актов); </w:t>
      </w:r>
    </w:p>
    <w:p w14:paraId="63F4A985"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участие в рассмотрении органами местного самоуправления внесенных сельским старостой по результатам проведения сходов, собраний, конференций граждан обращений и предложений, в том числе оформленных в виде проектов муниципальных правовых актов.</w:t>
      </w:r>
    </w:p>
    <w:p w14:paraId="3C184056"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Освоение денежных средств по данному мероприятию составило </w:t>
      </w:r>
      <w:r w:rsidRPr="00250BEC">
        <w:rPr>
          <w:rFonts w:ascii="PT Astra Serif" w:eastAsia="Calibri" w:hAnsi="PT Astra Serif" w:cs="Times New Roman"/>
          <w:szCs w:val="28"/>
        </w:rPr>
        <w:br/>
        <w:t xml:space="preserve">7 млн 139 тыс. рублей (94,1%) из предусмотренных 7 млн 590 тыс. рублей. Отклонение от планового значения обусловлено тем, что в 2025 году </w:t>
      </w:r>
      <w:r w:rsidRPr="00250BEC">
        <w:rPr>
          <w:rFonts w:ascii="PT Astra Serif" w:eastAsia="Calibri" w:hAnsi="PT Astra Serif" w:cs="Times New Roman"/>
          <w:szCs w:val="28"/>
        </w:rPr>
        <w:br/>
        <w:t>не все сельские старосты осуществляли свои полномочия весь год.</w:t>
      </w:r>
    </w:p>
    <w:p w14:paraId="09690819" w14:textId="77777777" w:rsidR="00250BEC" w:rsidRPr="00250BEC" w:rsidRDefault="00250BEC" w:rsidP="00250BEC">
      <w:pPr>
        <w:widowControl w:val="0"/>
        <w:contextualSpacing/>
        <w:rPr>
          <w:color w:val="000000" w:themeColor="text1"/>
          <w:highlight w:val="yellow"/>
          <w:shd w:val="clear" w:color="auto" w:fill="FFFFFF"/>
        </w:rPr>
      </w:pPr>
    </w:p>
    <w:p w14:paraId="1D686D4B" w14:textId="77777777" w:rsidR="00250BEC" w:rsidRPr="00250BEC" w:rsidRDefault="00250BEC" w:rsidP="00250BEC">
      <w:pPr>
        <w:widowControl w:val="0"/>
        <w:contextualSpacing/>
        <w:rPr>
          <w:color w:val="000000" w:themeColor="text1"/>
          <w:highlight w:val="yellow"/>
          <w:shd w:val="clear" w:color="auto" w:fill="FFFFFF"/>
        </w:rPr>
      </w:pPr>
      <w:r w:rsidRPr="00250BEC">
        <w:rPr>
          <w:color w:val="000000" w:themeColor="text1"/>
          <w:highlight w:val="yellow"/>
          <w:shd w:val="clear" w:color="auto" w:fill="FFFFFF"/>
        </w:rPr>
        <w:br w:type="page"/>
      </w:r>
    </w:p>
    <w:p w14:paraId="4A35914A" w14:textId="77777777" w:rsidR="00250BEC" w:rsidRPr="00250BEC" w:rsidRDefault="00250BEC" w:rsidP="00250BEC">
      <w:pPr>
        <w:widowControl w:val="0"/>
        <w:ind w:firstLine="0"/>
        <w:contextualSpacing/>
        <w:jc w:val="center"/>
        <w:outlineLvl w:val="0"/>
        <w:rPr>
          <w:szCs w:val="28"/>
        </w:rPr>
      </w:pPr>
      <w:bookmarkStart w:id="53" w:name="_Toc225327538"/>
      <w:bookmarkStart w:id="54" w:name="_Toc226016710"/>
      <w:r w:rsidRPr="00250BEC">
        <w:rPr>
          <w:rFonts w:cs="Calibri"/>
          <w:b/>
          <w:color w:val="000000"/>
          <w:szCs w:val="28"/>
        </w:rPr>
        <w:lastRenderedPageBreak/>
        <w:t>МЕЖДУНАРОДНАЯ И МЕЖРЕГИОНАЛЬНАЯ ПОЛИТИКА</w:t>
      </w:r>
      <w:bookmarkEnd w:id="53"/>
      <w:bookmarkEnd w:id="54"/>
      <w:r w:rsidRPr="00250BEC">
        <w:rPr>
          <w:rFonts w:cs="Calibri"/>
          <w:b/>
          <w:color w:val="000000"/>
          <w:szCs w:val="28"/>
        </w:rPr>
        <w:t xml:space="preserve"> </w:t>
      </w:r>
    </w:p>
    <w:p w14:paraId="0413A2D2" w14:textId="77777777" w:rsidR="00250BEC" w:rsidRPr="00250BEC" w:rsidRDefault="00250BEC" w:rsidP="00250BEC">
      <w:pPr>
        <w:widowControl w:val="0"/>
        <w:contextualSpacing/>
        <w:jc w:val="center"/>
        <w:rPr>
          <w:szCs w:val="28"/>
          <w:highlight w:val="yellow"/>
        </w:rPr>
      </w:pPr>
    </w:p>
    <w:p w14:paraId="005A0B1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целях обеспечения соблюдения принципа единства внешней политики Российской Федерации и повышения эффективности осуществления международных и внешнеэкономических связей в Ульяновской области выстроена система координации международной деятельности Ульяновской области, создана региональная нормативно-правовая база, которая включает </w:t>
      </w:r>
      <w:r w:rsidRPr="00250BEC">
        <w:rPr>
          <w:rFonts w:ascii="PT Astra Serif" w:eastAsia="Times New Roman" w:hAnsi="PT Astra Serif" w:cs="Times New Roman"/>
          <w:szCs w:val="28"/>
          <w:lang w:eastAsia="ru-RU"/>
        </w:rPr>
        <w:br/>
        <w:t>в себя в том числе:</w:t>
      </w:r>
    </w:p>
    <w:p w14:paraId="196818B2"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Закон Ульяновской области от 06.04.2016 № 37-ЗО «О соглашениях об осуществлении международных и внешнеэкономических связей Ульяновской области»;</w:t>
      </w:r>
    </w:p>
    <w:p w14:paraId="4988260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Закон Ульяновской области от 16.02.2024 № 10-ЗО «О правовом регулировании отдельных вопросов, связанных с осуществлением органами местного самоуправления муниципальных образований Ульяновской области международных и внешнеэкономических связей»;</w:t>
      </w:r>
    </w:p>
    <w:p w14:paraId="0726C532" w14:textId="77777777" w:rsidR="00250BEC" w:rsidRPr="00250BEC" w:rsidRDefault="00250BEC" w:rsidP="00250BEC">
      <w:pPr>
        <w:widowControl w:val="0"/>
        <w:contextualSpacing/>
        <w:rPr>
          <w:rFonts w:ascii="PT Astra Serif" w:eastAsia="Calibri" w:hAnsi="PT Astra Serif" w:cs="Times New Roman"/>
          <w:szCs w:val="28"/>
        </w:rPr>
      </w:pPr>
      <w:r w:rsidRPr="00250BEC">
        <w:rPr>
          <w:rFonts w:ascii="PT Astra Serif" w:eastAsia="Times New Roman" w:hAnsi="PT Astra Serif" w:cs="Times New Roman"/>
          <w:szCs w:val="28"/>
          <w:lang w:eastAsia="ru-RU"/>
        </w:rPr>
        <w:t xml:space="preserve">распоряжение Губернатора Ульяновской области от 29.12.2017 </w:t>
      </w:r>
      <w:r w:rsidRPr="00250BEC">
        <w:rPr>
          <w:rFonts w:ascii="PT Astra Serif" w:eastAsia="Times New Roman" w:hAnsi="PT Astra Serif" w:cs="Times New Roman"/>
          <w:spacing w:val="-20"/>
          <w:szCs w:val="28"/>
          <w:lang w:eastAsia="ru-RU"/>
        </w:rPr>
        <w:t>№ 1247-р</w:t>
      </w:r>
      <w:r w:rsidRPr="00250BEC">
        <w:rPr>
          <w:rFonts w:ascii="PT Astra Serif" w:eastAsia="Times New Roman" w:hAnsi="PT Astra Serif" w:cs="Times New Roman"/>
          <w:szCs w:val="28"/>
          <w:lang w:eastAsia="ru-RU"/>
        </w:rPr>
        <w:t xml:space="preserve"> «О координирующей роли управления внешних связей администрации Губернатора Ульяновской области в осуществлении международных, межрегиональных и внешнеэкономических связей Ульяновской области» </w:t>
      </w:r>
      <w:r w:rsidRPr="00250BEC">
        <w:rPr>
          <w:rFonts w:ascii="PT Astra Serif" w:eastAsia="Times New Roman" w:hAnsi="PT Astra Serif" w:cs="Times New Roman"/>
          <w:szCs w:val="28"/>
          <w:lang w:eastAsia="ru-RU"/>
        </w:rPr>
        <w:br/>
        <w:t>и другие.</w:t>
      </w:r>
    </w:p>
    <w:p w14:paraId="7567CA2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Ежегодно в конце декабря на основе предложений исполнительных органов Ульяновской области, подразделений администрации Губернатора Ульяновской области и институтов развития Ульяновской области формируется годовой план мероприятий в сфере развития международного </w:t>
      </w:r>
      <w:r w:rsidRPr="00250BEC">
        <w:rPr>
          <w:rFonts w:ascii="PT Astra Serif" w:eastAsia="Calibri" w:hAnsi="PT Astra Serif" w:cs="Times New Roman"/>
          <w:szCs w:val="28"/>
        </w:rPr>
        <w:br/>
        <w:t>и межрегионального сотрудничества области на очередной календарный год.</w:t>
      </w:r>
    </w:p>
    <w:p w14:paraId="29C25252" w14:textId="77777777" w:rsidR="00250BEC" w:rsidRPr="00250BEC" w:rsidRDefault="00250BEC" w:rsidP="00250BEC">
      <w:pPr>
        <w:rPr>
          <w:rFonts w:ascii="PT Astra Serif" w:eastAsia="Calibri" w:hAnsi="PT Astra Serif" w:cs="Times New Roman"/>
          <w:szCs w:val="28"/>
        </w:rPr>
      </w:pPr>
      <w:r w:rsidRPr="00250BEC">
        <w:rPr>
          <w:rFonts w:ascii="PT Astra Serif" w:eastAsia="Calibri" w:hAnsi="PT Astra Serif" w:cs="Times New Roman"/>
          <w:szCs w:val="28"/>
        </w:rPr>
        <w:t xml:space="preserve">План мероприятий на 2026 год был рассмотрен 22 января 2026 года </w:t>
      </w:r>
      <w:r w:rsidRPr="00250BEC">
        <w:rPr>
          <w:rFonts w:ascii="PT Astra Serif" w:eastAsia="Calibri" w:hAnsi="PT Astra Serif" w:cs="Times New Roman"/>
          <w:szCs w:val="28"/>
        </w:rPr>
        <w:br/>
        <w:t xml:space="preserve">в ходе совместного заседания Губернаторского совета по вопросам развития международных, внешнеэкономических связей и межрегионального сотрудничества и продвижения Ульяновской области на международном </w:t>
      </w:r>
      <w:r w:rsidRPr="00250BEC">
        <w:rPr>
          <w:rFonts w:ascii="PT Astra Serif" w:eastAsia="Calibri" w:hAnsi="PT Astra Serif" w:cs="Times New Roman"/>
          <w:szCs w:val="28"/>
        </w:rPr>
        <w:br/>
        <w:t xml:space="preserve">и межрегиональном уровне и Экспортного совета при Губернаторе Ульяновской области и </w:t>
      </w:r>
      <w:proofErr w:type="spellStart"/>
      <w:r w:rsidRPr="00250BEC">
        <w:rPr>
          <w:rFonts w:ascii="PT Astra Serif" w:eastAsia="Calibri" w:hAnsi="PT Astra Serif" w:cs="Times New Roman"/>
          <w:szCs w:val="28"/>
        </w:rPr>
        <w:t>утвеждён</w:t>
      </w:r>
      <w:proofErr w:type="spellEnd"/>
      <w:r w:rsidRPr="00250BEC">
        <w:rPr>
          <w:rFonts w:ascii="PT Astra Serif" w:eastAsia="Calibri" w:hAnsi="PT Astra Serif" w:cs="Times New Roman"/>
          <w:szCs w:val="28"/>
        </w:rPr>
        <w:t xml:space="preserve"> Губернатором Ульяновской области А.Ю. Русских 02 февраля 2026 года (№17-ПЛ).</w:t>
      </w:r>
    </w:p>
    <w:p w14:paraId="1EDCD0DC"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течение 2025 года состоялось </w:t>
      </w:r>
      <w:r w:rsidRPr="00250BEC">
        <w:rPr>
          <w:rFonts w:ascii="PT Astra Serif" w:eastAsia="Calibri" w:hAnsi="PT Astra Serif" w:cs="Times New Roman"/>
          <w:b/>
          <w:szCs w:val="28"/>
        </w:rPr>
        <w:t>более</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580 мероприятий международного и межрегионального характера</w:t>
      </w:r>
      <w:r w:rsidRPr="00250BEC">
        <w:rPr>
          <w:rFonts w:ascii="PT Astra Serif" w:eastAsia="Calibri" w:hAnsi="PT Astra Serif" w:cs="Times New Roman"/>
          <w:szCs w:val="28"/>
        </w:rPr>
        <w:t xml:space="preserve"> политической, экономической и культурно-гуманитарной направленности. </w:t>
      </w:r>
    </w:p>
    <w:p w14:paraId="18453CD3" w14:textId="77777777" w:rsidR="00250BEC" w:rsidRPr="00250BEC" w:rsidRDefault="00250BEC" w:rsidP="00250BEC">
      <w:pPr>
        <w:widowControl w:val="0"/>
        <w:rPr>
          <w:rFonts w:ascii="PT Astra Serif" w:eastAsia="Calibri" w:hAnsi="PT Astra Serif" w:cs="Times New Roman"/>
          <w:szCs w:val="28"/>
        </w:rPr>
      </w:pPr>
    </w:p>
    <w:p w14:paraId="333B2745" w14:textId="77777777" w:rsidR="00250BEC" w:rsidRPr="00250BEC" w:rsidRDefault="00250BEC" w:rsidP="00250BEC">
      <w:pPr>
        <w:widowControl w:val="0"/>
        <w:ind w:firstLine="0"/>
        <w:jc w:val="center"/>
        <w:rPr>
          <w:rFonts w:ascii="PT Astra Serif" w:eastAsia="Calibri" w:hAnsi="PT Astra Serif" w:cs="Times New Roman"/>
          <w:b/>
          <w:szCs w:val="28"/>
        </w:rPr>
      </w:pPr>
      <w:r w:rsidRPr="00250BEC">
        <w:rPr>
          <w:rFonts w:ascii="PT Astra Serif" w:eastAsia="Calibri" w:hAnsi="PT Astra Serif" w:cs="Times New Roman"/>
          <w:b/>
          <w:szCs w:val="28"/>
        </w:rPr>
        <w:t>Международная деятельность</w:t>
      </w:r>
    </w:p>
    <w:p w14:paraId="7F5E59E1" w14:textId="77777777" w:rsidR="00250BEC" w:rsidRPr="00250BEC" w:rsidRDefault="00250BEC" w:rsidP="00250BEC">
      <w:pPr>
        <w:widowControl w:val="0"/>
        <w:rPr>
          <w:rFonts w:ascii="PT Astra Serif" w:eastAsia="Calibri" w:hAnsi="PT Astra Serif" w:cs="Times New Roman"/>
          <w:b/>
          <w:szCs w:val="28"/>
        </w:rPr>
      </w:pPr>
    </w:p>
    <w:p w14:paraId="61AB0871"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 xml:space="preserve">В 2025 году Ульяновская область поддерживала контакты </w:t>
      </w:r>
      <w:r w:rsidRPr="00250BEC">
        <w:rPr>
          <w:rFonts w:ascii="PT Astra Serif" w:eastAsia="Calibri" w:hAnsi="PT Astra Serif" w:cs="Times New Roman"/>
          <w:b/>
          <w:szCs w:val="28"/>
        </w:rPr>
        <w:br/>
        <w:t>с официальными лицами и деловыми партнёрами из стран СНГ</w:t>
      </w:r>
      <w:r w:rsidRPr="00250BEC">
        <w:rPr>
          <w:rFonts w:ascii="PT Astra Serif" w:eastAsia="Calibri" w:hAnsi="PT Astra Serif" w:cs="Times New Roman"/>
          <w:szCs w:val="28"/>
        </w:rPr>
        <w:t xml:space="preserve"> </w:t>
      </w:r>
      <w:r w:rsidRPr="00250BEC">
        <w:rPr>
          <w:rFonts w:ascii="PT Astra Serif" w:eastAsia="Calibri" w:hAnsi="PT Astra Serif" w:cs="Times New Roman"/>
          <w:i/>
          <w:szCs w:val="28"/>
        </w:rPr>
        <w:t>(Азербайджана, Армении, Беларуси, Казахстана, Киргизии, Молдовы, Таджикистана, Туркменистана и Узбекистана)</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и Южной Осетии</w:t>
      </w:r>
      <w:r w:rsidRPr="00250BEC">
        <w:rPr>
          <w:rFonts w:ascii="PT Astra Serif" w:eastAsia="Calibri" w:hAnsi="PT Astra Serif" w:cs="Times New Roman"/>
          <w:szCs w:val="28"/>
        </w:rPr>
        <w:t>;</w:t>
      </w:r>
    </w:p>
    <w:p w14:paraId="796FD30E" w14:textId="77777777" w:rsidR="00250BEC" w:rsidRPr="00250BEC" w:rsidRDefault="00250BEC" w:rsidP="00250BEC">
      <w:pPr>
        <w:widowControl w:val="0"/>
        <w:rPr>
          <w:rFonts w:ascii="PT Astra Serif" w:eastAsia="Times New Roman" w:hAnsi="PT Astra Serif" w:cs="Times New Roman"/>
          <w:szCs w:val="28"/>
          <w:lang w:eastAsia="ru-RU"/>
        </w:rPr>
      </w:pPr>
      <w:r w:rsidRPr="00250BEC">
        <w:rPr>
          <w:rFonts w:ascii="PT Astra Serif" w:eastAsia="Calibri" w:hAnsi="PT Astra Serif" w:cs="Times New Roman"/>
          <w:b/>
          <w:szCs w:val="28"/>
        </w:rPr>
        <w:t>а также из 62 стран дальнего зарубежья:</w:t>
      </w:r>
      <w:r w:rsidRPr="00250BEC">
        <w:rPr>
          <w:rFonts w:ascii="PT Astra Serif" w:eastAsia="Times New Roman" w:hAnsi="PT Astra Serif" w:cs="Times New Roman"/>
          <w:szCs w:val="28"/>
          <w:lang w:eastAsia="ru-RU"/>
        </w:rPr>
        <w:t xml:space="preserve"> </w:t>
      </w:r>
    </w:p>
    <w:p w14:paraId="5200B18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первую очередь</w:t>
      </w:r>
      <w:r w:rsidRPr="00250BEC">
        <w:rPr>
          <w:rFonts w:ascii="PT Astra Serif" w:eastAsia="Times New Roman" w:hAnsi="PT Astra Serif" w:cs="Times New Roman"/>
          <w:b/>
          <w:szCs w:val="28"/>
          <w:lang w:eastAsia="ru-RU"/>
        </w:rPr>
        <w:t xml:space="preserve"> из стран объединения БРИКС </w:t>
      </w:r>
      <w:r w:rsidRPr="00250BEC">
        <w:rPr>
          <w:rFonts w:ascii="PT Astra Serif" w:eastAsia="Times New Roman" w:hAnsi="PT Astra Serif" w:cs="Times New Roman"/>
          <w:i/>
          <w:szCs w:val="28"/>
          <w:lang w:eastAsia="ru-RU"/>
        </w:rPr>
        <w:t>(Бразилии, Египта, Индии, Индонезии, Ирана, Китая, ОАЭ, Эфиопии, ЮАР)</w:t>
      </w:r>
      <w:r w:rsidRPr="00250BEC">
        <w:rPr>
          <w:rFonts w:ascii="PT Astra Serif" w:eastAsia="Times New Roman" w:hAnsi="PT Astra Serif" w:cs="Times New Roman"/>
          <w:szCs w:val="28"/>
          <w:lang w:eastAsia="ru-RU"/>
        </w:rPr>
        <w:t xml:space="preserve">; </w:t>
      </w:r>
    </w:p>
    <w:p w14:paraId="7FA7622E"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lastRenderedPageBreak/>
        <w:t>государств Юго-Восточной, Юго-Западной и Южной Азии</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w:t>
      </w:r>
      <w:proofErr w:type="spellStart"/>
      <w:r w:rsidRPr="00250BEC">
        <w:rPr>
          <w:rFonts w:ascii="PT Astra Serif" w:eastAsia="Times New Roman" w:hAnsi="PT Astra Serif" w:cs="Times New Roman"/>
          <w:i/>
          <w:szCs w:val="28"/>
          <w:lang w:eastAsia="ru-RU"/>
        </w:rPr>
        <w:t>Бангладеша</w:t>
      </w:r>
      <w:proofErr w:type="spellEnd"/>
      <w:r w:rsidRPr="00250BEC">
        <w:rPr>
          <w:rFonts w:ascii="PT Astra Serif" w:eastAsia="Times New Roman" w:hAnsi="PT Astra Serif" w:cs="Times New Roman"/>
          <w:i/>
          <w:szCs w:val="28"/>
          <w:lang w:eastAsia="ru-RU"/>
        </w:rPr>
        <w:t>, Вьетнама, Катара, Малайзии, Мьянмы, Омана, Пакистана, Саудовской Аравии, Таиланда, Шри-Ланки)</w:t>
      </w:r>
      <w:r w:rsidRPr="00250BEC">
        <w:rPr>
          <w:rFonts w:ascii="PT Astra Serif" w:eastAsia="Times New Roman" w:hAnsi="PT Astra Serif" w:cs="Times New Roman"/>
          <w:szCs w:val="28"/>
          <w:lang w:eastAsia="ru-RU"/>
        </w:rPr>
        <w:t>;</w:t>
      </w:r>
    </w:p>
    <w:p w14:paraId="536E6C41"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 xml:space="preserve">государств Африки </w:t>
      </w:r>
      <w:r w:rsidRPr="00250BEC">
        <w:rPr>
          <w:rFonts w:ascii="PT Astra Serif" w:eastAsia="Times New Roman" w:hAnsi="PT Astra Serif" w:cs="Times New Roman"/>
          <w:i/>
          <w:szCs w:val="28"/>
          <w:lang w:eastAsia="ru-RU"/>
        </w:rPr>
        <w:t>(Алжира, Анголы, Бенина, Габона, Гамбии, Ганы, Гвинеи-Бисау, Джибути, Замбии, Зимбабве, Камеруна, Кении, Конго, Кот-д’Ивуара, Либерии, Маврикия, Малави, Мали, Марокко,</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Мозамбика,</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Нигера, Нигерии</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Сомали, Судана, Сьерры-Леоне, Танзании, Того, Туниса, Уганды, Чада)</w:t>
      </w:r>
      <w:r w:rsidRPr="00250BEC">
        <w:rPr>
          <w:rFonts w:ascii="PT Astra Serif" w:eastAsia="Times New Roman" w:hAnsi="PT Astra Serif" w:cs="Times New Roman"/>
          <w:szCs w:val="28"/>
          <w:lang w:eastAsia="ru-RU"/>
        </w:rPr>
        <w:t>;</w:t>
      </w:r>
    </w:p>
    <w:p w14:paraId="4E3BE90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государств Латинской Америки</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b/>
          <w:szCs w:val="28"/>
          <w:lang w:eastAsia="ru-RU"/>
        </w:rPr>
        <w:t>и Карибского бассейна</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 xml:space="preserve">(Аргентины, Боливии, Венесуэлы, Гаити, Гватемалы, </w:t>
      </w:r>
      <w:proofErr w:type="spellStart"/>
      <w:r w:rsidRPr="00250BEC">
        <w:rPr>
          <w:rFonts w:ascii="PT Astra Serif" w:eastAsia="Times New Roman" w:hAnsi="PT Astra Serif" w:cs="Times New Roman"/>
          <w:i/>
          <w:szCs w:val="28"/>
          <w:lang w:eastAsia="ru-RU"/>
        </w:rPr>
        <w:t>Доминиканы</w:t>
      </w:r>
      <w:proofErr w:type="spellEnd"/>
      <w:r w:rsidRPr="00250BEC">
        <w:rPr>
          <w:rFonts w:ascii="PT Astra Serif" w:eastAsia="Times New Roman" w:hAnsi="PT Astra Serif" w:cs="Times New Roman"/>
          <w:i/>
          <w:szCs w:val="28"/>
          <w:lang w:eastAsia="ru-RU"/>
        </w:rPr>
        <w:t>, Колумбии, Кубы, Сальвадора, Уругвая, Эквадора)</w:t>
      </w:r>
      <w:r w:rsidRPr="00250BEC">
        <w:rPr>
          <w:rFonts w:ascii="PT Astra Serif" w:eastAsia="Times New Roman" w:hAnsi="PT Astra Serif" w:cs="Times New Roman"/>
          <w:szCs w:val="28"/>
          <w:lang w:eastAsia="ru-RU"/>
        </w:rPr>
        <w:t>;</w:t>
      </w:r>
    </w:p>
    <w:p w14:paraId="6B67B590"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государств Среднего и Ближнего Востока</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i/>
          <w:szCs w:val="28"/>
          <w:lang w:eastAsia="ru-RU"/>
        </w:rPr>
        <w:t>(Афганистана, Иордании, Ирака, Ливана, Палестины, Сирии)</w:t>
      </w:r>
      <w:r w:rsidRPr="00250BEC">
        <w:rPr>
          <w:rFonts w:ascii="PT Astra Serif" w:eastAsia="Times New Roman" w:hAnsi="PT Astra Serif" w:cs="Times New Roman"/>
          <w:szCs w:val="28"/>
          <w:lang w:eastAsia="ru-RU"/>
        </w:rPr>
        <w:t>;</w:t>
      </w:r>
    </w:p>
    <w:p w14:paraId="04AD577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а также</w:t>
      </w:r>
      <w:r w:rsidRPr="00250BEC">
        <w:rPr>
          <w:rFonts w:ascii="PT Astra Serif" w:eastAsia="Times New Roman" w:hAnsi="PT Astra Serif" w:cs="Times New Roman"/>
          <w:szCs w:val="28"/>
          <w:lang w:eastAsia="ru-RU"/>
        </w:rPr>
        <w:t xml:space="preserve"> Сербии, Словении и Турции. </w:t>
      </w:r>
    </w:p>
    <w:p w14:paraId="09013757"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szCs w:val="28"/>
        </w:rPr>
        <w:t xml:space="preserve">В течение 2025 года состоялось </w:t>
      </w:r>
      <w:r w:rsidRPr="00250BEC">
        <w:rPr>
          <w:rFonts w:ascii="PT Astra Serif" w:eastAsia="Calibri" w:hAnsi="PT Astra Serif" w:cs="Times New Roman"/>
          <w:b/>
          <w:szCs w:val="28"/>
        </w:rPr>
        <w:t>более 350 международных мероприятий</w:t>
      </w:r>
      <w:r w:rsidRPr="00250BEC">
        <w:rPr>
          <w:rFonts w:ascii="PT Astra Serif" w:eastAsia="Calibri" w:hAnsi="PT Astra Serif" w:cs="Times New Roman"/>
          <w:szCs w:val="28"/>
        </w:rPr>
        <w:t xml:space="preserve">, в том числе </w:t>
      </w:r>
      <w:r w:rsidRPr="00250BEC">
        <w:rPr>
          <w:rFonts w:ascii="PT Astra Serif" w:eastAsia="Calibri" w:hAnsi="PT Astra Serif" w:cs="Times New Roman"/>
          <w:b/>
          <w:szCs w:val="28"/>
        </w:rPr>
        <w:t>8 визитов официальных делегаций Ульяновской области в иностранные государства:</w:t>
      </w:r>
    </w:p>
    <w:p w14:paraId="0EB4C68C" w14:textId="098FC3DC" w:rsidR="00250BEC" w:rsidRPr="00250BEC" w:rsidRDefault="00250BEC" w:rsidP="00250BEC">
      <w:pPr>
        <w:widowControl w:val="0"/>
        <w:tabs>
          <w:tab w:val="left" w:pos="567"/>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визиты официальных делегаций под руководством Губернатора Ульяновской области Русских А.Ю. в Индию (23-27 февраля) и в Беларусь </w:t>
      </w:r>
      <w:r w:rsidR="00CD6F7B">
        <w:rPr>
          <w:rFonts w:ascii="PT Astra Serif" w:eastAsia="Times New Roman" w:hAnsi="PT Astra Serif" w:cs="Times New Roman"/>
          <w:bCs/>
          <w:szCs w:val="28"/>
          <w:lang w:eastAsia="ru-RU"/>
        </w:rPr>
        <w:br/>
      </w:r>
      <w:r w:rsidRPr="00250BEC">
        <w:rPr>
          <w:rFonts w:ascii="PT Astra Serif" w:eastAsia="Times New Roman" w:hAnsi="PT Astra Serif" w:cs="Times New Roman"/>
          <w:bCs/>
          <w:szCs w:val="28"/>
          <w:lang w:eastAsia="ru-RU"/>
        </w:rPr>
        <w:t>(28 сентября – 1 октября);</w:t>
      </w:r>
    </w:p>
    <w:p w14:paraId="48319657" w14:textId="178DF227" w:rsidR="00250BEC" w:rsidRPr="00250BEC" w:rsidRDefault="00250BEC" w:rsidP="00250BEC">
      <w:pPr>
        <w:widowControl w:val="0"/>
        <w:tabs>
          <w:tab w:val="left" w:pos="567"/>
        </w:tabs>
        <w:contextualSpacing/>
        <w:rPr>
          <w:rFonts w:ascii="PT Astra Serif" w:eastAsia="Times New Roman" w:hAnsi="PT Astra Serif" w:cs="Times New Roman"/>
          <w:bCs/>
          <w:color w:val="000000"/>
          <w:spacing w:val="4"/>
          <w:szCs w:val="28"/>
          <w:lang w:eastAsia="ar-SA"/>
        </w:rPr>
      </w:pPr>
      <w:r w:rsidRPr="00250BEC">
        <w:rPr>
          <w:rFonts w:ascii="PT Astra Serif" w:eastAsia="Times New Roman" w:hAnsi="PT Astra Serif" w:cs="Times New Roman"/>
          <w:bCs/>
          <w:color w:val="000000"/>
          <w:spacing w:val="4"/>
          <w:szCs w:val="28"/>
          <w:lang w:eastAsia="ar-SA"/>
        </w:rPr>
        <w:t xml:space="preserve">заместитель Председателя Правительства Ульяновской области – полномочный представитель Губернатора Ульяновской области при Правительстве Российской Федерации О.В. Кабанов посетил </w:t>
      </w:r>
      <w:r w:rsidRPr="00250BEC">
        <w:rPr>
          <w:rFonts w:ascii="PT Astra Serif" w:eastAsia="Times New Roman" w:hAnsi="PT Astra Serif" w:cs="Times New Roman"/>
          <w:szCs w:val="28"/>
          <w:lang w:eastAsia="ru-RU"/>
        </w:rPr>
        <w:t>Китай</w:t>
      </w:r>
      <w:r w:rsidRPr="00250BEC">
        <w:rPr>
          <w:rFonts w:ascii="PT Astra Serif" w:eastAsia="Times New Roman" w:hAnsi="PT Astra Serif" w:cs="Times New Roman"/>
          <w:szCs w:val="28"/>
          <w:lang w:eastAsia="ru-RU"/>
        </w:rPr>
        <w:br/>
        <w:t xml:space="preserve">с целью участия в пятом заседании Российско-Китайской постоянной рабочей группы по вопросам межрегионального и приграничного сотрудничества и особых экономических зон Подкомиссии по торгово-экономическому сотрудничеству Комиссии по подготовке регулярных встреч глав </w:t>
      </w:r>
      <w:r w:rsidRPr="00250BEC">
        <w:rPr>
          <w:rFonts w:ascii="PT Astra Serif" w:eastAsia="Times New Roman" w:hAnsi="PT Astra Serif" w:cs="Times New Roman"/>
          <w:bCs/>
          <w:color w:val="000000"/>
          <w:spacing w:val="4"/>
          <w:szCs w:val="28"/>
          <w:lang w:eastAsia="ar-SA"/>
        </w:rPr>
        <w:t>правительств России и Китая (14-17 сентября);</w:t>
      </w:r>
    </w:p>
    <w:p w14:paraId="31616B43" w14:textId="444DADC1" w:rsidR="00250BEC" w:rsidRPr="00250BEC" w:rsidRDefault="00250BEC" w:rsidP="00250BEC">
      <w:pPr>
        <w:rPr>
          <w:rFonts w:ascii="PT Astra Serif" w:eastAsia="Times New Roman" w:hAnsi="PT Astra Serif" w:cs="Times New Roman"/>
          <w:bCs/>
          <w:color w:val="000000"/>
          <w:spacing w:val="4"/>
          <w:szCs w:val="28"/>
          <w:lang w:eastAsia="ar-SA"/>
        </w:rPr>
      </w:pPr>
      <w:r w:rsidRPr="00250BEC">
        <w:rPr>
          <w:rFonts w:ascii="PT Astra Serif" w:eastAsia="Times New Roman" w:hAnsi="PT Astra Serif" w:cs="Times New Roman"/>
          <w:bCs/>
          <w:color w:val="000000"/>
          <w:spacing w:val="4"/>
          <w:szCs w:val="28"/>
          <w:lang w:eastAsia="ar-SA"/>
        </w:rPr>
        <w:t>заместитель Председателя Правительства Ульяновской области В.И. Андреев и Министр молодёжного развития Ульяновской области А.Э. Мирошников прошли обучение в г. Минске (Беларусь) по программе профессиональной переподготовки лиц, включённых в федеральный кадровый резерв на государственной гражданской службе Российской Федерации (19-25 октября);</w:t>
      </w:r>
    </w:p>
    <w:p w14:paraId="015CB326" w14:textId="2022EBF3" w:rsidR="00250BEC" w:rsidRPr="00250BEC" w:rsidRDefault="00250BEC" w:rsidP="00250BEC">
      <w:pPr>
        <w:widowControl w:val="0"/>
        <w:tabs>
          <w:tab w:val="left" w:pos="567"/>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Министр молодёжного развития Ульяновской области А.Э. Мирошников посетил Китай, возглавив молодёжную делегацию региона на </w:t>
      </w:r>
      <w:r w:rsidRPr="00250BEC">
        <w:rPr>
          <w:rFonts w:ascii="PT Astra Serif" w:eastAsia="Times New Roman" w:hAnsi="PT Astra Serif" w:cs="Times New Roman"/>
          <w:bCs/>
          <w:szCs w:val="28"/>
          <w:lang w:val="en-US" w:eastAsia="ru-RU"/>
        </w:rPr>
        <w:t>X</w:t>
      </w:r>
      <w:r w:rsidRPr="00250BEC">
        <w:rPr>
          <w:rFonts w:ascii="PT Astra Serif" w:eastAsia="Times New Roman" w:hAnsi="PT Astra Serif" w:cs="Times New Roman"/>
          <w:bCs/>
          <w:szCs w:val="28"/>
          <w:lang w:eastAsia="ru-RU"/>
        </w:rPr>
        <w:t xml:space="preserve"> Российско-Китайской молодёжном форуме в формате «Волга-Янцзы» </w:t>
      </w:r>
      <w:r w:rsidR="00CD6F7B">
        <w:rPr>
          <w:rFonts w:ascii="PT Astra Serif" w:eastAsia="Times New Roman" w:hAnsi="PT Astra Serif" w:cs="Times New Roman"/>
          <w:bCs/>
          <w:szCs w:val="28"/>
          <w:lang w:eastAsia="ru-RU"/>
        </w:rPr>
        <w:br/>
      </w:r>
      <w:r w:rsidRPr="00250BEC">
        <w:rPr>
          <w:rFonts w:ascii="PT Astra Serif" w:eastAsia="Times New Roman" w:hAnsi="PT Astra Serif" w:cs="Times New Roman"/>
          <w:bCs/>
          <w:szCs w:val="28"/>
          <w:lang w:eastAsia="ru-RU"/>
        </w:rPr>
        <w:t>(20-26 августа) и Южную Осетию с целью участия в мероприятиях Международного экономического форума «Южная Осетия. Горизонты инвестиций» в г. Цхинвале (18-20 сентября);</w:t>
      </w:r>
    </w:p>
    <w:p w14:paraId="5C51690F" w14:textId="0BC655C5" w:rsidR="00250BEC" w:rsidRPr="00250BEC" w:rsidRDefault="00250BEC" w:rsidP="00250BEC">
      <w:pPr>
        <w:widowControl w:val="0"/>
        <w:tabs>
          <w:tab w:val="left" w:pos="567"/>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заместитель Министра молодёжного развития Ульяновской области Т.Н. Арсентьева посетила Казахстан с целью участия в работе </w:t>
      </w:r>
      <w:r w:rsidRPr="00250BEC">
        <w:rPr>
          <w:rFonts w:ascii="PT Astra Serif" w:eastAsia="Times New Roman" w:hAnsi="PT Astra Serif" w:cs="Times New Roman"/>
          <w:bCs/>
          <w:szCs w:val="28"/>
          <w:lang w:val="en-US" w:eastAsia="ru-RU"/>
        </w:rPr>
        <w:t>XXI</w:t>
      </w:r>
      <w:r w:rsidRPr="00250BEC">
        <w:rPr>
          <w:rFonts w:ascii="PT Astra Serif" w:eastAsia="Times New Roman" w:hAnsi="PT Astra Serif" w:cs="Times New Roman"/>
          <w:bCs/>
          <w:szCs w:val="28"/>
          <w:lang w:eastAsia="ru-RU"/>
        </w:rPr>
        <w:t xml:space="preserve"> Форума межрегионального сотрудничества России и Казахстана в г. Уральске</w:t>
      </w:r>
      <w:r w:rsidRPr="00250BEC">
        <w:rPr>
          <w:rFonts w:ascii="PT Astra Serif" w:eastAsia="Times New Roman" w:hAnsi="PT Astra Serif" w:cs="Times New Roman"/>
          <w:bCs/>
          <w:szCs w:val="28"/>
          <w:lang w:eastAsia="ru-RU"/>
        </w:rPr>
        <w:br/>
        <w:t>(11-12 ноября);</w:t>
      </w:r>
    </w:p>
    <w:p w14:paraId="3A383D64" w14:textId="77777777" w:rsidR="00250BEC" w:rsidRPr="00250BEC" w:rsidRDefault="00250BEC" w:rsidP="00250BEC">
      <w:pPr>
        <w:widowControl w:val="0"/>
        <w:tabs>
          <w:tab w:val="left" w:pos="567"/>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szCs w:val="28"/>
          <w:lang w:eastAsia="ru-RU"/>
        </w:rPr>
        <w:t>представители Правительства Ульяновской области принимали участие</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lastRenderedPageBreak/>
        <w:t xml:space="preserve">в миссии наблюдателей от Содружества Независимых Государств на выборах Президента Республики Беларусь в г. Минске </w:t>
      </w:r>
      <w:r w:rsidRPr="00250BEC">
        <w:rPr>
          <w:rFonts w:ascii="PT Astra Serif" w:eastAsia="Times New Roman" w:hAnsi="PT Astra Serif" w:cs="Times New Roman"/>
          <w:bCs/>
          <w:szCs w:val="28"/>
          <w:lang w:eastAsia="ru-RU"/>
        </w:rPr>
        <w:t>(26 января)</w:t>
      </w:r>
      <w:r w:rsidRPr="00250BEC">
        <w:rPr>
          <w:rFonts w:ascii="PT Astra Serif" w:eastAsia="Times New Roman" w:hAnsi="PT Astra Serif" w:cs="Times New Roman"/>
          <w:szCs w:val="28"/>
          <w:lang w:eastAsia="ru-RU"/>
        </w:rPr>
        <w:t>.</w:t>
      </w:r>
    </w:p>
    <w:p w14:paraId="1A97FB93" w14:textId="77777777" w:rsidR="00250BEC" w:rsidRPr="00250BEC" w:rsidRDefault="00250BEC" w:rsidP="00250BEC">
      <w:pPr>
        <w:widowControl w:val="0"/>
        <w:tabs>
          <w:tab w:val="left" w:pos="993"/>
        </w:tabs>
        <w:rPr>
          <w:rFonts w:ascii="PT Astra Serif" w:eastAsia="Calibri" w:hAnsi="PT Astra Serif" w:cs="Times New Roman"/>
          <w:b/>
          <w:szCs w:val="28"/>
        </w:rPr>
      </w:pPr>
      <w:r w:rsidRPr="00250BEC">
        <w:rPr>
          <w:rFonts w:ascii="PT Astra Serif" w:eastAsia="Calibri" w:hAnsi="PT Astra Serif" w:cs="Times New Roman"/>
          <w:szCs w:val="28"/>
        </w:rPr>
        <w:t xml:space="preserve">В целях знакомства с торгово-экономическим, промышленным </w:t>
      </w:r>
      <w:r w:rsidRPr="00250BEC">
        <w:rPr>
          <w:rFonts w:ascii="PT Astra Serif" w:eastAsia="Calibri" w:hAnsi="PT Astra Serif" w:cs="Times New Roman"/>
          <w:szCs w:val="28"/>
        </w:rPr>
        <w:br/>
        <w:t xml:space="preserve">и культурно-гуманитарным потенциалом Ульяновской области и проведения деловых переговоров о дальнейшем развитии двустороннего сотрудничества в 2025 году Ульяновскую область посетили </w:t>
      </w:r>
      <w:r w:rsidRPr="00250BEC">
        <w:rPr>
          <w:rFonts w:ascii="PT Astra Serif" w:eastAsia="Calibri" w:hAnsi="PT Astra Serif" w:cs="Times New Roman"/>
          <w:b/>
          <w:szCs w:val="28"/>
        </w:rPr>
        <w:t xml:space="preserve">представители дипломатических представительств иностранных государств в России </w:t>
      </w:r>
      <w:r w:rsidRPr="00250BEC">
        <w:rPr>
          <w:rFonts w:ascii="PT Astra Serif" w:eastAsia="Calibri" w:hAnsi="PT Astra Serif" w:cs="Times New Roman"/>
          <w:b/>
          <w:szCs w:val="28"/>
        </w:rPr>
        <w:br/>
        <w:t>и административно-территориальных образований иностранных государств:</w:t>
      </w:r>
    </w:p>
    <w:p w14:paraId="539AEC80" w14:textId="7EAEA8FB" w:rsidR="00250BEC" w:rsidRPr="00250BEC" w:rsidRDefault="00250BEC" w:rsidP="00250BEC">
      <w:pPr>
        <w:widowControl w:val="0"/>
        <w:tabs>
          <w:tab w:val="left" w:pos="993"/>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генеральные консулы Узбекистана (17-18 января), Ирана (17-18 января, 21 февраля и 23-24 октября) и Киргизии (30 октября</w:t>
      </w:r>
      <w:r w:rsidR="00CD6F7B">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bCs/>
          <w:szCs w:val="28"/>
          <w:lang w:eastAsia="ru-RU"/>
        </w:rPr>
        <w:t>–</w:t>
      </w:r>
      <w:r w:rsidR="00CD6F7B">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bCs/>
          <w:szCs w:val="28"/>
          <w:lang w:eastAsia="ru-RU"/>
        </w:rPr>
        <w:t xml:space="preserve">1 ноября) </w:t>
      </w:r>
      <w:r w:rsidRPr="00250BEC">
        <w:rPr>
          <w:rFonts w:ascii="PT Astra Serif" w:eastAsia="Times New Roman" w:hAnsi="PT Astra Serif" w:cs="Times New Roman"/>
          <w:bCs/>
          <w:szCs w:val="28"/>
          <w:lang w:eastAsia="ru-RU"/>
        </w:rPr>
        <w:br/>
        <w:t>в г. Казани, Вьетнама в г. Екатеринбурге (16-17 мая и 16-18 июля);</w:t>
      </w:r>
    </w:p>
    <w:p w14:paraId="796FC9E1" w14:textId="0CC60032" w:rsidR="00250BEC" w:rsidRPr="00250BEC" w:rsidRDefault="00250BEC" w:rsidP="00250BEC">
      <w:pPr>
        <w:widowControl w:val="0"/>
        <w:tabs>
          <w:tab w:val="left" w:pos="993"/>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советники Генерального консульства Казахстана (18 января) </w:t>
      </w:r>
      <w:r w:rsidRPr="00250BEC">
        <w:rPr>
          <w:rFonts w:ascii="PT Astra Serif" w:eastAsia="Times New Roman" w:hAnsi="PT Astra Serif" w:cs="Times New Roman"/>
          <w:bCs/>
          <w:szCs w:val="28"/>
          <w:lang w:eastAsia="ru-RU"/>
        </w:rPr>
        <w:br/>
        <w:t xml:space="preserve">и отделения Посольства Беларуси в Российской Федерации (18 января </w:t>
      </w:r>
      <w:r w:rsidRPr="00250BEC">
        <w:rPr>
          <w:rFonts w:ascii="PT Astra Serif" w:eastAsia="Times New Roman" w:hAnsi="PT Astra Serif" w:cs="Times New Roman"/>
          <w:bCs/>
          <w:szCs w:val="28"/>
          <w:lang w:eastAsia="ru-RU"/>
        </w:rPr>
        <w:br/>
        <w:t>и 25-28 ноября) в г. Казани;</w:t>
      </w:r>
    </w:p>
    <w:p w14:paraId="50A0C5B5" w14:textId="11793E26" w:rsidR="00250BEC" w:rsidRPr="00250BEC" w:rsidRDefault="00250BEC" w:rsidP="00250BEC">
      <w:pPr>
        <w:widowControl w:val="0"/>
        <w:tabs>
          <w:tab w:val="left" w:pos="993"/>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Председатель Минского областного исполнительного комитета (Беларусь) А.И. Кушнаренко (25-28 ноября) и заместитель Председателя Витебского областного исполнительного комитета (Беларусь) А.А Никитина. (1-4 апреля);</w:t>
      </w:r>
    </w:p>
    <w:p w14:paraId="42CD8C17" w14:textId="5AEF3B6D" w:rsidR="00250BEC" w:rsidRPr="00250BEC" w:rsidRDefault="00250BEC" w:rsidP="00250BEC">
      <w:pPr>
        <w:widowControl w:val="0"/>
        <w:tabs>
          <w:tab w:val="left" w:pos="993"/>
        </w:tabs>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заместитель Председателя Народного Совета провинции </w:t>
      </w:r>
      <w:proofErr w:type="spellStart"/>
      <w:r w:rsidRPr="00250BEC">
        <w:rPr>
          <w:rFonts w:ascii="PT Astra Serif" w:eastAsia="Times New Roman" w:hAnsi="PT Astra Serif" w:cs="Times New Roman"/>
          <w:bCs/>
          <w:szCs w:val="28"/>
          <w:lang w:eastAsia="ru-RU"/>
        </w:rPr>
        <w:t>Нгеан</w:t>
      </w:r>
      <w:proofErr w:type="spellEnd"/>
      <w:r w:rsidRPr="00250BEC">
        <w:rPr>
          <w:rFonts w:ascii="PT Astra Serif" w:eastAsia="Times New Roman" w:hAnsi="PT Astra Serif" w:cs="Times New Roman"/>
          <w:bCs/>
          <w:szCs w:val="28"/>
          <w:lang w:eastAsia="ru-RU"/>
        </w:rPr>
        <w:t xml:space="preserve"> (Вьетнам) </w:t>
      </w:r>
      <w:proofErr w:type="spellStart"/>
      <w:r w:rsidRPr="00250BEC">
        <w:rPr>
          <w:rFonts w:ascii="PT Astra Serif" w:eastAsia="Times New Roman" w:hAnsi="PT Astra Serif" w:cs="Times New Roman"/>
          <w:bCs/>
          <w:szCs w:val="28"/>
          <w:lang w:eastAsia="ru-RU"/>
        </w:rPr>
        <w:t>Нгуен</w:t>
      </w:r>
      <w:proofErr w:type="spellEnd"/>
      <w:r w:rsidRPr="00250BEC">
        <w:rPr>
          <w:rFonts w:ascii="PT Astra Serif" w:eastAsia="Times New Roman" w:hAnsi="PT Astra Serif" w:cs="Times New Roman"/>
          <w:bCs/>
          <w:szCs w:val="28"/>
          <w:lang w:eastAsia="ru-RU"/>
        </w:rPr>
        <w:t xml:space="preserve"> Нам Динь (16-17 мая).</w:t>
      </w:r>
    </w:p>
    <w:p w14:paraId="6284384D" w14:textId="77777777" w:rsidR="00250BEC" w:rsidRPr="00250BEC" w:rsidRDefault="00250BEC" w:rsidP="00250BEC">
      <w:pPr>
        <w:widowControl w:val="0"/>
        <w:tabs>
          <w:tab w:val="left" w:pos="993"/>
        </w:tabs>
        <w:rPr>
          <w:rFonts w:ascii="PT Astra Serif" w:eastAsia="Calibri" w:hAnsi="PT Astra Serif" w:cs="Times New Roman"/>
          <w:bCs/>
          <w:szCs w:val="28"/>
        </w:rPr>
      </w:pPr>
      <w:r w:rsidRPr="00250BEC">
        <w:rPr>
          <w:rFonts w:ascii="PT Astra Serif" w:eastAsia="Calibri" w:hAnsi="PT Astra Serif" w:cs="Times New Roman"/>
          <w:bCs/>
          <w:szCs w:val="28"/>
        </w:rPr>
        <w:t>С целью обсуждения вопросов развития двустороннего сотрудничества</w:t>
      </w:r>
      <w:r w:rsidRPr="00250BEC">
        <w:rPr>
          <w:rFonts w:ascii="PT Astra Serif" w:eastAsia="Calibri" w:hAnsi="PT Astra Serif" w:cs="Times New Roman"/>
          <w:bCs/>
          <w:szCs w:val="28"/>
        </w:rPr>
        <w:br/>
        <w:t xml:space="preserve">в феврале 2025 года в г. Москве состоялась </w:t>
      </w:r>
      <w:r w:rsidRPr="00250BEC">
        <w:rPr>
          <w:rFonts w:ascii="PT Astra Serif" w:eastAsia="Calibri" w:hAnsi="PT Astra Serif" w:cs="Times New Roman"/>
          <w:b/>
          <w:bCs/>
          <w:szCs w:val="28"/>
        </w:rPr>
        <w:t>встреча</w:t>
      </w:r>
      <w:r w:rsidRPr="00250BEC">
        <w:rPr>
          <w:rFonts w:ascii="PT Astra Serif" w:eastAsia="Calibri" w:hAnsi="PT Astra Serif" w:cs="Times New Roman"/>
          <w:bCs/>
          <w:szCs w:val="28"/>
        </w:rPr>
        <w:t xml:space="preserve"> Губернатора Ульяновской области А.Ю. Русских </w:t>
      </w:r>
      <w:r w:rsidRPr="00250BEC">
        <w:rPr>
          <w:rFonts w:ascii="PT Astra Serif" w:eastAsia="Calibri" w:hAnsi="PT Astra Serif" w:cs="Times New Roman"/>
          <w:b/>
          <w:bCs/>
          <w:szCs w:val="28"/>
        </w:rPr>
        <w:t>с Чрезвычайным и Полномочным Послом</w:t>
      </w:r>
      <w:r w:rsidRPr="00250BEC">
        <w:rPr>
          <w:rFonts w:ascii="PT Astra Serif" w:eastAsia="Calibri" w:hAnsi="PT Astra Serif" w:cs="Times New Roman"/>
          <w:bCs/>
          <w:szCs w:val="28"/>
        </w:rPr>
        <w:t xml:space="preserve"> Республики Индии в Российской Федерации </w:t>
      </w:r>
      <w:proofErr w:type="spellStart"/>
      <w:r w:rsidRPr="00250BEC">
        <w:rPr>
          <w:rFonts w:ascii="PT Astra Serif" w:eastAsia="Calibri" w:hAnsi="PT Astra Serif" w:cs="Times New Roman"/>
          <w:bCs/>
          <w:szCs w:val="28"/>
        </w:rPr>
        <w:t>Винаем</w:t>
      </w:r>
      <w:proofErr w:type="spellEnd"/>
      <w:r w:rsidRPr="00250BEC">
        <w:rPr>
          <w:rFonts w:ascii="PT Astra Serif" w:eastAsia="Calibri" w:hAnsi="PT Astra Serif" w:cs="Times New Roman"/>
          <w:bCs/>
          <w:szCs w:val="28"/>
        </w:rPr>
        <w:t xml:space="preserve"> </w:t>
      </w:r>
      <w:proofErr w:type="spellStart"/>
      <w:r w:rsidRPr="00250BEC">
        <w:rPr>
          <w:rFonts w:ascii="PT Astra Serif" w:eastAsia="Calibri" w:hAnsi="PT Astra Serif" w:cs="Times New Roman"/>
          <w:bCs/>
          <w:szCs w:val="28"/>
        </w:rPr>
        <w:t>Кумаром</w:t>
      </w:r>
      <w:proofErr w:type="spellEnd"/>
      <w:r w:rsidRPr="00250BEC">
        <w:rPr>
          <w:rFonts w:ascii="PT Astra Serif" w:eastAsia="Calibri" w:hAnsi="PT Astra Serif" w:cs="Times New Roman"/>
          <w:bCs/>
          <w:szCs w:val="28"/>
        </w:rPr>
        <w:t xml:space="preserve"> </w:t>
      </w:r>
      <w:r w:rsidRPr="00250BEC">
        <w:rPr>
          <w:rFonts w:ascii="PT Astra Serif" w:eastAsia="Times New Roman" w:hAnsi="PT Astra Serif" w:cs="Times New Roman"/>
          <w:bCs/>
          <w:szCs w:val="28"/>
          <w:lang w:eastAsia="ru-RU"/>
        </w:rPr>
        <w:t>(19 февраля)</w:t>
      </w:r>
      <w:r w:rsidRPr="00250BEC">
        <w:rPr>
          <w:rFonts w:ascii="PT Astra Serif" w:eastAsia="Calibri" w:hAnsi="PT Astra Serif" w:cs="Times New Roman"/>
          <w:bCs/>
          <w:szCs w:val="28"/>
        </w:rPr>
        <w:t xml:space="preserve">. Также в 2025 году </w:t>
      </w:r>
      <w:r w:rsidRPr="00250BEC">
        <w:rPr>
          <w:rFonts w:ascii="PT Astra Serif" w:eastAsia="Calibri" w:hAnsi="PT Astra Serif" w:cs="Times New Roman"/>
          <w:szCs w:val="28"/>
        </w:rPr>
        <w:t xml:space="preserve">состоялся ряд встреч </w:t>
      </w:r>
      <w:r w:rsidRPr="00250BEC">
        <w:rPr>
          <w:rFonts w:ascii="PT Astra Serif" w:eastAsia="Calibri" w:hAnsi="PT Astra Serif" w:cs="Times New Roman"/>
          <w:b/>
          <w:szCs w:val="28"/>
        </w:rPr>
        <w:t>с высшими должностными лицами иностранных государств, руководителями федеральных органов исполнительной власти иностранных государств, представителями административно-территориальных образований иностранных государств и руководством зарубежных деловых объединений</w:t>
      </w:r>
      <w:r w:rsidRPr="00250BEC">
        <w:rPr>
          <w:rFonts w:ascii="PT Astra Serif" w:eastAsia="Calibri" w:hAnsi="PT Astra Serif" w:cs="Times New Roman"/>
          <w:bCs/>
          <w:szCs w:val="28"/>
        </w:rPr>
        <w:t xml:space="preserve">, в том числе с: </w:t>
      </w:r>
    </w:p>
    <w:p w14:paraId="0570DC09"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Главой Администрации Президента Республики Беларусь Д.Н. Крутым </w:t>
      </w:r>
      <w:r w:rsidRPr="00250BEC">
        <w:rPr>
          <w:rFonts w:ascii="PT Astra Serif" w:eastAsia="Times New Roman" w:hAnsi="PT Astra Serif" w:cs="Times New Roman"/>
          <w:bCs/>
          <w:szCs w:val="28"/>
          <w:lang w:eastAsia="ru-RU"/>
        </w:rPr>
        <w:br/>
      </w:r>
      <w:r w:rsidRPr="00250BEC">
        <w:rPr>
          <w:rFonts w:ascii="PT Astra Serif" w:eastAsia="Times New Roman" w:hAnsi="PT Astra Serif" w:cs="Times New Roman"/>
          <w:color w:val="000000"/>
          <w:szCs w:val="28"/>
          <w:lang w:eastAsia="ru-RU"/>
        </w:rPr>
        <w:t>(30 сентября, г. Минск)</w:t>
      </w:r>
      <w:r w:rsidRPr="00250BEC">
        <w:rPr>
          <w:rFonts w:ascii="PT Astra Serif" w:eastAsia="Times New Roman" w:hAnsi="PT Astra Serif" w:cs="Times New Roman"/>
          <w:bCs/>
          <w:szCs w:val="28"/>
          <w:lang w:eastAsia="ru-RU"/>
        </w:rPr>
        <w:t>;</w:t>
      </w:r>
    </w:p>
    <w:p w14:paraId="55B5F4A0"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Главным министром индийского штата </w:t>
      </w:r>
      <w:proofErr w:type="spellStart"/>
      <w:r w:rsidRPr="00250BEC">
        <w:rPr>
          <w:rFonts w:ascii="PT Astra Serif" w:eastAsia="Times New Roman" w:hAnsi="PT Astra Serif" w:cs="Times New Roman"/>
          <w:bCs/>
          <w:szCs w:val="28"/>
          <w:lang w:eastAsia="ru-RU"/>
        </w:rPr>
        <w:t>Мадхья-Прадеш</w:t>
      </w:r>
      <w:proofErr w:type="spellEnd"/>
      <w:r w:rsidRPr="00250BEC">
        <w:rPr>
          <w:rFonts w:ascii="PT Astra Serif" w:eastAsia="Times New Roman" w:hAnsi="PT Astra Serif" w:cs="Times New Roman"/>
          <w:bCs/>
          <w:szCs w:val="28"/>
          <w:lang w:eastAsia="ru-RU"/>
        </w:rPr>
        <w:t xml:space="preserve"> </w:t>
      </w:r>
      <w:proofErr w:type="spellStart"/>
      <w:r w:rsidRPr="00250BEC">
        <w:rPr>
          <w:rFonts w:ascii="PT Astra Serif" w:eastAsia="Times New Roman" w:hAnsi="PT Astra Serif" w:cs="Times New Roman"/>
          <w:bCs/>
          <w:szCs w:val="28"/>
          <w:lang w:eastAsia="ru-RU"/>
        </w:rPr>
        <w:t>Моханом</w:t>
      </w:r>
      <w:proofErr w:type="spellEnd"/>
      <w:r w:rsidRPr="00250BEC">
        <w:rPr>
          <w:rFonts w:ascii="PT Astra Serif" w:eastAsia="Times New Roman" w:hAnsi="PT Astra Serif" w:cs="Times New Roman"/>
          <w:bCs/>
          <w:szCs w:val="28"/>
          <w:lang w:eastAsia="ru-RU"/>
        </w:rPr>
        <w:t xml:space="preserve"> </w:t>
      </w:r>
      <w:proofErr w:type="spellStart"/>
      <w:r w:rsidRPr="00250BEC">
        <w:rPr>
          <w:rFonts w:ascii="PT Astra Serif" w:eastAsia="Times New Roman" w:hAnsi="PT Astra Serif" w:cs="Times New Roman"/>
          <w:bCs/>
          <w:szCs w:val="28"/>
          <w:lang w:eastAsia="ru-RU"/>
        </w:rPr>
        <w:t>Ядавом</w:t>
      </w:r>
      <w:proofErr w:type="spellEnd"/>
      <w:r w:rsidRPr="00250BEC">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color w:val="000000"/>
          <w:szCs w:val="28"/>
          <w:lang w:eastAsia="ru-RU"/>
        </w:rPr>
        <w:t xml:space="preserve">(25 февраля, г. </w:t>
      </w:r>
      <w:proofErr w:type="spellStart"/>
      <w:r w:rsidRPr="00250BEC">
        <w:rPr>
          <w:rFonts w:ascii="PT Astra Serif" w:eastAsia="Times New Roman" w:hAnsi="PT Astra Serif" w:cs="Times New Roman"/>
          <w:color w:val="000000"/>
          <w:szCs w:val="28"/>
          <w:lang w:eastAsia="ru-RU"/>
        </w:rPr>
        <w:t>Бхопал</w:t>
      </w:r>
      <w:proofErr w:type="spellEnd"/>
      <w:r w:rsidRPr="00250BEC">
        <w:rPr>
          <w:rFonts w:ascii="PT Astra Serif" w:eastAsia="Times New Roman" w:hAnsi="PT Astra Serif" w:cs="Times New Roman"/>
          <w:color w:val="000000"/>
          <w:szCs w:val="28"/>
          <w:lang w:eastAsia="ru-RU"/>
        </w:rPr>
        <w:t>)</w:t>
      </w:r>
      <w:r w:rsidRPr="00250BEC">
        <w:rPr>
          <w:rFonts w:ascii="PT Astra Serif" w:eastAsia="Times New Roman" w:hAnsi="PT Astra Serif" w:cs="Times New Roman"/>
          <w:bCs/>
          <w:szCs w:val="28"/>
          <w:lang w:eastAsia="ru-RU"/>
        </w:rPr>
        <w:t>;</w:t>
      </w:r>
    </w:p>
    <w:p w14:paraId="4076702C" w14:textId="37F58F18"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Председателем Витебского областного исполнительного комитета (Беларусь) А.М. Субботиным </w:t>
      </w:r>
      <w:r w:rsidRPr="00250BEC">
        <w:rPr>
          <w:rFonts w:ascii="PT Astra Serif" w:eastAsia="Times New Roman" w:hAnsi="PT Astra Serif" w:cs="Times New Roman"/>
          <w:color w:val="000000"/>
          <w:szCs w:val="28"/>
          <w:lang w:eastAsia="ru-RU"/>
        </w:rPr>
        <w:t xml:space="preserve">(26 июня, г. Нижний Новгород и 29 сентября, </w:t>
      </w:r>
      <w:r w:rsidRPr="00250BEC">
        <w:rPr>
          <w:rFonts w:ascii="PT Astra Serif" w:eastAsia="Times New Roman" w:hAnsi="PT Astra Serif" w:cs="Times New Roman"/>
          <w:color w:val="000000"/>
          <w:szCs w:val="28"/>
          <w:lang w:eastAsia="ru-RU"/>
        </w:rPr>
        <w:br/>
        <w:t>г. Минск)</w:t>
      </w:r>
      <w:r w:rsidRPr="00250BEC">
        <w:rPr>
          <w:rFonts w:ascii="PT Astra Serif" w:eastAsia="Times New Roman" w:hAnsi="PT Astra Serif" w:cs="Times New Roman"/>
          <w:bCs/>
          <w:szCs w:val="28"/>
          <w:lang w:eastAsia="ru-RU"/>
        </w:rPr>
        <w:t xml:space="preserve">, Председателем Брестского областного исполнительного комитета (Беларусь) П.А. </w:t>
      </w:r>
      <w:proofErr w:type="spellStart"/>
      <w:r w:rsidRPr="00250BEC">
        <w:rPr>
          <w:rFonts w:ascii="PT Astra Serif" w:eastAsia="Times New Roman" w:hAnsi="PT Astra Serif" w:cs="Times New Roman"/>
          <w:bCs/>
          <w:szCs w:val="28"/>
          <w:lang w:eastAsia="ru-RU"/>
        </w:rPr>
        <w:t>Пархомчиком</w:t>
      </w:r>
      <w:proofErr w:type="spellEnd"/>
      <w:r w:rsidRPr="00250BEC">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color w:val="000000"/>
          <w:szCs w:val="28"/>
          <w:lang w:eastAsia="ru-RU"/>
        </w:rPr>
        <w:t xml:space="preserve">(26 июня, г. Нижний Новгород и 29 сентября, </w:t>
      </w:r>
      <w:r w:rsidRPr="00250BEC">
        <w:rPr>
          <w:rFonts w:ascii="PT Astra Serif" w:eastAsia="Times New Roman" w:hAnsi="PT Astra Serif" w:cs="Times New Roman"/>
          <w:color w:val="000000"/>
          <w:szCs w:val="28"/>
          <w:lang w:eastAsia="ru-RU"/>
        </w:rPr>
        <w:br/>
        <w:t xml:space="preserve">г. Минск), Председателем Гомельского областного исполнительного комитета (Беларусь) И.И. Крупко (29 сентября, г. Минск) и Председателем Минского городского исполнительного комитета (Беларусь) В.Е. </w:t>
      </w:r>
      <w:proofErr w:type="spellStart"/>
      <w:r w:rsidRPr="00250BEC">
        <w:rPr>
          <w:rFonts w:ascii="PT Astra Serif" w:eastAsia="Times New Roman" w:hAnsi="PT Astra Serif" w:cs="Times New Roman"/>
          <w:color w:val="000000"/>
          <w:szCs w:val="28"/>
          <w:lang w:eastAsia="ru-RU"/>
        </w:rPr>
        <w:t>Кухаревым</w:t>
      </w:r>
      <w:proofErr w:type="spellEnd"/>
      <w:r w:rsidRPr="00250BEC">
        <w:rPr>
          <w:rFonts w:ascii="PT Astra Serif" w:eastAsia="Times New Roman" w:hAnsi="PT Astra Serif" w:cs="Times New Roman"/>
          <w:color w:val="000000"/>
          <w:szCs w:val="28"/>
          <w:lang w:eastAsia="ru-RU"/>
        </w:rPr>
        <w:t xml:space="preserve"> </w:t>
      </w:r>
      <w:r w:rsidR="00CD6F7B">
        <w:rPr>
          <w:rFonts w:ascii="PT Astra Serif" w:eastAsia="Times New Roman" w:hAnsi="PT Astra Serif" w:cs="Times New Roman"/>
          <w:color w:val="000000"/>
          <w:szCs w:val="28"/>
          <w:lang w:eastAsia="ru-RU"/>
        </w:rPr>
        <w:br/>
      </w:r>
      <w:r w:rsidRPr="00250BEC">
        <w:rPr>
          <w:rFonts w:ascii="PT Astra Serif" w:eastAsia="Times New Roman" w:hAnsi="PT Astra Serif" w:cs="Times New Roman"/>
          <w:color w:val="000000"/>
          <w:szCs w:val="28"/>
          <w:lang w:eastAsia="ru-RU"/>
        </w:rPr>
        <w:t>(30 сентября, г. Минск);</w:t>
      </w:r>
    </w:p>
    <w:p w14:paraId="1ABA1DDB"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szCs w:val="28"/>
          <w:lang w:eastAsia="ar-SA"/>
        </w:rPr>
        <w:t xml:space="preserve">заместителем Губернатора провинции Сычуань (Китай) </w:t>
      </w:r>
      <w:proofErr w:type="spellStart"/>
      <w:r w:rsidRPr="00250BEC">
        <w:rPr>
          <w:rFonts w:ascii="PT Astra Serif" w:eastAsia="Times New Roman" w:hAnsi="PT Astra Serif" w:cs="Times New Roman"/>
          <w:szCs w:val="28"/>
          <w:lang w:eastAsia="ar-SA"/>
        </w:rPr>
        <w:t>Цзо</w:t>
      </w:r>
      <w:proofErr w:type="spellEnd"/>
      <w:r w:rsidRPr="00250BEC">
        <w:rPr>
          <w:rFonts w:ascii="PT Astra Serif" w:eastAsia="Times New Roman" w:hAnsi="PT Astra Serif" w:cs="Times New Roman"/>
          <w:szCs w:val="28"/>
          <w:lang w:eastAsia="ar-SA"/>
        </w:rPr>
        <w:t xml:space="preserve"> </w:t>
      </w:r>
      <w:proofErr w:type="spellStart"/>
      <w:r w:rsidRPr="00250BEC">
        <w:rPr>
          <w:rFonts w:ascii="PT Astra Serif" w:eastAsia="Times New Roman" w:hAnsi="PT Astra Serif" w:cs="Times New Roman"/>
          <w:szCs w:val="28"/>
          <w:lang w:eastAsia="ar-SA"/>
        </w:rPr>
        <w:t>Юнсяном</w:t>
      </w:r>
      <w:proofErr w:type="spellEnd"/>
      <w:r w:rsidRPr="00250BEC">
        <w:rPr>
          <w:rFonts w:ascii="PT Astra Serif" w:eastAsia="Times New Roman" w:hAnsi="PT Astra Serif" w:cs="Times New Roman"/>
          <w:szCs w:val="28"/>
          <w:lang w:eastAsia="ar-SA"/>
        </w:rPr>
        <w:t xml:space="preserve"> </w:t>
      </w:r>
      <w:r w:rsidRPr="00250BEC">
        <w:rPr>
          <w:rFonts w:ascii="PT Astra Serif" w:eastAsia="Times New Roman" w:hAnsi="PT Astra Serif" w:cs="Times New Roman"/>
          <w:color w:val="000000"/>
          <w:szCs w:val="28"/>
          <w:lang w:eastAsia="ru-RU"/>
        </w:rPr>
        <w:t>(21 мая, г. Казань)</w:t>
      </w:r>
      <w:r w:rsidRPr="00250BEC">
        <w:rPr>
          <w:rFonts w:ascii="PT Astra Serif" w:eastAsia="Times New Roman" w:hAnsi="PT Astra Serif" w:cs="Times New Roman"/>
          <w:szCs w:val="28"/>
          <w:lang w:eastAsia="ar-SA"/>
        </w:rPr>
        <w:t xml:space="preserve"> и другими.</w:t>
      </w:r>
    </w:p>
    <w:p w14:paraId="7118142D" w14:textId="77777777" w:rsidR="00250BEC" w:rsidRPr="00250BEC" w:rsidRDefault="00250BEC" w:rsidP="00250BEC">
      <w:pPr>
        <w:widowControl w:val="0"/>
        <w:tabs>
          <w:tab w:val="left" w:pos="993"/>
        </w:tabs>
        <w:rPr>
          <w:rFonts w:ascii="PT Astra Serif" w:eastAsia="Calibri" w:hAnsi="PT Astra Serif" w:cs="Times New Roman"/>
          <w:szCs w:val="28"/>
        </w:rPr>
      </w:pPr>
      <w:r w:rsidRPr="00250BEC">
        <w:rPr>
          <w:rFonts w:ascii="PT Astra Serif" w:eastAsia="Times New Roman" w:hAnsi="PT Astra Serif" w:cs="Times New Roman"/>
          <w:bCs/>
          <w:szCs w:val="28"/>
          <w:lang w:eastAsia="ru-RU"/>
        </w:rPr>
        <w:lastRenderedPageBreak/>
        <w:t>В целях активизации межрегионального сотрудничества и обсуждения проблем, возникающих в рамках развития дальнейшей кооперации,</w:t>
      </w:r>
      <w:r w:rsidRPr="00250BEC">
        <w:rPr>
          <w:rFonts w:ascii="PT Astra Serif" w:eastAsia="Calibri" w:hAnsi="PT Astra Serif" w:cs="Arial"/>
          <w:color w:val="000000"/>
          <w:szCs w:val="28"/>
          <w:shd w:val="clear" w:color="auto" w:fill="FFFFFF"/>
        </w:rPr>
        <w:t xml:space="preserve"> </w:t>
      </w:r>
      <w:r w:rsidRPr="00250BEC">
        <w:rPr>
          <w:rFonts w:ascii="PT Astra Serif" w:eastAsia="Calibri" w:hAnsi="PT Astra Serif" w:cs="Times New Roman"/>
          <w:b/>
          <w:szCs w:val="28"/>
        </w:rPr>
        <w:t>представители Ульяновской области принимали участие в ряде межгосударственных международных мероприятиях</w:t>
      </w:r>
      <w:r w:rsidRPr="00250BEC">
        <w:rPr>
          <w:rFonts w:ascii="PT Astra Serif" w:eastAsia="Calibri" w:hAnsi="PT Astra Serif" w:cs="Times New Roman"/>
          <w:szCs w:val="28"/>
        </w:rPr>
        <w:t xml:space="preserve">, в том числе: </w:t>
      </w:r>
    </w:p>
    <w:p w14:paraId="43CAF656"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V</w:t>
      </w:r>
      <w:r w:rsidRPr="00250BEC">
        <w:rPr>
          <w:rFonts w:ascii="PT Astra Serif" w:eastAsia="Times New Roman" w:hAnsi="PT Astra Serif" w:cs="Times New Roman"/>
          <w:szCs w:val="28"/>
          <w:lang w:eastAsia="ru-RU"/>
        </w:rPr>
        <w:t xml:space="preserve"> заседании Совета по межрегиональному сотрудничеству регионов Приволжского федерального округа и Верхнего, Среднего течения реки Янцзы (Китай) </w:t>
      </w:r>
      <w:r w:rsidRPr="00250BEC">
        <w:rPr>
          <w:rFonts w:ascii="PT Astra Serif" w:eastAsia="Times New Roman" w:hAnsi="PT Astra Serif" w:cs="Times New Roman"/>
          <w:color w:val="000000"/>
          <w:szCs w:val="28"/>
          <w:lang w:eastAsia="ru-RU"/>
        </w:rPr>
        <w:t>(21 мая, г. Казань)</w:t>
      </w:r>
      <w:r w:rsidRPr="00250BEC">
        <w:rPr>
          <w:rFonts w:ascii="PT Astra Serif" w:eastAsia="Times New Roman" w:hAnsi="PT Astra Serif" w:cs="Times New Roman"/>
          <w:szCs w:val="28"/>
          <w:lang w:eastAsia="ru-RU"/>
        </w:rPr>
        <w:t>;</w:t>
      </w:r>
    </w:p>
    <w:p w14:paraId="5C5921F9"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XII</w:t>
      </w:r>
      <w:r w:rsidRPr="00250BEC">
        <w:rPr>
          <w:rFonts w:ascii="PT Astra Serif" w:eastAsia="Times New Roman" w:hAnsi="PT Astra Serif" w:cs="Times New Roman"/>
          <w:szCs w:val="28"/>
          <w:lang w:eastAsia="ru-RU"/>
        </w:rPr>
        <w:t xml:space="preserve"> Форуме регионов России и Беларуси </w:t>
      </w:r>
      <w:r w:rsidRPr="00250BEC">
        <w:rPr>
          <w:rFonts w:ascii="PT Astra Serif" w:eastAsia="Times New Roman" w:hAnsi="PT Astra Serif" w:cs="Times New Roman"/>
          <w:color w:val="000000"/>
          <w:szCs w:val="28"/>
          <w:lang w:eastAsia="ru-RU"/>
        </w:rPr>
        <w:t>(26 июня, г. Нижний Новгород)</w:t>
      </w:r>
      <w:r w:rsidRPr="00250BEC">
        <w:rPr>
          <w:rFonts w:ascii="PT Astra Serif" w:eastAsia="Times New Roman" w:hAnsi="PT Astra Serif" w:cs="Times New Roman"/>
          <w:szCs w:val="28"/>
          <w:lang w:eastAsia="ru-RU"/>
        </w:rPr>
        <w:t>;</w:t>
      </w:r>
    </w:p>
    <w:p w14:paraId="62793A67"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XXI</w:t>
      </w:r>
      <w:r w:rsidRPr="00250BEC">
        <w:rPr>
          <w:rFonts w:ascii="PT Astra Serif" w:eastAsia="Times New Roman" w:hAnsi="PT Astra Serif" w:cs="Times New Roman"/>
          <w:szCs w:val="28"/>
          <w:lang w:eastAsia="ru-RU"/>
        </w:rPr>
        <w:t xml:space="preserve"> Форуме межрегионального сотрудничества России и Казахстана</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color w:val="000000"/>
          <w:szCs w:val="28"/>
          <w:lang w:eastAsia="ru-RU"/>
        </w:rPr>
        <w:t>(11-12 ноября, г. Уральск (Казахстан))</w:t>
      </w:r>
      <w:r w:rsidRPr="00250BEC">
        <w:rPr>
          <w:rFonts w:ascii="PT Astra Serif" w:eastAsia="Times New Roman" w:hAnsi="PT Astra Serif" w:cs="Times New Roman"/>
          <w:szCs w:val="28"/>
          <w:lang w:eastAsia="ru-RU"/>
        </w:rPr>
        <w:t>;</w:t>
      </w:r>
    </w:p>
    <w:p w14:paraId="5FC25F4D"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VI</w:t>
      </w:r>
      <w:r w:rsidRPr="00250BEC">
        <w:rPr>
          <w:rFonts w:ascii="PT Astra Serif" w:eastAsia="Times New Roman" w:hAnsi="PT Astra Serif" w:cs="Times New Roman"/>
          <w:szCs w:val="28"/>
          <w:lang w:eastAsia="ru-RU"/>
        </w:rPr>
        <w:t xml:space="preserve"> заседании Российско-Иранской рабочей группы по межрегиональному сотрудничеству Постоянной Российско-Иранской комиссии по торгово-экономическому сотрудничеству </w:t>
      </w:r>
      <w:r w:rsidRPr="00250BEC">
        <w:rPr>
          <w:rFonts w:ascii="PT Astra Serif" w:eastAsia="Times New Roman" w:hAnsi="PT Astra Serif" w:cs="Times New Roman"/>
          <w:color w:val="000000"/>
          <w:szCs w:val="28"/>
          <w:lang w:eastAsia="ru-RU"/>
        </w:rPr>
        <w:t>(8 декабря, г. Москва)</w:t>
      </w:r>
      <w:r w:rsidRPr="00250BEC">
        <w:rPr>
          <w:rFonts w:ascii="PT Astra Serif" w:eastAsia="Times New Roman" w:hAnsi="PT Astra Serif" w:cs="Times New Roman"/>
          <w:szCs w:val="28"/>
          <w:lang w:eastAsia="ru-RU"/>
        </w:rPr>
        <w:t>;</w:t>
      </w:r>
    </w:p>
    <w:p w14:paraId="3ECEFDAA"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пятом заседании Российско-Китайской постоянной рабочей группы</w:t>
      </w:r>
      <w:r w:rsidRPr="00250BEC">
        <w:rPr>
          <w:rFonts w:ascii="PT Astra Serif" w:eastAsia="Times New Roman" w:hAnsi="PT Astra Serif" w:cs="Times New Roman"/>
          <w:szCs w:val="28"/>
          <w:lang w:eastAsia="ru-RU"/>
        </w:rPr>
        <w:br/>
        <w:t xml:space="preserve">по вопросам межрегионального и приграничного сотрудничества и особых экономических зон Подкомиссии по торгово-экономическому сотрудничеству Комиссии по подготовке регулярных встреч глав правительств России и Китая </w:t>
      </w:r>
      <w:r w:rsidRPr="00250BEC">
        <w:rPr>
          <w:rFonts w:ascii="PT Astra Serif" w:eastAsia="Times New Roman" w:hAnsi="PT Astra Serif" w:cs="Times New Roman"/>
          <w:color w:val="000000"/>
          <w:szCs w:val="28"/>
          <w:lang w:eastAsia="ru-RU"/>
        </w:rPr>
        <w:t>(15 сентября, г. Харбин (Китай))</w:t>
      </w:r>
      <w:r w:rsidRPr="00250BEC">
        <w:rPr>
          <w:rFonts w:ascii="PT Astra Serif" w:eastAsia="Times New Roman" w:hAnsi="PT Astra Serif" w:cs="Times New Roman"/>
          <w:szCs w:val="28"/>
          <w:lang w:eastAsia="ru-RU"/>
        </w:rPr>
        <w:t>;</w:t>
      </w:r>
    </w:p>
    <w:p w14:paraId="25E643CB"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PT Astra Serif"/>
          <w:bCs/>
          <w:iCs/>
          <w:szCs w:val="28"/>
          <w:shd w:val="clear" w:color="auto" w:fill="FFFFFF"/>
          <w:lang w:val="en-US" w:eastAsia="ru-RU"/>
        </w:rPr>
        <w:t>VIII</w:t>
      </w:r>
      <w:r w:rsidRPr="00250BEC">
        <w:rPr>
          <w:rFonts w:ascii="PT Astra Serif" w:eastAsia="Times New Roman" w:hAnsi="PT Astra Serif" w:cs="PT Astra Serif"/>
          <w:bCs/>
          <w:iCs/>
          <w:szCs w:val="28"/>
          <w:shd w:val="clear" w:color="auto" w:fill="FFFFFF"/>
          <w:lang w:eastAsia="ru-RU"/>
        </w:rPr>
        <w:t xml:space="preserve"> Совместном заседании Рабочей группы по сотрудничеству Ульяновской области и Республики Беларусь </w:t>
      </w:r>
      <w:r w:rsidRPr="00250BEC">
        <w:rPr>
          <w:rFonts w:ascii="PT Astra Serif" w:eastAsia="Times New Roman" w:hAnsi="PT Astra Serif" w:cs="Times New Roman"/>
          <w:color w:val="000000"/>
          <w:szCs w:val="28"/>
          <w:lang w:eastAsia="ru-RU"/>
        </w:rPr>
        <w:t>(1 октября, г. Минск (Беларусь))</w:t>
      </w:r>
      <w:r w:rsidRPr="00250BEC">
        <w:rPr>
          <w:rFonts w:ascii="PT Astra Serif" w:eastAsia="Times New Roman" w:hAnsi="PT Astra Serif" w:cs="PT Astra Serif"/>
          <w:bCs/>
          <w:iCs/>
          <w:szCs w:val="28"/>
          <w:shd w:val="clear" w:color="auto" w:fill="FFFFFF"/>
          <w:lang w:eastAsia="ru-RU"/>
        </w:rPr>
        <w:t>;</w:t>
      </w:r>
    </w:p>
    <w:p w14:paraId="0DC37ED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деловом совете Россия – ЮАР </w:t>
      </w:r>
      <w:r w:rsidRPr="00250BEC">
        <w:rPr>
          <w:rFonts w:ascii="PT Astra Serif" w:eastAsia="Times New Roman" w:hAnsi="PT Astra Serif" w:cs="Times New Roman"/>
          <w:color w:val="000000"/>
          <w:szCs w:val="28"/>
          <w:lang w:eastAsia="ru-RU"/>
        </w:rPr>
        <w:t>(15 апреля, г. Москва)</w:t>
      </w:r>
      <w:r w:rsidRPr="00250BEC">
        <w:rPr>
          <w:rFonts w:ascii="PT Astra Serif" w:eastAsia="Times New Roman" w:hAnsi="PT Astra Serif" w:cs="Times New Roman"/>
          <w:szCs w:val="28"/>
          <w:lang w:eastAsia="ru-RU"/>
        </w:rPr>
        <w:t>;</w:t>
      </w:r>
    </w:p>
    <w:p w14:paraId="1FE5CB82" w14:textId="3FD32B5D"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VII</w:t>
      </w:r>
      <w:r w:rsidRPr="00250BEC">
        <w:rPr>
          <w:rFonts w:ascii="PT Astra Serif" w:eastAsia="Times New Roman" w:hAnsi="PT Astra Serif" w:cs="Times New Roman"/>
          <w:szCs w:val="28"/>
          <w:lang w:eastAsia="ru-RU"/>
        </w:rPr>
        <w:t xml:space="preserve"> Международном Муниципальном Форуме стран БРИКС </w:t>
      </w:r>
      <w:r w:rsidRPr="00250BEC">
        <w:rPr>
          <w:rFonts w:ascii="PT Astra Serif" w:eastAsia="Times New Roman" w:hAnsi="PT Astra Serif" w:cs="Times New Roman"/>
          <w:color w:val="000000"/>
          <w:szCs w:val="28"/>
          <w:lang w:eastAsia="ru-RU"/>
        </w:rPr>
        <w:t>(20-21 ноября, г. Санкт-Петербург)</w:t>
      </w:r>
      <w:r w:rsidRPr="00250BEC">
        <w:rPr>
          <w:rFonts w:ascii="PT Astra Serif" w:eastAsia="Times New Roman" w:hAnsi="PT Astra Serif" w:cs="Times New Roman"/>
          <w:szCs w:val="28"/>
          <w:lang w:eastAsia="ru-RU"/>
        </w:rPr>
        <w:t>;</w:t>
      </w:r>
    </w:p>
    <w:p w14:paraId="4DBD060E"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Третьем международном форуме министров образования «Формируя будущее» </w:t>
      </w:r>
      <w:r w:rsidRPr="00250BEC">
        <w:rPr>
          <w:rFonts w:ascii="PT Astra Serif" w:eastAsia="Times New Roman" w:hAnsi="PT Astra Serif" w:cs="Times New Roman"/>
          <w:color w:val="000000"/>
          <w:szCs w:val="28"/>
          <w:lang w:eastAsia="ru-RU"/>
        </w:rPr>
        <w:t>(11 - 12 июня, г. Казань)</w:t>
      </w:r>
      <w:r w:rsidRPr="00250BEC">
        <w:rPr>
          <w:rFonts w:ascii="PT Astra Serif" w:eastAsia="Times New Roman" w:hAnsi="PT Astra Serif" w:cs="Times New Roman"/>
          <w:szCs w:val="28"/>
          <w:lang w:eastAsia="ru-RU"/>
        </w:rPr>
        <w:t xml:space="preserve"> и других.</w:t>
      </w:r>
    </w:p>
    <w:p w14:paraId="679E1A08" w14:textId="77777777" w:rsidR="00250BEC" w:rsidRPr="00250BEC" w:rsidRDefault="00250BEC" w:rsidP="00250BEC">
      <w:pPr>
        <w:widowControl w:val="0"/>
        <w:tabs>
          <w:tab w:val="num" w:pos="993"/>
        </w:tabs>
        <w:rPr>
          <w:rFonts w:ascii="PT Astra Serif" w:eastAsia="Calibri" w:hAnsi="PT Astra Serif" w:cs="Times New Roman"/>
          <w:bCs/>
          <w:szCs w:val="28"/>
        </w:rPr>
      </w:pPr>
      <w:r w:rsidRPr="00250BEC">
        <w:rPr>
          <w:rFonts w:ascii="PT Astra Serif" w:eastAsia="Calibri" w:hAnsi="PT Astra Serif" w:cs="Times New Roman"/>
          <w:bCs/>
          <w:szCs w:val="28"/>
        </w:rPr>
        <w:t xml:space="preserve">В рамках проведения деловых переговоров с иностранными партнёрами и участия представителей Ульяновской области в международных мероприятиях на регулярной основе в зависимости от направленности мероприятия презентуется торгово-экономический, инвестиционный, промышленный, сельскохозяйственный, инновационный, образовательный, культурный и туристический потенциал региона. В течение 2025 года проведено </w:t>
      </w:r>
      <w:r w:rsidRPr="00250BEC">
        <w:rPr>
          <w:rFonts w:ascii="PT Astra Serif" w:eastAsia="Calibri" w:hAnsi="PT Astra Serif" w:cs="Times New Roman"/>
          <w:b/>
          <w:bCs/>
          <w:szCs w:val="28"/>
        </w:rPr>
        <w:t>более 40 презентаций региона</w:t>
      </w:r>
      <w:r w:rsidRPr="00250BEC">
        <w:rPr>
          <w:rFonts w:ascii="PT Astra Serif" w:eastAsia="Calibri" w:hAnsi="PT Astra Serif" w:cs="Times New Roman"/>
          <w:bCs/>
          <w:szCs w:val="28"/>
        </w:rPr>
        <w:t xml:space="preserve">, в том числе в рамках участия </w:t>
      </w:r>
      <w:r w:rsidRPr="00250BEC">
        <w:rPr>
          <w:rFonts w:ascii="PT Astra Serif" w:eastAsia="Calibri" w:hAnsi="PT Astra Serif" w:cs="Times New Roman"/>
          <w:bCs/>
          <w:szCs w:val="28"/>
        </w:rPr>
        <w:br/>
        <w:t>в следующих международных мероприятиях:</w:t>
      </w:r>
    </w:p>
    <w:p w14:paraId="375981AB"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Calibri" w:hAnsi="PT Astra Serif" w:cs="Times New Roman"/>
          <w:bCs/>
          <w:szCs w:val="28"/>
        </w:rPr>
        <w:t xml:space="preserve">на базе Российского центра науки и культуры в г. Нью-Дели и в Центре международной торговли в г. Мумбаи </w:t>
      </w:r>
      <w:r w:rsidRPr="00250BEC">
        <w:rPr>
          <w:rFonts w:ascii="PT Astra Serif" w:eastAsia="Times New Roman" w:hAnsi="PT Astra Serif" w:cs="Times New Roman"/>
          <w:szCs w:val="28"/>
          <w:lang w:eastAsia="ru-RU"/>
        </w:rPr>
        <w:t>в рамках визита официальной делегации Ульяновской области под руководством Губернатора Ульяновской области А.Ю. Русских в Индию</w:t>
      </w:r>
      <w:r w:rsidRPr="00250BEC">
        <w:rPr>
          <w:rFonts w:ascii="PT Astra Serif" w:eastAsia="Times New Roman" w:hAnsi="PT Astra Serif" w:cs="Times New Roman"/>
          <w:color w:val="000000"/>
          <w:szCs w:val="28"/>
          <w:lang w:eastAsia="ru-RU"/>
        </w:rPr>
        <w:t xml:space="preserve"> (24 и 26 февраля соответственно)</w:t>
      </w:r>
      <w:r w:rsidRPr="00250BEC">
        <w:rPr>
          <w:rFonts w:ascii="PT Astra Serif" w:eastAsia="Calibri" w:hAnsi="PT Astra Serif" w:cs="Times New Roman"/>
          <w:bCs/>
          <w:szCs w:val="28"/>
        </w:rPr>
        <w:t>;</w:t>
      </w:r>
    </w:p>
    <w:p w14:paraId="7FD05203" w14:textId="25363BD6" w:rsidR="00250BEC" w:rsidRPr="00250BEC" w:rsidRDefault="00250BEC" w:rsidP="00250BEC">
      <w:pPr>
        <w:widowControl w:val="0"/>
        <w:contextualSpacing/>
        <w:rPr>
          <w:rFonts w:ascii="PT Astra Serif" w:eastAsia="Calibri" w:hAnsi="PT Astra Serif" w:cs="Times New Roman"/>
          <w:bCs/>
          <w:szCs w:val="28"/>
        </w:rPr>
      </w:pPr>
      <w:r w:rsidRPr="00250BEC">
        <w:rPr>
          <w:rFonts w:ascii="PT Astra Serif" w:eastAsia="Calibri" w:hAnsi="PT Astra Serif" w:cs="Times New Roman"/>
          <w:bCs/>
          <w:szCs w:val="28"/>
        </w:rPr>
        <w:t xml:space="preserve">в рамках делового визита в Китай по линии Ассоциации инновационных регионов России </w:t>
      </w:r>
      <w:r w:rsidRPr="00250BEC">
        <w:rPr>
          <w:rFonts w:ascii="PT Astra Serif" w:eastAsia="Times New Roman" w:hAnsi="PT Astra Serif" w:cs="Times New Roman"/>
          <w:color w:val="000000"/>
          <w:szCs w:val="28"/>
          <w:lang w:eastAsia="ru-RU"/>
        </w:rPr>
        <w:t xml:space="preserve">(4-9 ноября) </w:t>
      </w:r>
      <w:r w:rsidRPr="00250BEC">
        <w:rPr>
          <w:rFonts w:ascii="PT Astra Serif" w:eastAsia="Calibri" w:hAnsi="PT Astra Serif" w:cs="Times New Roman"/>
          <w:bCs/>
          <w:szCs w:val="28"/>
        </w:rPr>
        <w:t xml:space="preserve">и в ходе бизнес-миссии Ульяновской области </w:t>
      </w:r>
      <w:r w:rsidRPr="00250BEC">
        <w:rPr>
          <w:rFonts w:ascii="PT Astra Serif" w:eastAsia="Calibri" w:hAnsi="PT Astra Serif" w:cs="Times New Roman"/>
          <w:bCs/>
          <w:szCs w:val="28"/>
        </w:rPr>
        <w:br/>
        <w:t>в Иран</w:t>
      </w:r>
      <w:r w:rsidRPr="00250BEC">
        <w:rPr>
          <w:rFonts w:ascii="PT Astra Serif" w:eastAsia="Times New Roman" w:hAnsi="PT Astra Serif" w:cs="Times New Roman"/>
          <w:color w:val="000000"/>
          <w:szCs w:val="28"/>
          <w:lang w:eastAsia="ru-RU"/>
        </w:rPr>
        <w:t xml:space="preserve"> (7-10 декабря);</w:t>
      </w:r>
    </w:p>
    <w:p w14:paraId="75E73592" w14:textId="6CAAF1C6" w:rsidR="00250BEC" w:rsidRPr="00250BEC" w:rsidRDefault="00250BEC" w:rsidP="00250BEC">
      <w:pPr>
        <w:widowControl w:val="0"/>
        <w:contextualSpacing/>
        <w:rPr>
          <w:rFonts w:ascii="PT Astra Serif" w:eastAsia="Calibri" w:hAnsi="PT Astra Serif" w:cs="Times New Roman"/>
          <w:bCs/>
          <w:szCs w:val="28"/>
        </w:rPr>
      </w:pPr>
      <w:r w:rsidRPr="00250BEC">
        <w:rPr>
          <w:rFonts w:ascii="PT Astra Serif" w:eastAsia="Calibri" w:hAnsi="PT Astra Serif" w:cs="Times New Roman"/>
          <w:bCs/>
          <w:szCs w:val="28"/>
        </w:rPr>
        <w:t>«на полях» международных выставок, как на территории Российской Федерации, так и на территории иностранных государств, в том числе</w:t>
      </w:r>
      <w:r w:rsidRPr="00250BEC">
        <w:rPr>
          <w:rFonts w:ascii="PT Astra Serif" w:eastAsia="Calibri" w:hAnsi="PT Astra Serif" w:cs="Times New Roman"/>
          <w:bCs/>
          <w:szCs w:val="28"/>
        </w:rPr>
        <w:br/>
        <w:t>«на полях» Международной выставки оборудования для текстильной</w:t>
      </w:r>
      <w:r w:rsidRPr="00250BEC">
        <w:rPr>
          <w:rFonts w:ascii="PT Astra Serif" w:eastAsia="Calibri" w:hAnsi="PT Astra Serif" w:cs="Times New Roman"/>
          <w:bCs/>
          <w:szCs w:val="28"/>
        </w:rPr>
        <w:br/>
        <w:t xml:space="preserve">и лёгкой промышленности «ИНЛЕГМАШ» в г. Москве </w:t>
      </w:r>
      <w:r w:rsidRPr="00250BEC">
        <w:rPr>
          <w:rFonts w:ascii="PT Astra Serif" w:eastAsia="Times New Roman" w:hAnsi="PT Astra Serif" w:cs="Times New Roman"/>
          <w:color w:val="000000"/>
          <w:szCs w:val="28"/>
          <w:lang w:eastAsia="ru-RU"/>
        </w:rPr>
        <w:t>(11-14 марта)</w:t>
      </w:r>
      <w:r w:rsidRPr="00250BEC">
        <w:rPr>
          <w:rFonts w:ascii="PT Astra Serif" w:eastAsia="Calibri" w:hAnsi="PT Astra Serif" w:cs="Times New Roman"/>
          <w:bCs/>
          <w:szCs w:val="28"/>
        </w:rPr>
        <w:t>, Международной выставки туризма и гостеприимства «</w:t>
      </w:r>
      <w:r w:rsidRPr="00250BEC">
        <w:rPr>
          <w:rFonts w:ascii="PT Astra Serif" w:eastAsia="Calibri" w:hAnsi="PT Astra Serif" w:cs="Times New Roman"/>
          <w:bCs/>
          <w:szCs w:val="28"/>
          <w:lang w:val="en-US"/>
        </w:rPr>
        <w:t>MITT</w:t>
      </w:r>
      <w:r w:rsidRPr="00250BEC">
        <w:rPr>
          <w:rFonts w:ascii="PT Astra Serif" w:eastAsia="Calibri" w:hAnsi="PT Astra Serif" w:cs="Times New Roman"/>
          <w:bCs/>
          <w:szCs w:val="28"/>
        </w:rPr>
        <w:t>» в г. Москве</w:t>
      </w:r>
      <w:r w:rsidRPr="00250BEC">
        <w:rPr>
          <w:rFonts w:ascii="PT Astra Serif" w:eastAsia="Calibri" w:hAnsi="PT Astra Serif" w:cs="Times New Roman"/>
          <w:bCs/>
          <w:szCs w:val="28"/>
        </w:rPr>
        <w:br/>
      </w:r>
      <w:r w:rsidRPr="00250BEC">
        <w:rPr>
          <w:rFonts w:ascii="PT Astra Serif" w:eastAsia="Times New Roman" w:hAnsi="PT Astra Serif" w:cs="Times New Roman"/>
          <w:color w:val="000000"/>
          <w:szCs w:val="28"/>
          <w:lang w:eastAsia="ru-RU"/>
        </w:rPr>
        <w:lastRenderedPageBreak/>
        <w:t>(18</w:t>
      </w:r>
      <w:r w:rsidR="003E3036">
        <w:rPr>
          <w:rFonts w:ascii="PT Astra Serif" w:eastAsia="Times New Roman" w:hAnsi="PT Astra Serif" w:cs="Times New Roman"/>
          <w:color w:val="000000"/>
          <w:szCs w:val="28"/>
          <w:lang w:eastAsia="ru-RU"/>
        </w:rPr>
        <w:t>-</w:t>
      </w:r>
      <w:r w:rsidRPr="00250BEC">
        <w:rPr>
          <w:rFonts w:ascii="PT Astra Serif" w:eastAsia="Times New Roman" w:hAnsi="PT Astra Serif" w:cs="Times New Roman"/>
          <w:color w:val="000000"/>
          <w:szCs w:val="28"/>
          <w:lang w:eastAsia="ru-RU"/>
        </w:rPr>
        <w:t>20 марта)</w:t>
      </w:r>
      <w:r w:rsidRPr="00250BEC">
        <w:rPr>
          <w:rFonts w:ascii="PT Astra Serif" w:eastAsia="Calibri" w:hAnsi="PT Astra Serif" w:cs="Times New Roman"/>
          <w:bCs/>
          <w:szCs w:val="28"/>
        </w:rPr>
        <w:t>, 7-й выставки экспортных возможностей «</w:t>
      </w:r>
      <w:r w:rsidRPr="00250BEC">
        <w:rPr>
          <w:rFonts w:ascii="PT Astra Serif" w:eastAsia="Calibri" w:hAnsi="PT Astra Serif" w:cs="Times New Roman"/>
          <w:bCs/>
          <w:szCs w:val="28"/>
          <w:lang w:val="en-US"/>
        </w:rPr>
        <w:t>IRANEXPO</w:t>
      </w:r>
      <w:r w:rsidRPr="00250BEC">
        <w:rPr>
          <w:rFonts w:ascii="PT Astra Serif" w:eastAsia="Calibri" w:hAnsi="PT Astra Serif" w:cs="Times New Roman"/>
          <w:bCs/>
          <w:szCs w:val="28"/>
        </w:rPr>
        <w:t xml:space="preserve"> 2025»</w:t>
      </w:r>
      <w:r w:rsidRPr="00250BEC">
        <w:rPr>
          <w:rFonts w:ascii="PT Astra Serif" w:eastAsia="Calibri" w:hAnsi="PT Astra Serif" w:cs="Times New Roman"/>
          <w:bCs/>
          <w:szCs w:val="28"/>
        </w:rPr>
        <w:br/>
        <w:t xml:space="preserve">в г. Тегеране </w:t>
      </w:r>
      <w:r w:rsidRPr="00250BEC">
        <w:rPr>
          <w:rFonts w:ascii="PT Astra Serif" w:eastAsia="Times New Roman" w:hAnsi="PT Astra Serif" w:cs="Times New Roman"/>
          <w:color w:val="000000"/>
          <w:szCs w:val="28"/>
          <w:lang w:eastAsia="ru-RU"/>
        </w:rPr>
        <w:t xml:space="preserve">(Иран, 28 апреля – 1 мая), </w:t>
      </w:r>
      <w:r w:rsidRPr="00250BEC">
        <w:rPr>
          <w:rFonts w:ascii="PT Astra Serif" w:eastAsia="Calibri" w:hAnsi="PT Astra Serif" w:cs="Times New Roman"/>
          <w:bCs/>
          <w:szCs w:val="28"/>
        </w:rPr>
        <w:t xml:space="preserve">Международной выставки </w:t>
      </w:r>
      <w:proofErr w:type="spellStart"/>
      <w:r w:rsidRPr="00250BEC">
        <w:rPr>
          <w:rFonts w:ascii="PT Astra Serif" w:eastAsia="Calibri" w:hAnsi="PT Astra Serif" w:cs="Times New Roman"/>
          <w:bCs/>
          <w:szCs w:val="28"/>
        </w:rPr>
        <w:t>дронов</w:t>
      </w:r>
      <w:proofErr w:type="spellEnd"/>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UAS</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EXPO</w:t>
      </w:r>
      <w:r w:rsidRPr="00250BEC">
        <w:rPr>
          <w:rFonts w:ascii="PT Astra Serif" w:eastAsia="Calibri" w:hAnsi="PT Astra Serif" w:cs="Times New Roman"/>
          <w:bCs/>
          <w:szCs w:val="28"/>
        </w:rPr>
        <w:t xml:space="preserve"> 2025» в г. </w:t>
      </w:r>
      <w:proofErr w:type="spellStart"/>
      <w:r w:rsidRPr="00250BEC">
        <w:rPr>
          <w:rFonts w:ascii="PT Astra Serif" w:eastAsia="Calibri" w:hAnsi="PT Astra Serif" w:cs="Times New Roman"/>
          <w:bCs/>
          <w:szCs w:val="28"/>
        </w:rPr>
        <w:t>Шэньчжене</w:t>
      </w:r>
      <w:proofErr w:type="spellEnd"/>
      <w:r w:rsidRPr="00250BEC">
        <w:rPr>
          <w:rFonts w:ascii="PT Astra Serif" w:eastAsia="Calibri" w:hAnsi="PT Astra Serif" w:cs="Times New Roman"/>
          <w:bCs/>
          <w:szCs w:val="28"/>
        </w:rPr>
        <w:t xml:space="preserve"> </w:t>
      </w:r>
      <w:r w:rsidRPr="00250BEC">
        <w:rPr>
          <w:rFonts w:ascii="PT Astra Serif" w:eastAsia="Times New Roman" w:hAnsi="PT Astra Serif" w:cs="Times New Roman"/>
          <w:color w:val="000000"/>
          <w:szCs w:val="28"/>
          <w:lang w:eastAsia="ru-RU"/>
        </w:rPr>
        <w:t>(Китай, 21-28 мая)</w:t>
      </w:r>
      <w:r w:rsidRPr="00250BEC">
        <w:rPr>
          <w:rFonts w:ascii="PT Astra Serif" w:eastAsia="Calibri" w:hAnsi="PT Astra Serif" w:cs="Times New Roman"/>
          <w:bCs/>
          <w:szCs w:val="28"/>
        </w:rPr>
        <w:t xml:space="preserve"> и других;</w:t>
      </w:r>
    </w:p>
    <w:p w14:paraId="41FF253D" w14:textId="524BAFE5" w:rsidR="00250BEC" w:rsidRPr="00250BEC" w:rsidRDefault="00250BEC" w:rsidP="00250BEC">
      <w:pPr>
        <w:widowControl w:val="0"/>
        <w:contextualSpacing/>
        <w:rPr>
          <w:rFonts w:ascii="PT Astra Serif" w:eastAsia="Calibri" w:hAnsi="PT Astra Serif" w:cs="Times New Roman"/>
          <w:bCs/>
          <w:szCs w:val="28"/>
        </w:rPr>
      </w:pPr>
      <w:r w:rsidRPr="00250BEC">
        <w:rPr>
          <w:rFonts w:ascii="PT Astra Serif" w:eastAsia="Calibri" w:hAnsi="PT Astra Serif" w:cs="Times New Roman"/>
          <w:bCs/>
          <w:szCs w:val="28"/>
        </w:rPr>
        <w:t>в ходе участия в мероприятиях международных форумов, в том числе</w:t>
      </w:r>
      <w:r w:rsidRPr="00250BEC">
        <w:rPr>
          <w:rFonts w:ascii="PT Astra Serif" w:eastAsia="Calibri" w:hAnsi="PT Astra Serif" w:cs="Times New Roman"/>
          <w:bCs/>
          <w:szCs w:val="28"/>
        </w:rPr>
        <w:br/>
        <w:t>в мероприятиях Российской недели высоких технологий в г. Москве</w:t>
      </w:r>
      <w:r w:rsidRPr="00250BEC">
        <w:rPr>
          <w:rFonts w:ascii="PT Astra Serif" w:eastAsia="Calibri" w:hAnsi="PT Astra Serif" w:cs="Times New Roman"/>
          <w:bCs/>
          <w:szCs w:val="28"/>
        </w:rPr>
        <w:br/>
      </w:r>
      <w:r w:rsidRPr="00250BEC">
        <w:rPr>
          <w:rFonts w:ascii="PT Astra Serif" w:eastAsia="Times New Roman" w:hAnsi="PT Astra Serif" w:cs="Times New Roman"/>
          <w:color w:val="000000"/>
          <w:szCs w:val="28"/>
          <w:lang w:eastAsia="ru-RU"/>
        </w:rPr>
        <w:t>(21-25 апреля)</w:t>
      </w:r>
      <w:r w:rsidRPr="00250BEC">
        <w:rPr>
          <w:rFonts w:ascii="PT Astra Serif" w:eastAsia="Calibri" w:hAnsi="PT Astra Serif" w:cs="Times New Roman"/>
          <w:bCs/>
          <w:szCs w:val="28"/>
        </w:rPr>
        <w:t>, Московского международного форума автомобилестроения «</w:t>
      </w:r>
      <w:r w:rsidRPr="00250BEC">
        <w:rPr>
          <w:rFonts w:ascii="PT Astra Serif" w:eastAsia="Calibri" w:hAnsi="PT Astra Serif" w:cs="Times New Roman"/>
          <w:bCs/>
          <w:szCs w:val="28"/>
          <w:lang w:val="en-US"/>
        </w:rPr>
        <w:t>IMAF</w:t>
      </w:r>
      <w:r w:rsidRPr="00250BEC">
        <w:rPr>
          <w:rFonts w:ascii="PT Astra Serif" w:eastAsia="Calibri" w:hAnsi="PT Astra Serif" w:cs="Times New Roman"/>
          <w:bCs/>
          <w:szCs w:val="28"/>
        </w:rPr>
        <w:t xml:space="preserve"> 2025» </w:t>
      </w:r>
      <w:r w:rsidRPr="00250BEC">
        <w:rPr>
          <w:rFonts w:ascii="PT Astra Serif" w:eastAsia="Times New Roman" w:hAnsi="PT Astra Serif" w:cs="Times New Roman"/>
          <w:color w:val="000000"/>
          <w:szCs w:val="28"/>
          <w:lang w:eastAsia="ru-RU"/>
        </w:rPr>
        <w:t>(13 мая)</w:t>
      </w:r>
      <w:r w:rsidRPr="00250BEC">
        <w:rPr>
          <w:rFonts w:ascii="PT Astra Serif" w:eastAsia="Calibri" w:hAnsi="PT Astra Serif" w:cs="Times New Roman"/>
          <w:bCs/>
          <w:szCs w:val="28"/>
        </w:rPr>
        <w:t xml:space="preserve">, </w:t>
      </w:r>
      <w:r w:rsidRPr="00250BEC">
        <w:rPr>
          <w:rFonts w:ascii="PT Astra Serif" w:eastAsia="Times New Roman" w:hAnsi="PT Astra Serif" w:cs="Times New Roman"/>
          <w:bCs/>
          <w:szCs w:val="28"/>
          <w:lang w:eastAsia="ru-RU"/>
        </w:rPr>
        <w:t xml:space="preserve">Международного экономического форума «Россия – Исламский мир: </w:t>
      </w:r>
      <w:proofErr w:type="spellStart"/>
      <w:r w:rsidRPr="00250BEC">
        <w:rPr>
          <w:rFonts w:ascii="PT Astra Serif" w:eastAsia="Times New Roman" w:hAnsi="PT Astra Serif" w:cs="Times New Roman"/>
          <w:bCs/>
          <w:szCs w:val="28"/>
          <w:lang w:eastAsia="ru-RU"/>
        </w:rPr>
        <w:t>KazanForum</w:t>
      </w:r>
      <w:proofErr w:type="spellEnd"/>
      <w:r w:rsidRPr="00250BEC">
        <w:rPr>
          <w:rFonts w:ascii="PT Astra Serif" w:eastAsia="Times New Roman" w:hAnsi="PT Astra Serif" w:cs="Times New Roman"/>
          <w:bCs/>
          <w:szCs w:val="28"/>
          <w:lang w:eastAsia="ru-RU"/>
        </w:rPr>
        <w:t xml:space="preserve">» в г. Казани </w:t>
      </w:r>
      <w:r w:rsidRPr="00250BEC">
        <w:rPr>
          <w:rFonts w:ascii="PT Astra Serif" w:eastAsia="Times New Roman" w:hAnsi="PT Astra Serif" w:cs="Times New Roman"/>
          <w:color w:val="000000"/>
          <w:szCs w:val="28"/>
          <w:lang w:eastAsia="ru-RU"/>
        </w:rPr>
        <w:t>(15 мая)</w:t>
      </w:r>
      <w:r w:rsidRPr="00250BEC">
        <w:rPr>
          <w:rFonts w:ascii="PT Astra Serif" w:eastAsia="Times New Roman" w:hAnsi="PT Astra Serif" w:cs="Times New Roman"/>
          <w:bCs/>
          <w:szCs w:val="28"/>
          <w:lang w:eastAsia="ru-RU"/>
        </w:rPr>
        <w:t xml:space="preserve">, </w:t>
      </w:r>
      <w:r w:rsidRPr="00250BEC">
        <w:rPr>
          <w:rFonts w:ascii="PT Astra Serif" w:eastAsia="Calibri" w:hAnsi="PT Astra Serif" w:cs="Times New Roman"/>
          <w:bCs/>
          <w:szCs w:val="28"/>
        </w:rPr>
        <w:t xml:space="preserve">Международного форума экономического сотрудничества в г. Минске </w:t>
      </w:r>
      <w:r w:rsidRPr="00250BEC">
        <w:rPr>
          <w:rFonts w:ascii="PT Astra Serif" w:eastAsia="Times New Roman" w:hAnsi="PT Astra Serif" w:cs="Times New Roman"/>
          <w:color w:val="000000"/>
          <w:szCs w:val="28"/>
          <w:lang w:eastAsia="ru-RU"/>
        </w:rPr>
        <w:t>(Беларусь, 12-14 сентября)</w:t>
      </w:r>
      <w:r w:rsidRPr="00250BEC">
        <w:rPr>
          <w:rFonts w:ascii="PT Astra Serif" w:eastAsia="Calibri" w:hAnsi="PT Astra Serif" w:cs="Times New Roman"/>
          <w:bCs/>
          <w:szCs w:val="28"/>
        </w:rPr>
        <w:t xml:space="preserve"> </w:t>
      </w:r>
      <w:r w:rsidR="003E3036">
        <w:rPr>
          <w:rFonts w:ascii="PT Astra Serif" w:eastAsia="Calibri" w:hAnsi="PT Astra Serif" w:cs="Times New Roman"/>
          <w:bCs/>
          <w:szCs w:val="28"/>
        </w:rPr>
        <w:br/>
      </w:r>
      <w:r w:rsidRPr="00250BEC">
        <w:rPr>
          <w:rFonts w:ascii="PT Astra Serif" w:eastAsia="Calibri" w:hAnsi="PT Astra Serif" w:cs="Times New Roman"/>
          <w:bCs/>
          <w:szCs w:val="28"/>
        </w:rPr>
        <w:t>и других;</w:t>
      </w:r>
    </w:p>
    <w:p w14:paraId="74447118" w14:textId="77777777" w:rsidR="00250BEC" w:rsidRPr="00250BEC" w:rsidRDefault="00250BEC" w:rsidP="00250BEC">
      <w:pPr>
        <w:widowControl w:val="0"/>
        <w:contextualSpacing/>
        <w:rPr>
          <w:rFonts w:ascii="PT Astra Serif" w:eastAsia="Calibri" w:hAnsi="PT Astra Serif" w:cs="Times New Roman"/>
          <w:bCs/>
          <w:szCs w:val="28"/>
        </w:rPr>
      </w:pPr>
      <w:r w:rsidRPr="00250BEC">
        <w:rPr>
          <w:rFonts w:ascii="PT Astra Serif" w:eastAsia="Calibri" w:hAnsi="PT Astra Serif" w:cs="Times New Roman"/>
          <w:bCs/>
          <w:szCs w:val="28"/>
        </w:rPr>
        <w:t xml:space="preserve">в ходе участия в Международном круглом столе по теме «Формирование транспортного каркаса Евразии и значимая роль Азербайджана в этом процессе» </w:t>
      </w:r>
      <w:r w:rsidRPr="00250BEC">
        <w:rPr>
          <w:rFonts w:ascii="PT Astra Serif" w:eastAsia="Times New Roman" w:hAnsi="PT Astra Serif" w:cs="Times New Roman"/>
          <w:color w:val="000000"/>
          <w:szCs w:val="28"/>
          <w:lang w:eastAsia="ru-RU"/>
        </w:rPr>
        <w:t>(онлайн, 27 мая)</w:t>
      </w:r>
      <w:r w:rsidRPr="00250BEC">
        <w:rPr>
          <w:rFonts w:ascii="PT Astra Serif" w:eastAsia="Calibri" w:hAnsi="PT Astra Serif" w:cs="Times New Roman"/>
          <w:bCs/>
          <w:szCs w:val="28"/>
        </w:rPr>
        <w:t>;</w:t>
      </w:r>
    </w:p>
    <w:p w14:paraId="00B3A10E" w14:textId="1C765802" w:rsidR="00250BEC" w:rsidRPr="00250BEC" w:rsidRDefault="00250BEC" w:rsidP="00250BEC">
      <w:pPr>
        <w:widowControl w:val="0"/>
        <w:contextualSpacing/>
        <w:rPr>
          <w:rFonts w:ascii="PT Astra Serif" w:eastAsia="Calibri" w:hAnsi="PT Astra Serif" w:cs="Times New Roman"/>
          <w:bCs/>
          <w:szCs w:val="28"/>
        </w:rPr>
      </w:pPr>
      <w:r w:rsidRPr="00250BEC">
        <w:rPr>
          <w:rFonts w:ascii="PT Astra Serif" w:eastAsia="Calibri" w:hAnsi="PT Astra Serif" w:cs="Times New Roman"/>
          <w:bCs/>
          <w:szCs w:val="28"/>
        </w:rPr>
        <w:t xml:space="preserve">в ходе участия в международных молодёжных мероприятиях, в том числе в XI Молодёжном саммите БРИКС в г. Бразилиа </w:t>
      </w:r>
      <w:r w:rsidRPr="00250BEC">
        <w:rPr>
          <w:rFonts w:ascii="PT Astra Serif" w:eastAsia="Times New Roman" w:hAnsi="PT Astra Serif" w:cs="Times New Roman"/>
          <w:color w:val="000000"/>
          <w:szCs w:val="28"/>
          <w:lang w:eastAsia="ru-RU"/>
        </w:rPr>
        <w:t>(Бразилия, 9-10 июня)</w:t>
      </w:r>
      <w:r w:rsidRPr="00250BEC">
        <w:rPr>
          <w:rFonts w:ascii="PT Astra Serif" w:eastAsia="Calibri" w:hAnsi="PT Astra Serif" w:cs="Times New Roman"/>
          <w:bCs/>
          <w:szCs w:val="28"/>
        </w:rPr>
        <w:t xml:space="preserve">, в I Российско-Индийском молодёжном форуме </w:t>
      </w:r>
      <w:r w:rsidRPr="00250BEC">
        <w:rPr>
          <w:rFonts w:ascii="PT Astra Serif" w:eastAsia="Times New Roman" w:hAnsi="PT Astra Serif" w:cs="Times New Roman"/>
          <w:color w:val="000000"/>
          <w:szCs w:val="28"/>
          <w:lang w:eastAsia="ru-RU"/>
        </w:rPr>
        <w:t>(онлайн, 18 июня),</w:t>
      </w:r>
      <w:r w:rsidRPr="00250BEC">
        <w:rPr>
          <w:rFonts w:ascii="PT Astra Serif" w:eastAsia="Times New Roman" w:hAnsi="PT Astra Serif" w:cs="Times New Roman"/>
          <w:color w:val="000000"/>
          <w:szCs w:val="28"/>
          <w:lang w:eastAsia="ru-RU"/>
        </w:rPr>
        <w:br/>
      </w:r>
      <w:r w:rsidRPr="00250BEC">
        <w:rPr>
          <w:rFonts w:ascii="PT Astra Serif" w:eastAsia="Times New Roman" w:hAnsi="PT Astra Serif" w:cs="Times New Roman"/>
          <w:color w:val="000000"/>
          <w:szCs w:val="28"/>
          <w:lang w:val="en-US" w:eastAsia="ru-RU"/>
        </w:rPr>
        <w:t>X</w:t>
      </w:r>
      <w:r w:rsidRPr="00250BEC">
        <w:rPr>
          <w:rFonts w:ascii="PT Astra Serif" w:eastAsia="Times New Roman" w:hAnsi="PT Astra Serif" w:cs="Times New Roman"/>
          <w:color w:val="000000"/>
          <w:szCs w:val="28"/>
          <w:lang w:eastAsia="ru-RU"/>
        </w:rPr>
        <w:t xml:space="preserve"> Международном молодёжном форуме «Евразия </w:t>
      </w:r>
      <w:r w:rsidRPr="00250BEC">
        <w:rPr>
          <w:rFonts w:ascii="PT Astra Serif" w:eastAsia="Times New Roman" w:hAnsi="PT Astra Serif" w:cs="Times New Roman"/>
          <w:color w:val="000000"/>
          <w:szCs w:val="28"/>
          <w:lang w:val="en-US" w:eastAsia="ru-RU"/>
        </w:rPr>
        <w:t>Global</w:t>
      </w:r>
      <w:r w:rsidRPr="00250BEC">
        <w:rPr>
          <w:rFonts w:ascii="PT Astra Serif" w:eastAsia="Times New Roman" w:hAnsi="PT Astra Serif" w:cs="Times New Roman"/>
          <w:color w:val="000000"/>
          <w:szCs w:val="28"/>
          <w:lang w:eastAsia="ru-RU"/>
        </w:rPr>
        <w:t xml:space="preserve">» (онлайн, 24-28 июня), </w:t>
      </w:r>
      <w:r w:rsidRPr="00250BEC">
        <w:rPr>
          <w:rFonts w:ascii="PT Astra Serif" w:eastAsia="Times New Roman" w:hAnsi="PT Astra Serif" w:cs="Times New Roman"/>
          <w:color w:val="000000"/>
          <w:szCs w:val="28"/>
          <w:lang w:val="en-US" w:eastAsia="ru-RU"/>
        </w:rPr>
        <w:t>III</w:t>
      </w:r>
      <w:r w:rsidRPr="00250BEC">
        <w:rPr>
          <w:rFonts w:ascii="PT Astra Serif" w:eastAsia="Times New Roman" w:hAnsi="PT Astra Serif" w:cs="Times New Roman"/>
          <w:color w:val="000000"/>
          <w:szCs w:val="28"/>
          <w:lang w:eastAsia="ru-RU"/>
        </w:rPr>
        <w:t xml:space="preserve"> Российско-Венесуэльском молодёжном форуме в г. Москве (15-21 декабря);</w:t>
      </w:r>
    </w:p>
    <w:p w14:paraId="063648F7" w14:textId="19E6A60F"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рамках просветительской экспедиции БРИКС в г. Тегеране </w:t>
      </w:r>
      <w:r w:rsidRPr="00250BEC">
        <w:rPr>
          <w:rFonts w:ascii="PT Astra Serif" w:eastAsia="Times New Roman" w:hAnsi="PT Astra Serif" w:cs="Times New Roman"/>
          <w:color w:val="000000"/>
          <w:szCs w:val="28"/>
          <w:lang w:eastAsia="ru-RU"/>
        </w:rPr>
        <w:t xml:space="preserve">(Иран, </w:t>
      </w:r>
      <w:r w:rsidRPr="00250BEC">
        <w:rPr>
          <w:rFonts w:ascii="PT Astra Serif" w:eastAsia="Times New Roman" w:hAnsi="PT Astra Serif" w:cs="Times New Roman"/>
          <w:color w:val="000000"/>
          <w:szCs w:val="28"/>
          <w:lang w:eastAsia="ru-RU"/>
        </w:rPr>
        <w:br/>
        <w:t>12-13 июня)</w:t>
      </w:r>
      <w:r w:rsidRPr="00250BEC">
        <w:rPr>
          <w:rFonts w:ascii="PT Astra Serif" w:eastAsia="Times New Roman" w:hAnsi="PT Astra Serif" w:cs="Times New Roman"/>
          <w:szCs w:val="28"/>
          <w:lang w:eastAsia="ru-RU"/>
        </w:rPr>
        <w:t>, а также в ходе участия во многих других мероприятиях.</w:t>
      </w:r>
    </w:p>
    <w:p w14:paraId="6B99EC05" w14:textId="77777777" w:rsidR="00250BEC" w:rsidRPr="00250BEC" w:rsidRDefault="00250BEC" w:rsidP="00250BEC">
      <w:pPr>
        <w:widowControl w:val="0"/>
        <w:tabs>
          <w:tab w:val="num" w:pos="993"/>
        </w:tabs>
        <w:rPr>
          <w:rFonts w:ascii="PT Astra Serif" w:eastAsia="Calibri" w:hAnsi="PT Astra Serif" w:cs="Times New Roman"/>
          <w:bCs/>
          <w:szCs w:val="28"/>
        </w:rPr>
      </w:pPr>
      <w:r w:rsidRPr="00250BEC">
        <w:rPr>
          <w:rFonts w:ascii="PT Astra Serif" w:eastAsia="Calibri" w:hAnsi="PT Astra Serif" w:cs="Times New Roman"/>
          <w:szCs w:val="28"/>
        </w:rPr>
        <w:t xml:space="preserve">В течение 2025 года продолжалась </w:t>
      </w:r>
      <w:r w:rsidRPr="00250BEC">
        <w:rPr>
          <w:rFonts w:ascii="PT Astra Serif" w:eastAsia="Calibri" w:hAnsi="PT Astra Serif" w:cs="Times New Roman"/>
          <w:b/>
          <w:szCs w:val="28"/>
        </w:rPr>
        <w:t xml:space="preserve">работа по </w:t>
      </w:r>
      <w:r w:rsidRPr="00250BEC">
        <w:rPr>
          <w:rFonts w:ascii="PT Astra Serif" w:eastAsia="Calibri" w:hAnsi="PT Astra Serif" w:cs="Times New Roman"/>
          <w:b/>
          <w:bCs/>
          <w:szCs w:val="28"/>
        </w:rPr>
        <w:t>продвижению товаров</w:t>
      </w:r>
      <w:r w:rsidRPr="00250BEC">
        <w:rPr>
          <w:rFonts w:ascii="PT Astra Serif" w:eastAsia="Calibri" w:hAnsi="PT Astra Serif" w:cs="Times New Roman"/>
          <w:b/>
          <w:bCs/>
          <w:szCs w:val="28"/>
        </w:rPr>
        <w:br/>
        <w:t>и услуг субъектов малого и среднего предпринимательства региона на рынки стран СНГ, БРИКС, Азии и Африки</w:t>
      </w:r>
      <w:r w:rsidRPr="00250BEC">
        <w:rPr>
          <w:rFonts w:ascii="PT Astra Serif" w:eastAsia="Calibri" w:hAnsi="PT Astra Serif" w:cs="Times New Roman"/>
          <w:bCs/>
          <w:szCs w:val="28"/>
        </w:rPr>
        <w:t xml:space="preserve">: </w:t>
      </w:r>
    </w:p>
    <w:p w14:paraId="0B005B50"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представители региональных </w:t>
      </w:r>
      <w:proofErr w:type="spellStart"/>
      <w:r w:rsidRPr="00250BEC">
        <w:rPr>
          <w:rFonts w:ascii="PT Astra Serif" w:eastAsia="Times New Roman" w:hAnsi="PT Astra Serif" w:cs="Times New Roman"/>
          <w:bCs/>
          <w:szCs w:val="28"/>
          <w:lang w:eastAsia="ru-RU"/>
        </w:rPr>
        <w:t>экспортно</w:t>
      </w:r>
      <w:proofErr w:type="spellEnd"/>
      <w:r w:rsidRPr="00250BEC">
        <w:rPr>
          <w:rFonts w:ascii="PT Astra Serif" w:eastAsia="Times New Roman" w:hAnsi="PT Astra Serif" w:cs="Times New Roman"/>
          <w:bCs/>
          <w:szCs w:val="28"/>
          <w:lang w:eastAsia="ru-RU"/>
        </w:rPr>
        <w:t xml:space="preserve"> ориентированных предприятий принимали участие в онлайн-мероприятиях </w:t>
      </w:r>
      <w:r w:rsidRPr="00250BEC">
        <w:rPr>
          <w:rFonts w:ascii="PT Astra Serif" w:eastAsia="Times New Roman" w:hAnsi="PT Astra Serif" w:cs="Times New Roman"/>
          <w:b/>
          <w:bCs/>
          <w:szCs w:val="28"/>
          <w:lang w:eastAsia="ru-RU"/>
        </w:rPr>
        <w:t>«Час с торгпредом»</w:t>
      </w:r>
      <w:r w:rsidRPr="00250BEC">
        <w:rPr>
          <w:rFonts w:ascii="PT Astra Serif" w:eastAsia="Times New Roman" w:hAnsi="PT Astra Serif" w:cs="Times New Roman"/>
          <w:bCs/>
          <w:szCs w:val="28"/>
          <w:lang w:eastAsia="ru-RU"/>
        </w:rPr>
        <w:t xml:space="preserve"> с участием торгпредов России в Нигерии </w:t>
      </w:r>
      <w:r w:rsidRPr="00250BEC">
        <w:rPr>
          <w:rFonts w:ascii="PT Astra Serif" w:eastAsia="Times New Roman" w:hAnsi="PT Astra Serif" w:cs="Times New Roman"/>
          <w:color w:val="000000"/>
          <w:szCs w:val="28"/>
          <w:lang w:eastAsia="ru-RU"/>
        </w:rPr>
        <w:t>(24 марта)</w:t>
      </w:r>
      <w:r w:rsidRPr="00250BEC">
        <w:rPr>
          <w:rFonts w:ascii="PT Astra Serif" w:eastAsia="Times New Roman" w:hAnsi="PT Astra Serif" w:cs="Times New Roman"/>
          <w:bCs/>
          <w:szCs w:val="28"/>
          <w:lang w:eastAsia="ru-RU"/>
        </w:rPr>
        <w:t xml:space="preserve">, Китае </w:t>
      </w:r>
      <w:r w:rsidRPr="00250BEC">
        <w:rPr>
          <w:rFonts w:ascii="PT Astra Serif" w:eastAsia="Times New Roman" w:hAnsi="PT Astra Serif" w:cs="Times New Roman"/>
          <w:color w:val="000000"/>
          <w:szCs w:val="28"/>
          <w:lang w:eastAsia="ru-RU"/>
        </w:rPr>
        <w:t>(27 марта)</w:t>
      </w:r>
      <w:r w:rsidRPr="00250BEC">
        <w:rPr>
          <w:rFonts w:ascii="PT Astra Serif" w:eastAsia="Times New Roman" w:hAnsi="PT Astra Serif" w:cs="Times New Roman"/>
          <w:bCs/>
          <w:szCs w:val="28"/>
          <w:lang w:eastAsia="ru-RU"/>
        </w:rPr>
        <w:t xml:space="preserve"> и Армении </w:t>
      </w:r>
      <w:r w:rsidRPr="00250BEC">
        <w:rPr>
          <w:rFonts w:ascii="PT Astra Serif" w:eastAsia="Times New Roman" w:hAnsi="PT Astra Serif" w:cs="Times New Roman"/>
          <w:color w:val="000000"/>
          <w:szCs w:val="28"/>
          <w:lang w:eastAsia="ru-RU"/>
        </w:rPr>
        <w:t>(18 декабря)</w:t>
      </w:r>
      <w:r w:rsidRPr="00250BEC">
        <w:rPr>
          <w:rFonts w:ascii="PT Astra Serif" w:eastAsia="Times New Roman" w:hAnsi="PT Astra Serif" w:cs="Times New Roman"/>
          <w:bCs/>
          <w:szCs w:val="28"/>
          <w:lang w:eastAsia="ru-RU"/>
        </w:rPr>
        <w:t>, организованных Российским экспортным центром</w:t>
      </w:r>
      <w:r w:rsidRPr="00250BEC">
        <w:rPr>
          <w:rFonts w:ascii="PT Astra Serif" w:eastAsia="Times New Roman" w:hAnsi="PT Astra Serif" w:cs="Times New Roman"/>
          <w:b/>
          <w:bCs/>
          <w:szCs w:val="28"/>
          <w:lang w:eastAsia="ru-RU"/>
        </w:rPr>
        <w:t xml:space="preserve"> международных онлайн-консультациях </w:t>
      </w:r>
      <w:r w:rsidRPr="00250BEC">
        <w:rPr>
          <w:rFonts w:ascii="PT Astra Serif" w:eastAsia="Times New Roman" w:hAnsi="PT Astra Serif" w:cs="Times New Roman"/>
          <w:bCs/>
          <w:szCs w:val="28"/>
          <w:lang w:eastAsia="ru-RU"/>
        </w:rPr>
        <w:t xml:space="preserve">(более 150 консультаций) и </w:t>
      </w:r>
      <w:proofErr w:type="spellStart"/>
      <w:r w:rsidRPr="00250BEC">
        <w:rPr>
          <w:rFonts w:ascii="PT Astra Serif" w:eastAsia="Times New Roman" w:hAnsi="PT Astra Serif" w:cs="Times New Roman"/>
          <w:bCs/>
          <w:szCs w:val="28"/>
          <w:lang w:eastAsia="ru-RU"/>
        </w:rPr>
        <w:t>вебинарах</w:t>
      </w:r>
      <w:proofErr w:type="spellEnd"/>
      <w:r w:rsidRPr="00250BEC">
        <w:rPr>
          <w:rFonts w:ascii="PT Astra Serif" w:eastAsia="Times New Roman" w:hAnsi="PT Astra Serif" w:cs="Times New Roman"/>
          <w:bCs/>
          <w:szCs w:val="28"/>
          <w:lang w:eastAsia="ru-RU"/>
        </w:rPr>
        <w:t>, в ходе которых обсуждались актуальные тенденции, сложности и другие возникающие вопросы при выводе отечественных продуктов на зарубежные рынки;</w:t>
      </w:r>
    </w:p>
    <w:p w14:paraId="27BBB80C" w14:textId="6BCCB0F4"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в целях активизации торгово-экономического сотрудничества в июле </w:t>
      </w:r>
      <w:r w:rsidRPr="00250BEC">
        <w:rPr>
          <w:rFonts w:ascii="PT Astra Serif" w:eastAsia="Times New Roman" w:hAnsi="PT Astra Serif" w:cs="Times New Roman"/>
          <w:b/>
          <w:bCs/>
          <w:szCs w:val="28"/>
          <w:lang w:eastAsia="ru-RU"/>
        </w:rPr>
        <w:t>Ульяновскую область</w:t>
      </w:r>
      <w:r w:rsidRPr="00250BEC">
        <w:rPr>
          <w:rFonts w:ascii="PT Astra Serif" w:eastAsia="Times New Roman" w:hAnsi="PT Astra Serif" w:cs="Times New Roman"/>
          <w:bCs/>
          <w:szCs w:val="28"/>
          <w:lang w:eastAsia="ru-RU"/>
        </w:rPr>
        <w:t xml:space="preserve"> </w:t>
      </w:r>
      <w:r w:rsidRPr="00250BEC">
        <w:rPr>
          <w:rFonts w:ascii="PT Astra Serif" w:eastAsia="Times New Roman" w:hAnsi="PT Astra Serif" w:cs="Times New Roman"/>
          <w:b/>
          <w:bCs/>
          <w:szCs w:val="28"/>
          <w:lang w:eastAsia="ru-RU"/>
        </w:rPr>
        <w:t>посетили торговые представители</w:t>
      </w:r>
      <w:r w:rsidRPr="00250BEC">
        <w:rPr>
          <w:rFonts w:ascii="PT Astra Serif" w:eastAsia="Times New Roman" w:hAnsi="PT Astra Serif" w:cs="Times New Roman"/>
          <w:bCs/>
          <w:szCs w:val="28"/>
          <w:lang w:eastAsia="ru-RU"/>
        </w:rPr>
        <w:t xml:space="preserve"> России</w:t>
      </w:r>
      <w:r w:rsidRPr="00250BEC">
        <w:rPr>
          <w:rFonts w:ascii="PT Astra Serif" w:eastAsia="Times New Roman" w:hAnsi="PT Astra Serif" w:cs="Times New Roman"/>
          <w:bCs/>
          <w:szCs w:val="28"/>
          <w:lang w:eastAsia="ru-RU"/>
        </w:rPr>
        <w:br/>
        <w:t xml:space="preserve">в Азербайджане, Кубе, Мексике и Саудовской Аравии </w:t>
      </w:r>
      <w:r w:rsidRPr="00250BEC">
        <w:rPr>
          <w:rFonts w:ascii="PT Astra Serif" w:eastAsia="Times New Roman" w:hAnsi="PT Astra Serif" w:cs="Times New Roman"/>
          <w:color w:val="000000"/>
          <w:szCs w:val="28"/>
          <w:lang w:eastAsia="ru-RU"/>
        </w:rPr>
        <w:t>(3-4 июля);</w:t>
      </w:r>
    </w:p>
    <w:p w14:paraId="67906FBC" w14:textId="3A832F21"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течение года</w:t>
      </w:r>
      <w:r w:rsidRPr="00250BEC">
        <w:rPr>
          <w:rFonts w:ascii="PT Astra Serif" w:eastAsia="Times New Roman" w:hAnsi="PT Astra Serif" w:cs="Times New Roman"/>
          <w:b/>
          <w:szCs w:val="28"/>
          <w:lang w:eastAsia="ru-RU"/>
        </w:rPr>
        <w:t xml:space="preserve"> были организованы бизнес-миссии ульяновских компаний </w:t>
      </w:r>
      <w:r w:rsidRPr="00250BEC">
        <w:rPr>
          <w:rFonts w:ascii="PT Astra Serif" w:eastAsia="Times New Roman" w:hAnsi="PT Astra Serif" w:cs="Times New Roman"/>
          <w:szCs w:val="28"/>
          <w:lang w:eastAsia="ru-RU"/>
        </w:rPr>
        <w:t>в Беларусь (</w:t>
      </w:r>
      <w:r w:rsidRPr="00250BEC">
        <w:rPr>
          <w:rFonts w:ascii="PT Astra Serif" w:eastAsia="Calibri" w:hAnsi="PT Astra Serif" w:cs="Times New Roman"/>
          <w:bCs/>
          <w:szCs w:val="28"/>
        </w:rPr>
        <w:t>28 сентября – 1 октября</w:t>
      </w:r>
      <w:r w:rsidRPr="00250BEC">
        <w:rPr>
          <w:rFonts w:ascii="PT Astra Serif" w:eastAsia="Times New Roman" w:hAnsi="PT Astra Serif" w:cs="Times New Roman"/>
          <w:szCs w:val="28"/>
          <w:lang w:eastAsia="ru-RU"/>
        </w:rPr>
        <w:t xml:space="preserve">), Индию (23-25 февраля, 17-21 марта), Иран (28 апреля – 1 мая, 7-10 декабря), Казахстан (11-13 июня, 12-14 ноября), Китай (21-28 мая, 20-24 октября, 4-9 ноября), Турцию </w:t>
      </w:r>
      <w:r w:rsidR="003E3036">
        <w:rPr>
          <w:rFonts w:ascii="PT Astra Serif" w:eastAsia="Times New Roman" w:hAnsi="PT Astra Serif" w:cs="Times New Roman"/>
          <w:szCs w:val="28"/>
          <w:lang w:eastAsia="ru-RU"/>
        </w:rPr>
        <w:t>(20-</w:t>
      </w:r>
      <w:r w:rsidRPr="00250BEC">
        <w:rPr>
          <w:rFonts w:ascii="PT Astra Serif" w:eastAsia="Times New Roman" w:hAnsi="PT Astra Serif" w:cs="Times New Roman"/>
          <w:szCs w:val="28"/>
          <w:lang w:eastAsia="ru-RU"/>
        </w:rPr>
        <w:t>22 августа) и Узбекистан (25-27 февраля, 28-30 апреля, 7-9 октября),</w:t>
      </w:r>
      <w:r w:rsidR="003E3036">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szCs w:val="28"/>
          <w:lang w:eastAsia="ru-RU"/>
        </w:rPr>
        <w:t xml:space="preserve">а также </w:t>
      </w:r>
      <w:r w:rsidR="003E3036">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t>в Московскую (29 - 30 сентября) и в Пензенскую (11 декабря) области с целью проведения переговоров с представителями деловых кругов из стран СНГ;</w:t>
      </w:r>
    </w:p>
    <w:p w14:paraId="2B1B7529" w14:textId="77777777" w:rsidR="00250BEC" w:rsidRPr="00250BEC" w:rsidRDefault="00250BEC" w:rsidP="00250BEC">
      <w:pPr>
        <w:widowControl w:val="0"/>
        <w:contextualSpacing/>
        <w:rPr>
          <w:rFonts w:ascii="PT Astra Serif" w:eastAsia="Times New Roman" w:hAnsi="PT Astra Serif" w:cs="Times New Roman"/>
          <w:bCs/>
          <w:szCs w:val="28"/>
          <w:lang w:eastAsia="ru-RU"/>
        </w:rPr>
      </w:pPr>
      <w:r w:rsidRPr="00250BEC">
        <w:rPr>
          <w:rFonts w:ascii="PT Astra Serif" w:eastAsia="Times New Roman" w:hAnsi="PT Astra Serif" w:cs="Times New Roman"/>
          <w:bCs/>
          <w:szCs w:val="28"/>
          <w:lang w:eastAsia="ru-RU"/>
        </w:rPr>
        <w:t xml:space="preserve">в мае и октябре состоялись </w:t>
      </w:r>
      <w:r w:rsidRPr="00250BEC">
        <w:rPr>
          <w:rFonts w:ascii="PT Astra Serif" w:eastAsia="Times New Roman" w:hAnsi="PT Astra Serif" w:cs="Times New Roman"/>
          <w:b/>
          <w:bCs/>
          <w:szCs w:val="28"/>
          <w:lang w:eastAsia="ru-RU"/>
        </w:rPr>
        <w:t>закупочные сессии</w:t>
      </w:r>
      <w:r w:rsidRPr="00250BEC">
        <w:rPr>
          <w:rFonts w:ascii="PT Astra Serif" w:eastAsia="Times New Roman" w:hAnsi="PT Astra Serif" w:cs="Times New Roman"/>
          <w:bCs/>
          <w:szCs w:val="28"/>
          <w:lang w:eastAsia="ru-RU"/>
        </w:rPr>
        <w:t xml:space="preserve"> импортёров российской продукции из Казахстана и Узбекистана (г. Ульяновск, 23 мая), Азербайджана, Индии, Ирана, Ирака, ОАЭ, Омана и Туркменистана (г. Ульяновск, </w:t>
      </w:r>
      <w:r w:rsidRPr="00250BEC">
        <w:rPr>
          <w:rFonts w:ascii="PT Astra Serif" w:eastAsia="Times New Roman" w:hAnsi="PT Astra Serif" w:cs="Times New Roman"/>
          <w:bCs/>
          <w:szCs w:val="28"/>
          <w:lang w:eastAsia="ru-RU"/>
        </w:rPr>
        <w:br/>
      </w:r>
      <w:r w:rsidRPr="00250BEC">
        <w:rPr>
          <w:rFonts w:ascii="PT Astra Serif" w:eastAsia="Times New Roman" w:hAnsi="PT Astra Serif" w:cs="Times New Roman"/>
          <w:bCs/>
          <w:szCs w:val="28"/>
          <w:lang w:eastAsia="ru-RU"/>
        </w:rPr>
        <w:lastRenderedPageBreak/>
        <w:t xml:space="preserve">24 октября), в апреле и в ноябре прошли </w:t>
      </w:r>
      <w:r w:rsidRPr="00250BEC">
        <w:rPr>
          <w:rFonts w:ascii="PT Astra Serif" w:eastAsia="Times New Roman" w:hAnsi="PT Astra Serif" w:cs="Times New Roman"/>
          <w:b/>
          <w:szCs w:val="28"/>
          <w:lang w:eastAsia="ru-RU"/>
        </w:rPr>
        <w:t>круглые столы по промышленной кооперации</w:t>
      </w:r>
      <w:r w:rsidRPr="00250BEC">
        <w:rPr>
          <w:rFonts w:ascii="PT Astra Serif" w:eastAsia="Times New Roman" w:hAnsi="PT Astra Serif" w:cs="Times New Roman"/>
          <w:szCs w:val="28"/>
          <w:lang w:eastAsia="ru-RU"/>
        </w:rPr>
        <w:t xml:space="preserve"> между представителями ульяновских промышленных предприятий и предприятий Витебской и Минской областей (Беларусь) </w:t>
      </w:r>
      <w:r w:rsidRPr="00250BEC">
        <w:rPr>
          <w:rFonts w:ascii="PT Astra Serif" w:eastAsia="Times New Roman" w:hAnsi="PT Astra Serif" w:cs="Times New Roman"/>
          <w:szCs w:val="28"/>
          <w:lang w:eastAsia="ru-RU"/>
        </w:rPr>
        <w:br/>
      </w:r>
      <w:r w:rsidRPr="00250BEC">
        <w:rPr>
          <w:rFonts w:ascii="PT Astra Serif" w:eastAsia="Times New Roman" w:hAnsi="PT Astra Serif" w:cs="Times New Roman"/>
          <w:bCs/>
          <w:szCs w:val="28"/>
          <w:lang w:eastAsia="ru-RU"/>
        </w:rPr>
        <w:t>(г. Ульяновск, 3 апреля и 26 ноября, г. Димитровград, 27 ноября).</w:t>
      </w:r>
    </w:p>
    <w:p w14:paraId="576A7505" w14:textId="6486E084" w:rsidR="00250BEC" w:rsidRPr="00250BEC" w:rsidRDefault="00250BEC" w:rsidP="00250BEC">
      <w:pPr>
        <w:widowControl w:val="0"/>
        <w:tabs>
          <w:tab w:val="num" w:pos="720"/>
          <w:tab w:val="left" w:pos="993"/>
        </w:tabs>
        <w:rPr>
          <w:rFonts w:ascii="PT Astra Serif" w:eastAsia="Calibri" w:hAnsi="PT Astra Serif" w:cs="Times New Roman"/>
          <w:szCs w:val="28"/>
        </w:rPr>
      </w:pPr>
      <w:r w:rsidRPr="00250BEC">
        <w:rPr>
          <w:rFonts w:ascii="PT Astra Serif" w:eastAsia="Calibri" w:hAnsi="PT Astra Serif" w:cs="Times New Roman"/>
          <w:szCs w:val="28"/>
        </w:rPr>
        <w:t xml:space="preserve">Представители ульяновских компаний проходили практико-ориентированные образовательные бизнес-стажировки в Республике Беларусь </w:t>
      </w:r>
      <w:r w:rsidRPr="00250BEC">
        <w:rPr>
          <w:rFonts w:ascii="PT Astra Serif" w:eastAsia="Times New Roman" w:hAnsi="PT Astra Serif" w:cs="Times New Roman"/>
          <w:bCs/>
          <w:szCs w:val="28"/>
          <w:lang w:eastAsia="ru-RU"/>
        </w:rPr>
        <w:t>(г. Минск, г. Жодино, г. Борисов и г. Гродно, 20-25 апреля и 15-21 июня)</w:t>
      </w:r>
      <w:r w:rsidRPr="00250BEC">
        <w:rPr>
          <w:rFonts w:ascii="PT Astra Serif" w:eastAsia="Calibri" w:hAnsi="PT Astra Serif" w:cs="Times New Roman"/>
          <w:szCs w:val="28"/>
        </w:rPr>
        <w:t>.</w:t>
      </w:r>
    </w:p>
    <w:p w14:paraId="06E19F86" w14:textId="0584FFE6" w:rsidR="00C72F5D" w:rsidRPr="00C72F5D" w:rsidRDefault="00C72F5D" w:rsidP="00C72F5D">
      <w:pPr>
        <w:widowControl w:val="0"/>
        <w:contextualSpacing/>
        <w:rPr>
          <w:rFonts w:ascii="PT Astra Serif" w:eastAsia="Times New Roman" w:hAnsi="PT Astra Serif" w:cs="Times New Roman"/>
          <w:szCs w:val="28"/>
          <w:lang w:eastAsia="ru-RU"/>
        </w:rPr>
      </w:pPr>
      <w:r w:rsidRPr="00C72F5D">
        <w:rPr>
          <w:rFonts w:ascii="PT Astra Serif" w:eastAsia="Times New Roman" w:hAnsi="PT Astra Serif" w:cs="Times New Roman"/>
          <w:b/>
          <w:szCs w:val="28"/>
          <w:lang w:eastAsia="ru-RU"/>
        </w:rPr>
        <w:t>Торговыми партнёрами</w:t>
      </w:r>
      <w:r w:rsidRPr="00C72F5D">
        <w:rPr>
          <w:rFonts w:ascii="PT Astra Serif" w:eastAsia="Times New Roman" w:hAnsi="PT Astra Serif" w:cs="Times New Roman"/>
          <w:szCs w:val="28"/>
          <w:lang w:eastAsia="ru-RU"/>
        </w:rPr>
        <w:t xml:space="preserve"> Ульяновской области в 2025 году являлись 95</w:t>
      </w:r>
      <w:r w:rsidRPr="00C72F5D">
        <w:rPr>
          <w:rFonts w:ascii="PT Astra Serif" w:eastAsia="Times New Roman" w:hAnsi="PT Astra Serif" w:cs="Times New Roman"/>
          <w:b/>
          <w:szCs w:val="28"/>
          <w:lang w:eastAsia="ru-RU"/>
        </w:rPr>
        <w:t xml:space="preserve"> стран</w:t>
      </w:r>
      <w:r w:rsidRPr="00C72F5D">
        <w:rPr>
          <w:rFonts w:ascii="PT Astra Serif" w:eastAsia="Times New Roman" w:hAnsi="PT Astra Serif" w:cs="Times New Roman"/>
          <w:szCs w:val="28"/>
          <w:lang w:eastAsia="ru-RU"/>
        </w:rPr>
        <w:t xml:space="preserve">. Основными торговыми партнёрами были страны дальнего зарубежья </w:t>
      </w:r>
      <w:r>
        <w:rPr>
          <w:rFonts w:ascii="PT Astra Serif" w:eastAsia="Times New Roman" w:hAnsi="PT Astra Serif" w:cs="Times New Roman"/>
          <w:szCs w:val="28"/>
          <w:lang w:eastAsia="ru-RU"/>
        </w:rPr>
        <w:br/>
      </w:r>
      <w:r w:rsidRPr="00C72F5D">
        <w:rPr>
          <w:rFonts w:ascii="PT Astra Serif" w:eastAsia="Times New Roman" w:hAnsi="PT Astra Serif" w:cs="Times New Roman"/>
          <w:szCs w:val="28"/>
          <w:lang w:eastAsia="ru-RU"/>
        </w:rPr>
        <w:t>с долей в товарообороте 64%, в том числе в экспорте – 44%, в импорте – 78%.</w:t>
      </w:r>
    </w:p>
    <w:p w14:paraId="18B1895C" w14:textId="77777777" w:rsidR="00C72F5D" w:rsidRPr="00C72F5D" w:rsidRDefault="00C72F5D" w:rsidP="00C72F5D">
      <w:pPr>
        <w:widowControl w:val="0"/>
        <w:contextualSpacing/>
        <w:rPr>
          <w:rFonts w:ascii="PT Astra Serif" w:eastAsia="Times New Roman" w:hAnsi="PT Astra Serif" w:cs="Times New Roman"/>
          <w:szCs w:val="28"/>
          <w:lang w:eastAsia="ru-RU"/>
        </w:rPr>
      </w:pPr>
      <w:r w:rsidRPr="00C72F5D">
        <w:rPr>
          <w:rFonts w:ascii="PT Astra Serif" w:eastAsia="Times New Roman" w:hAnsi="PT Astra Serif" w:cs="Times New Roman"/>
          <w:szCs w:val="28"/>
          <w:lang w:eastAsia="ru-RU"/>
        </w:rPr>
        <w:t xml:space="preserve">К крупнейшим торговым партнёрам при экспорте в 2025 году относились Казахстан </w:t>
      </w:r>
      <w:r w:rsidRPr="00C72F5D">
        <w:rPr>
          <w:rFonts w:ascii="PT Astra Serif" w:eastAsia="Calibri" w:hAnsi="PT Astra Serif" w:cs="Times New Roman"/>
          <w:bCs/>
          <w:szCs w:val="28"/>
        </w:rPr>
        <w:t>(16%)</w:t>
      </w:r>
      <w:r w:rsidRPr="00C72F5D">
        <w:rPr>
          <w:rFonts w:ascii="PT Astra Serif" w:eastAsia="Times New Roman" w:hAnsi="PT Astra Serif" w:cs="Times New Roman"/>
          <w:szCs w:val="28"/>
          <w:lang w:eastAsia="ru-RU"/>
        </w:rPr>
        <w:t xml:space="preserve">, Беларусь </w:t>
      </w:r>
      <w:r w:rsidRPr="00C72F5D">
        <w:rPr>
          <w:rFonts w:ascii="PT Astra Serif" w:eastAsia="Calibri" w:hAnsi="PT Astra Serif" w:cs="Times New Roman"/>
          <w:bCs/>
          <w:szCs w:val="28"/>
        </w:rPr>
        <w:t>(14%)</w:t>
      </w:r>
      <w:r w:rsidRPr="00C72F5D">
        <w:rPr>
          <w:rFonts w:ascii="PT Astra Serif" w:eastAsia="Times New Roman" w:hAnsi="PT Astra Serif" w:cs="Times New Roman"/>
          <w:szCs w:val="28"/>
          <w:lang w:eastAsia="ru-RU"/>
        </w:rPr>
        <w:t xml:space="preserve">, Китай </w:t>
      </w:r>
      <w:r w:rsidRPr="00C72F5D">
        <w:rPr>
          <w:rFonts w:ascii="PT Astra Serif" w:eastAsia="Calibri" w:hAnsi="PT Astra Serif" w:cs="Times New Roman"/>
          <w:bCs/>
          <w:szCs w:val="28"/>
        </w:rPr>
        <w:t>(12%)</w:t>
      </w:r>
      <w:r w:rsidRPr="00C72F5D">
        <w:rPr>
          <w:rFonts w:ascii="PT Astra Serif" w:eastAsia="Times New Roman" w:hAnsi="PT Astra Serif" w:cs="Times New Roman"/>
          <w:szCs w:val="28"/>
          <w:lang w:eastAsia="ru-RU"/>
        </w:rPr>
        <w:t xml:space="preserve">, Таджикистан </w:t>
      </w:r>
      <w:r w:rsidRPr="00C72F5D">
        <w:rPr>
          <w:rFonts w:ascii="PT Astra Serif" w:eastAsia="Calibri" w:hAnsi="PT Astra Serif" w:cs="Times New Roman"/>
          <w:bCs/>
          <w:szCs w:val="28"/>
        </w:rPr>
        <w:t>(11%)</w:t>
      </w:r>
      <w:r w:rsidRPr="00C72F5D">
        <w:rPr>
          <w:rFonts w:ascii="PT Astra Serif" w:eastAsia="Times New Roman" w:hAnsi="PT Astra Serif" w:cs="Times New Roman"/>
          <w:szCs w:val="28"/>
          <w:lang w:eastAsia="ru-RU"/>
        </w:rPr>
        <w:t xml:space="preserve">, Киргизия </w:t>
      </w:r>
      <w:r w:rsidRPr="00C72F5D">
        <w:rPr>
          <w:rFonts w:ascii="PT Astra Serif" w:eastAsia="Calibri" w:hAnsi="PT Astra Serif" w:cs="Times New Roman"/>
          <w:bCs/>
          <w:szCs w:val="28"/>
        </w:rPr>
        <w:t>(6%)</w:t>
      </w:r>
      <w:r w:rsidRPr="00C72F5D">
        <w:rPr>
          <w:rFonts w:ascii="PT Astra Serif" w:eastAsia="Times New Roman" w:hAnsi="PT Astra Serif" w:cs="Times New Roman"/>
          <w:szCs w:val="28"/>
          <w:lang w:eastAsia="ru-RU"/>
        </w:rPr>
        <w:t xml:space="preserve">, Азербайджан </w:t>
      </w:r>
      <w:r w:rsidRPr="00C72F5D">
        <w:rPr>
          <w:rFonts w:ascii="PT Astra Serif" w:eastAsia="Calibri" w:hAnsi="PT Astra Serif" w:cs="Times New Roman"/>
          <w:bCs/>
          <w:szCs w:val="28"/>
        </w:rPr>
        <w:t>(4%)</w:t>
      </w:r>
      <w:r w:rsidRPr="00C72F5D">
        <w:rPr>
          <w:rFonts w:ascii="PT Astra Serif" w:eastAsia="Times New Roman" w:hAnsi="PT Astra Serif" w:cs="Times New Roman"/>
          <w:szCs w:val="28"/>
          <w:lang w:eastAsia="ru-RU"/>
        </w:rPr>
        <w:t xml:space="preserve">, Судан </w:t>
      </w:r>
      <w:r w:rsidRPr="00C72F5D">
        <w:rPr>
          <w:rFonts w:ascii="PT Astra Serif" w:eastAsia="Calibri" w:hAnsi="PT Astra Serif" w:cs="Times New Roman"/>
          <w:bCs/>
          <w:szCs w:val="28"/>
        </w:rPr>
        <w:t>(4%)</w:t>
      </w:r>
      <w:r w:rsidRPr="00C72F5D">
        <w:rPr>
          <w:rFonts w:ascii="PT Astra Serif" w:eastAsia="Times New Roman" w:hAnsi="PT Astra Serif" w:cs="Times New Roman"/>
          <w:szCs w:val="28"/>
          <w:lang w:eastAsia="ru-RU"/>
        </w:rPr>
        <w:t xml:space="preserve">, Узбекистан </w:t>
      </w:r>
      <w:r w:rsidRPr="00C72F5D">
        <w:rPr>
          <w:rFonts w:ascii="PT Astra Serif" w:eastAsia="Calibri" w:hAnsi="PT Astra Serif" w:cs="Times New Roman"/>
          <w:bCs/>
          <w:szCs w:val="28"/>
        </w:rPr>
        <w:t>(4%),</w:t>
      </w:r>
      <w:r w:rsidRPr="00C72F5D">
        <w:rPr>
          <w:rFonts w:ascii="PT Astra Serif" w:eastAsia="Times New Roman" w:hAnsi="PT Astra Serif" w:cs="Times New Roman"/>
          <w:szCs w:val="28"/>
          <w:lang w:eastAsia="ru-RU"/>
        </w:rPr>
        <w:t xml:space="preserve"> Иран </w:t>
      </w:r>
      <w:r w:rsidRPr="00C72F5D">
        <w:rPr>
          <w:rFonts w:ascii="PT Astra Serif" w:eastAsia="Calibri" w:hAnsi="PT Astra Serif" w:cs="Times New Roman"/>
          <w:bCs/>
          <w:szCs w:val="28"/>
        </w:rPr>
        <w:t>(3%)</w:t>
      </w:r>
      <w:r w:rsidRPr="00C72F5D">
        <w:rPr>
          <w:rFonts w:ascii="PT Astra Serif" w:eastAsia="Times New Roman" w:hAnsi="PT Astra Serif" w:cs="Times New Roman"/>
          <w:szCs w:val="28"/>
          <w:lang w:eastAsia="ru-RU"/>
        </w:rPr>
        <w:t xml:space="preserve">, Корея </w:t>
      </w:r>
      <w:r w:rsidRPr="00C72F5D">
        <w:rPr>
          <w:rFonts w:ascii="PT Astra Serif" w:eastAsia="Calibri" w:hAnsi="PT Astra Serif" w:cs="Times New Roman"/>
          <w:bCs/>
          <w:szCs w:val="28"/>
        </w:rPr>
        <w:t>(3%) и</w:t>
      </w:r>
      <w:r w:rsidRPr="00C72F5D">
        <w:rPr>
          <w:rFonts w:ascii="PT Astra Serif" w:eastAsia="Times New Roman" w:hAnsi="PT Astra Serif" w:cs="Times New Roman"/>
          <w:szCs w:val="28"/>
          <w:lang w:eastAsia="ru-RU"/>
        </w:rPr>
        <w:t xml:space="preserve"> ОАЭ </w:t>
      </w:r>
      <w:r w:rsidRPr="00C72F5D">
        <w:rPr>
          <w:rFonts w:ascii="PT Astra Serif" w:eastAsia="Calibri" w:hAnsi="PT Astra Serif" w:cs="Times New Roman"/>
          <w:bCs/>
          <w:szCs w:val="28"/>
        </w:rPr>
        <w:t>(2%)</w:t>
      </w:r>
      <w:r w:rsidRPr="00C72F5D">
        <w:rPr>
          <w:rFonts w:ascii="PT Astra Serif" w:eastAsia="Times New Roman" w:hAnsi="PT Astra Serif" w:cs="Times New Roman"/>
          <w:szCs w:val="28"/>
          <w:lang w:eastAsia="ru-RU"/>
        </w:rPr>
        <w:t xml:space="preserve"> (всего 73 страны).</w:t>
      </w:r>
    </w:p>
    <w:p w14:paraId="6DEF524E" w14:textId="77777777" w:rsidR="00C72F5D" w:rsidRPr="00464CED" w:rsidRDefault="00C72F5D" w:rsidP="00C72F5D">
      <w:pPr>
        <w:widowControl w:val="0"/>
        <w:tabs>
          <w:tab w:val="num" w:pos="993"/>
        </w:tabs>
        <w:contextualSpacing/>
        <w:rPr>
          <w:rFonts w:ascii="PT Astra Serif" w:eastAsia="Times New Roman" w:hAnsi="PT Astra Serif" w:cs="Times New Roman"/>
          <w:szCs w:val="28"/>
          <w:lang w:eastAsia="ru-RU"/>
        </w:rPr>
      </w:pPr>
      <w:r w:rsidRPr="00C72F5D">
        <w:rPr>
          <w:rFonts w:ascii="PT Astra Serif" w:eastAsia="Times New Roman" w:hAnsi="PT Astra Serif" w:cs="Times New Roman"/>
          <w:szCs w:val="28"/>
          <w:lang w:eastAsia="ru-RU"/>
        </w:rPr>
        <w:t xml:space="preserve">Крупнейшими торговыми партнёрами-странами-импортёрами являются: Китай </w:t>
      </w:r>
      <w:r w:rsidRPr="00C72F5D">
        <w:rPr>
          <w:rFonts w:ascii="PT Astra Serif" w:eastAsia="Calibri" w:hAnsi="PT Astra Serif" w:cs="Times New Roman"/>
          <w:bCs/>
          <w:szCs w:val="28"/>
        </w:rPr>
        <w:t>(56%)</w:t>
      </w:r>
      <w:r w:rsidRPr="00C72F5D">
        <w:rPr>
          <w:rFonts w:ascii="PT Astra Serif" w:eastAsia="Times New Roman" w:hAnsi="PT Astra Serif" w:cs="Times New Roman"/>
          <w:szCs w:val="28"/>
          <w:lang w:eastAsia="ru-RU"/>
        </w:rPr>
        <w:t xml:space="preserve">, Беларусь </w:t>
      </w:r>
      <w:r w:rsidRPr="00C72F5D">
        <w:rPr>
          <w:rFonts w:ascii="PT Astra Serif" w:eastAsia="Calibri" w:hAnsi="PT Astra Serif" w:cs="Times New Roman"/>
          <w:bCs/>
          <w:szCs w:val="28"/>
        </w:rPr>
        <w:t>(13%)</w:t>
      </w:r>
      <w:r w:rsidRPr="00C72F5D">
        <w:rPr>
          <w:rFonts w:ascii="PT Astra Serif" w:eastAsia="Times New Roman" w:hAnsi="PT Astra Serif" w:cs="Times New Roman"/>
          <w:szCs w:val="28"/>
          <w:lang w:eastAsia="ru-RU"/>
        </w:rPr>
        <w:t xml:space="preserve">, Турция </w:t>
      </w:r>
      <w:r w:rsidRPr="00C72F5D">
        <w:rPr>
          <w:rFonts w:ascii="PT Astra Serif" w:eastAsia="Calibri" w:hAnsi="PT Astra Serif" w:cs="Times New Roman"/>
          <w:bCs/>
          <w:szCs w:val="28"/>
        </w:rPr>
        <w:t>(7%)</w:t>
      </w:r>
      <w:r w:rsidRPr="00C72F5D">
        <w:rPr>
          <w:rFonts w:ascii="PT Astra Serif" w:eastAsia="Times New Roman" w:hAnsi="PT Astra Serif" w:cs="Times New Roman"/>
          <w:szCs w:val="28"/>
          <w:lang w:eastAsia="ru-RU"/>
        </w:rPr>
        <w:t xml:space="preserve">, Узбекистан </w:t>
      </w:r>
      <w:r w:rsidRPr="00C72F5D">
        <w:rPr>
          <w:rFonts w:ascii="PT Astra Serif" w:eastAsia="Calibri" w:hAnsi="PT Astra Serif" w:cs="Times New Roman"/>
          <w:bCs/>
          <w:szCs w:val="28"/>
        </w:rPr>
        <w:t>(4%),</w:t>
      </w:r>
      <w:r w:rsidRPr="00C72F5D">
        <w:rPr>
          <w:rFonts w:ascii="PT Astra Serif" w:eastAsia="Times New Roman" w:hAnsi="PT Astra Serif" w:cs="Times New Roman"/>
          <w:szCs w:val="28"/>
          <w:lang w:eastAsia="ru-RU"/>
        </w:rPr>
        <w:t xml:space="preserve"> Индия </w:t>
      </w:r>
      <w:r w:rsidRPr="00C72F5D">
        <w:rPr>
          <w:rFonts w:ascii="PT Astra Serif" w:eastAsia="Calibri" w:hAnsi="PT Astra Serif" w:cs="Times New Roman"/>
          <w:bCs/>
          <w:szCs w:val="28"/>
        </w:rPr>
        <w:t>(3%)</w:t>
      </w:r>
      <w:r w:rsidRPr="00C72F5D">
        <w:rPr>
          <w:rFonts w:ascii="PT Astra Serif" w:eastAsia="Times New Roman" w:hAnsi="PT Astra Serif" w:cs="Times New Roman"/>
          <w:szCs w:val="28"/>
          <w:lang w:eastAsia="ru-RU"/>
        </w:rPr>
        <w:t xml:space="preserve">, и Казахстан </w:t>
      </w:r>
      <w:r w:rsidRPr="00C72F5D">
        <w:rPr>
          <w:rFonts w:ascii="PT Astra Serif" w:eastAsia="Calibri" w:hAnsi="PT Astra Serif" w:cs="Times New Roman"/>
          <w:bCs/>
          <w:szCs w:val="28"/>
        </w:rPr>
        <w:t>(3%)</w:t>
      </w:r>
      <w:r w:rsidRPr="00C72F5D">
        <w:rPr>
          <w:rFonts w:ascii="PT Astra Serif" w:eastAsia="Times New Roman" w:hAnsi="PT Astra Serif" w:cs="Times New Roman"/>
          <w:szCs w:val="28"/>
          <w:lang w:eastAsia="ru-RU"/>
        </w:rPr>
        <w:t xml:space="preserve"> (всего 67 стран).</w:t>
      </w:r>
    </w:p>
    <w:p w14:paraId="1952ED7E" w14:textId="77777777" w:rsidR="00250BEC" w:rsidRPr="00250BEC" w:rsidRDefault="00250BEC" w:rsidP="00250BEC">
      <w:pPr>
        <w:widowControl w:val="0"/>
        <w:tabs>
          <w:tab w:val="num"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Ульяновская область активно развивает внешнеэкономические связи</w:t>
      </w:r>
      <w:r w:rsidRPr="00250BEC">
        <w:rPr>
          <w:rFonts w:ascii="PT Astra Serif" w:eastAsia="Times New Roman" w:hAnsi="PT Astra Serif" w:cs="Times New Roman"/>
          <w:szCs w:val="28"/>
          <w:lang w:eastAsia="ru-RU"/>
        </w:rPr>
        <w:br/>
        <w:t>со странами Каспийского бассейна, реализуя один из важнейших внешнеторговых проектов – создание торгово-логистического канала «Средняя Волга – Каспий – Персидский залив» в рамках международного транспортного коридора «Север-Юг».</w:t>
      </w:r>
    </w:p>
    <w:p w14:paraId="1D6DC661" w14:textId="1356CF9D" w:rsidR="00250BEC" w:rsidRPr="00250BEC" w:rsidRDefault="00250BEC" w:rsidP="00250BEC">
      <w:pPr>
        <w:widowControl w:val="0"/>
        <w:tabs>
          <w:tab w:val="num" w:pos="720"/>
          <w:tab w:val="left" w:pos="993"/>
        </w:tabs>
        <w:rPr>
          <w:rFonts w:ascii="PT Astra Serif" w:eastAsia="Calibri" w:hAnsi="PT Astra Serif" w:cs="Times New Roman"/>
          <w:bCs/>
          <w:szCs w:val="28"/>
        </w:rPr>
      </w:pPr>
      <w:r w:rsidRPr="00250BEC">
        <w:rPr>
          <w:rFonts w:ascii="PT Astra Serif" w:eastAsia="Calibri" w:hAnsi="PT Astra Serif" w:cs="Times New Roman"/>
          <w:szCs w:val="28"/>
        </w:rPr>
        <w:t>С целью установления новых деловых контактов и</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 xml:space="preserve">продвижения товаров ульяновских предприятий на внешние рынки </w:t>
      </w:r>
      <w:r w:rsidRPr="00250BEC">
        <w:rPr>
          <w:rFonts w:ascii="PT Astra Serif" w:eastAsia="Calibri" w:hAnsi="PT Astra Serif" w:cs="Times New Roman"/>
          <w:b/>
          <w:szCs w:val="28"/>
        </w:rPr>
        <w:t xml:space="preserve">делегации Ульяновской области приняли участие в более 60 международных выставках, </w:t>
      </w:r>
      <w:r w:rsidRPr="00250BEC">
        <w:rPr>
          <w:rFonts w:ascii="PT Astra Serif" w:eastAsia="Calibri" w:hAnsi="PT Astra Serif" w:cs="Times New Roman"/>
          <w:szCs w:val="28"/>
        </w:rPr>
        <w:t>как на территории России, так и за рубежом</w:t>
      </w:r>
      <w:r w:rsidRPr="00250BEC">
        <w:rPr>
          <w:rFonts w:ascii="PT Astra Serif" w:eastAsia="Calibri" w:hAnsi="PT Astra Serif" w:cs="Times New Roman"/>
          <w:bCs/>
          <w:szCs w:val="28"/>
        </w:rPr>
        <w:t xml:space="preserve">, в том числе с представлением продукции региональных предприятий на коллективных и индивидуальных стендах, среди них: </w:t>
      </w:r>
    </w:p>
    <w:p w14:paraId="17603548" w14:textId="04D18E21"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международные промышленные выставки «ИННОПРОМ» в г. Ташкенте (Узбекистан, 28-30 апреля), в г. Минске (Беларусь, 28 сентября – 1 октября) </w:t>
      </w:r>
      <w:r w:rsidR="003E3036">
        <w:rPr>
          <w:rFonts w:ascii="PT Astra Serif" w:eastAsia="Calibri" w:hAnsi="PT Astra Serif" w:cs="Times New Roman"/>
          <w:bCs/>
          <w:szCs w:val="28"/>
        </w:rPr>
        <w:br/>
      </w:r>
      <w:r w:rsidRPr="00250BEC">
        <w:rPr>
          <w:rFonts w:ascii="PT Astra Serif" w:eastAsia="Calibri" w:hAnsi="PT Astra Serif" w:cs="Times New Roman"/>
          <w:bCs/>
          <w:szCs w:val="28"/>
        </w:rPr>
        <w:t>и в г. Екатеринбурге (7-10 июля);</w:t>
      </w:r>
    </w:p>
    <w:p w14:paraId="60E8CDEA" w14:textId="0C805AF6" w:rsidR="00250BEC" w:rsidRPr="00250BEC" w:rsidRDefault="00250BEC" w:rsidP="00250BEC">
      <w:pPr>
        <w:widowControl w:val="0"/>
        <w:rPr>
          <w:rFonts w:ascii="PT Astra Serif" w:eastAsia="Calibri" w:hAnsi="PT Astra Serif" w:cs="Times New Roman"/>
          <w:bCs/>
          <w:szCs w:val="28"/>
        </w:rPr>
      </w:pPr>
      <w:proofErr w:type="spellStart"/>
      <w:r w:rsidRPr="00250BEC">
        <w:rPr>
          <w:rFonts w:ascii="PT Astra Serif" w:eastAsia="Calibri" w:hAnsi="PT Astra Serif" w:cs="Times New Roman"/>
          <w:bCs/>
          <w:szCs w:val="28"/>
        </w:rPr>
        <w:t>Узбекистанские</w:t>
      </w:r>
      <w:proofErr w:type="spellEnd"/>
      <w:r w:rsidRPr="00250BEC">
        <w:rPr>
          <w:rFonts w:ascii="PT Astra Serif" w:eastAsia="Calibri" w:hAnsi="PT Astra Serif" w:cs="Times New Roman"/>
          <w:bCs/>
          <w:szCs w:val="28"/>
        </w:rPr>
        <w:t xml:space="preserve"> международные выставки «Строительство - </w:t>
      </w:r>
      <w:proofErr w:type="spellStart"/>
      <w:r w:rsidRPr="00250BEC">
        <w:rPr>
          <w:rFonts w:ascii="PT Astra Serif" w:eastAsia="Calibri" w:hAnsi="PT Astra Serif" w:cs="Times New Roman"/>
          <w:bCs/>
          <w:szCs w:val="28"/>
          <w:lang w:val="en-US"/>
        </w:rPr>
        <w:t>UzBuild</w:t>
      </w:r>
      <w:proofErr w:type="spellEnd"/>
      <w:r w:rsidRPr="00250BEC">
        <w:rPr>
          <w:rFonts w:ascii="PT Astra Serif" w:eastAsia="Calibri" w:hAnsi="PT Astra Serif" w:cs="Times New Roman"/>
          <w:bCs/>
          <w:szCs w:val="28"/>
        </w:rPr>
        <w:t>»</w:t>
      </w:r>
      <w:r w:rsidR="003E3036">
        <w:rPr>
          <w:rFonts w:ascii="PT Astra Serif" w:eastAsia="Calibri" w:hAnsi="PT Astra Serif" w:cs="Times New Roman"/>
          <w:bCs/>
          <w:szCs w:val="28"/>
        </w:rPr>
        <w:t xml:space="preserve"> </w:t>
      </w:r>
      <w:r w:rsidRPr="00250BEC">
        <w:rPr>
          <w:rFonts w:ascii="PT Astra Serif" w:eastAsia="Times New Roman" w:hAnsi="PT Astra Serif" w:cs="Times New Roman"/>
          <w:szCs w:val="28"/>
          <w:lang w:eastAsia="ru-RU"/>
        </w:rPr>
        <w:t xml:space="preserve">(25 - 27 февраля) </w:t>
      </w:r>
      <w:r w:rsidRPr="00250BEC">
        <w:rPr>
          <w:rFonts w:ascii="PT Astra Serif" w:eastAsia="Calibri" w:hAnsi="PT Astra Serif" w:cs="Times New Roman"/>
          <w:bCs/>
          <w:szCs w:val="28"/>
        </w:rPr>
        <w:t>и «</w:t>
      </w:r>
      <w:proofErr w:type="spellStart"/>
      <w:r w:rsidRPr="00250BEC">
        <w:rPr>
          <w:rFonts w:ascii="PT Astra Serif" w:eastAsia="Calibri" w:hAnsi="PT Astra Serif" w:cs="Times New Roman"/>
          <w:bCs/>
          <w:szCs w:val="28"/>
          <w:lang w:val="en-US"/>
        </w:rPr>
        <w:t>Aquatherm</w:t>
      </w:r>
      <w:proofErr w:type="spellEnd"/>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Tashkent</w:t>
      </w:r>
      <w:r w:rsidRPr="00250BEC">
        <w:rPr>
          <w:rFonts w:ascii="PT Astra Serif" w:eastAsia="Calibri" w:hAnsi="PT Astra Serif" w:cs="Times New Roman"/>
          <w:bCs/>
          <w:szCs w:val="28"/>
        </w:rPr>
        <w:t xml:space="preserve"> 2025» г. Ташкенте </w:t>
      </w:r>
      <w:r w:rsidRPr="00250BEC">
        <w:rPr>
          <w:rFonts w:ascii="PT Astra Serif" w:eastAsia="Times New Roman" w:hAnsi="PT Astra Serif" w:cs="Times New Roman"/>
          <w:szCs w:val="28"/>
          <w:lang w:eastAsia="ru-RU"/>
        </w:rPr>
        <w:t>(7-9 октября)</w:t>
      </w:r>
      <w:r w:rsidRPr="00250BEC">
        <w:rPr>
          <w:rFonts w:ascii="PT Astra Serif" w:eastAsia="Calibri" w:hAnsi="PT Astra Serif" w:cs="Times New Roman"/>
          <w:bCs/>
          <w:szCs w:val="28"/>
        </w:rPr>
        <w:t>;</w:t>
      </w:r>
    </w:p>
    <w:p w14:paraId="5E308424" w14:textId="6B06243E"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Казахстанская международная выставка «Мебель. Интерьер. Деревообработка» </w:t>
      </w:r>
      <w:r w:rsidRPr="00250BEC">
        <w:rPr>
          <w:rFonts w:ascii="PT Astra Serif" w:eastAsia="Times New Roman" w:hAnsi="PT Astra Serif" w:cs="Times New Roman"/>
          <w:szCs w:val="28"/>
          <w:lang w:eastAsia="ru-RU"/>
        </w:rPr>
        <w:t>(11-13 июня)</w:t>
      </w:r>
      <w:r w:rsidRPr="00250BEC">
        <w:rPr>
          <w:rFonts w:ascii="PT Astra Serif" w:eastAsia="Calibri" w:hAnsi="PT Astra Serif" w:cs="Times New Roman"/>
          <w:bCs/>
          <w:szCs w:val="28"/>
        </w:rPr>
        <w:t xml:space="preserve"> и Центрально-Азиатская выставка «Пищевая промышленность» в г. Алматы </w:t>
      </w:r>
      <w:r w:rsidRPr="00250BEC">
        <w:rPr>
          <w:rFonts w:ascii="PT Astra Serif" w:eastAsia="Times New Roman" w:hAnsi="PT Astra Serif" w:cs="Times New Roman"/>
          <w:szCs w:val="28"/>
          <w:lang w:eastAsia="ru-RU"/>
        </w:rPr>
        <w:t>(Казахстан, 12-14 ноября)</w:t>
      </w:r>
      <w:r w:rsidRPr="00250BEC">
        <w:rPr>
          <w:rFonts w:ascii="PT Astra Serif" w:eastAsia="Calibri" w:hAnsi="PT Astra Serif" w:cs="Times New Roman"/>
          <w:bCs/>
          <w:szCs w:val="28"/>
        </w:rPr>
        <w:t>;</w:t>
      </w:r>
    </w:p>
    <w:p w14:paraId="064A35C5" w14:textId="4CFD310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международная выставка моды и готовой одежды «</w:t>
      </w:r>
      <w:r w:rsidRPr="00250BEC">
        <w:rPr>
          <w:rFonts w:ascii="PT Astra Serif" w:eastAsia="Calibri" w:hAnsi="PT Astra Serif" w:cs="Times New Roman"/>
          <w:bCs/>
          <w:szCs w:val="28"/>
          <w:lang w:val="en-US"/>
        </w:rPr>
        <w:t>ISTANBUL</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FASHION</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CONNECTION</w:t>
      </w:r>
      <w:r w:rsidRPr="00250BEC">
        <w:rPr>
          <w:rFonts w:ascii="PT Astra Serif" w:eastAsia="Calibri" w:hAnsi="PT Astra Serif" w:cs="Times New Roman"/>
          <w:bCs/>
          <w:szCs w:val="28"/>
        </w:rPr>
        <w:t xml:space="preserve">» в г. Стамбуле </w:t>
      </w:r>
      <w:r w:rsidRPr="00250BEC">
        <w:rPr>
          <w:rFonts w:ascii="PT Astra Serif" w:eastAsia="Times New Roman" w:hAnsi="PT Astra Serif" w:cs="Times New Roman"/>
          <w:szCs w:val="28"/>
          <w:lang w:eastAsia="ru-RU"/>
        </w:rPr>
        <w:t>(Турция, 20-22 августа)</w:t>
      </w:r>
      <w:r w:rsidRPr="00250BEC">
        <w:rPr>
          <w:rFonts w:ascii="PT Astra Serif" w:eastAsia="Calibri" w:hAnsi="PT Astra Serif" w:cs="Times New Roman"/>
          <w:bCs/>
          <w:szCs w:val="28"/>
        </w:rPr>
        <w:t>;</w:t>
      </w:r>
    </w:p>
    <w:p w14:paraId="67FD6E20" w14:textId="14B9102E"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международные выставки продуктов питания, напитков и сырья для их производства «ПРОДЭКСПО» (г. Москва, 3-7 февраля), «</w:t>
      </w:r>
      <w:r w:rsidRPr="00250BEC">
        <w:rPr>
          <w:rFonts w:ascii="PT Astra Serif" w:eastAsia="Calibri" w:hAnsi="PT Astra Serif" w:cs="Times New Roman"/>
          <w:bCs/>
          <w:szCs w:val="28"/>
          <w:lang w:val="en-US"/>
        </w:rPr>
        <w:t>WORLDFOOD</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MOSCOW</w:t>
      </w:r>
      <w:r w:rsidRPr="00250BEC">
        <w:rPr>
          <w:rFonts w:ascii="PT Astra Serif" w:eastAsia="Calibri" w:hAnsi="PT Astra Serif" w:cs="Times New Roman"/>
          <w:bCs/>
          <w:szCs w:val="28"/>
        </w:rPr>
        <w:t xml:space="preserve">» (г. Москва, 16-18 сентября), «АГРОПРОДМАШ» (г. Москва, </w:t>
      </w:r>
      <w:r w:rsidR="003E3036">
        <w:rPr>
          <w:rFonts w:ascii="PT Astra Serif" w:eastAsia="Calibri" w:hAnsi="PT Astra Serif" w:cs="Times New Roman"/>
          <w:bCs/>
          <w:szCs w:val="28"/>
        </w:rPr>
        <w:br/>
      </w:r>
      <w:r w:rsidRPr="00250BEC">
        <w:rPr>
          <w:rFonts w:ascii="PT Astra Serif" w:eastAsia="Calibri" w:hAnsi="PT Astra Serif" w:cs="Times New Roman"/>
          <w:bCs/>
          <w:szCs w:val="28"/>
        </w:rPr>
        <w:t>29 сентября – 1 октября);</w:t>
      </w:r>
    </w:p>
    <w:p w14:paraId="0076BE3C" w14:textId="01E90DCA"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международные специализированные выставки автомобильной индустрии: «</w:t>
      </w:r>
      <w:proofErr w:type="spellStart"/>
      <w:r w:rsidRPr="00250BEC">
        <w:rPr>
          <w:rFonts w:ascii="PT Astra Serif" w:eastAsia="Calibri" w:hAnsi="PT Astra Serif" w:cs="Times New Roman"/>
          <w:bCs/>
          <w:szCs w:val="28"/>
          <w:lang w:val="en-US"/>
        </w:rPr>
        <w:t>InterAutoMechanica</w:t>
      </w:r>
      <w:proofErr w:type="spellEnd"/>
      <w:r w:rsidRPr="00250BEC">
        <w:rPr>
          <w:rFonts w:ascii="PT Astra Serif" w:eastAsia="Calibri" w:hAnsi="PT Astra Serif" w:cs="Times New Roman"/>
          <w:bCs/>
          <w:szCs w:val="28"/>
        </w:rPr>
        <w:t>» (г. Москва, 19-22 августа), «</w:t>
      </w:r>
      <w:proofErr w:type="spellStart"/>
      <w:r w:rsidRPr="00250BEC">
        <w:rPr>
          <w:rFonts w:ascii="PT Astra Serif" w:eastAsia="Calibri" w:hAnsi="PT Astra Serif" w:cs="Times New Roman"/>
          <w:bCs/>
          <w:szCs w:val="28"/>
          <w:lang w:val="en-US"/>
        </w:rPr>
        <w:t>AutoBusExpo</w:t>
      </w:r>
      <w:proofErr w:type="spellEnd"/>
      <w:r w:rsidR="003E3036">
        <w:rPr>
          <w:rFonts w:ascii="PT Astra Serif" w:eastAsia="Calibri" w:hAnsi="PT Astra Serif" w:cs="Times New Roman"/>
          <w:bCs/>
          <w:szCs w:val="28"/>
        </w:rPr>
        <w:t>» (г. Москва, 19-</w:t>
      </w:r>
      <w:r w:rsidRPr="00250BEC">
        <w:rPr>
          <w:rFonts w:ascii="PT Astra Serif" w:eastAsia="Calibri" w:hAnsi="PT Astra Serif" w:cs="Times New Roman"/>
          <w:bCs/>
          <w:szCs w:val="28"/>
        </w:rPr>
        <w:t>22 августа), «</w:t>
      </w:r>
      <w:proofErr w:type="spellStart"/>
      <w:r w:rsidRPr="00250BEC">
        <w:rPr>
          <w:rFonts w:ascii="PT Astra Serif" w:eastAsia="Calibri" w:hAnsi="PT Astra Serif" w:cs="Times New Roman"/>
          <w:bCs/>
          <w:szCs w:val="28"/>
          <w:lang w:val="en-US"/>
        </w:rPr>
        <w:t>ComAutoTrans</w:t>
      </w:r>
      <w:proofErr w:type="spellEnd"/>
      <w:r w:rsidRPr="00250BEC">
        <w:rPr>
          <w:rFonts w:ascii="PT Astra Serif" w:eastAsia="Calibri" w:hAnsi="PT Astra Serif" w:cs="Times New Roman"/>
          <w:bCs/>
          <w:szCs w:val="28"/>
        </w:rPr>
        <w:t>» (г. Москва, 19</w:t>
      </w:r>
      <w:r w:rsidR="003E3036">
        <w:rPr>
          <w:rFonts w:ascii="PT Astra Serif" w:eastAsia="Calibri" w:hAnsi="PT Astra Serif" w:cs="Times New Roman"/>
          <w:bCs/>
          <w:szCs w:val="28"/>
        </w:rPr>
        <w:t>-</w:t>
      </w:r>
      <w:r w:rsidRPr="00250BEC">
        <w:rPr>
          <w:rFonts w:ascii="PT Astra Serif" w:eastAsia="Calibri" w:hAnsi="PT Astra Serif" w:cs="Times New Roman"/>
          <w:bCs/>
          <w:szCs w:val="28"/>
        </w:rPr>
        <w:t xml:space="preserve">22 августа), </w:t>
      </w:r>
      <w:r w:rsidRPr="00250BEC">
        <w:rPr>
          <w:rFonts w:ascii="PT Astra Serif" w:eastAsia="Calibri" w:hAnsi="PT Astra Serif" w:cs="Times New Roman"/>
          <w:bCs/>
          <w:szCs w:val="28"/>
        </w:rPr>
        <w:lastRenderedPageBreak/>
        <w:t>«</w:t>
      </w:r>
      <w:proofErr w:type="spellStart"/>
      <w:r w:rsidRPr="00250BEC">
        <w:rPr>
          <w:rFonts w:ascii="PT Astra Serif" w:eastAsia="Calibri" w:hAnsi="PT Astra Serif" w:cs="Times New Roman"/>
          <w:bCs/>
          <w:szCs w:val="28"/>
        </w:rPr>
        <w:t>Авто+Автомеханика</w:t>
      </w:r>
      <w:proofErr w:type="spellEnd"/>
      <w:r w:rsidRPr="00250BEC">
        <w:rPr>
          <w:rFonts w:ascii="PT Astra Serif" w:eastAsia="Calibri" w:hAnsi="PT Astra Serif" w:cs="Times New Roman"/>
          <w:bCs/>
          <w:szCs w:val="28"/>
        </w:rPr>
        <w:t>» (г. Санкт-Петербург, 10-12 сентября);</w:t>
      </w:r>
    </w:p>
    <w:p w14:paraId="666CB9E5" w14:textId="4C0FEBFE"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международные выставки текстильной и лёгкой промышленности: «</w:t>
      </w:r>
      <w:proofErr w:type="spellStart"/>
      <w:r w:rsidRPr="00250BEC">
        <w:rPr>
          <w:rFonts w:ascii="PT Astra Serif" w:eastAsia="Calibri" w:hAnsi="PT Astra Serif" w:cs="Times New Roman"/>
          <w:bCs/>
          <w:szCs w:val="28"/>
        </w:rPr>
        <w:t>Интерткань</w:t>
      </w:r>
      <w:proofErr w:type="spellEnd"/>
      <w:r w:rsidRPr="00250BEC">
        <w:rPr>
          <w:rFonts w:ascii="PT Astra Serif" w:eastAsia="Calibri" w:hAnsi="PT Astra Serif" w:cs="Times New Roman"/>
          <w:bCs/>
          <w:szCs w:val="28"/>
        </w:rPr>
        <w:t>» (г. Москва, 11-14 марта и 26-28 августа), «</w:t>
      </w:r>
      <w:proofErr w:type="spellStart"/>
      <w:r w:rsidRPr="00250BEC">
        <w:rPr>
          <w:rFonts w:ascii="PT Astra Serif" w:eastAsia="Calibri" w:hAnsi="PT Astra Serif" w:cs="Times New Roman"/>
          <w:bCs/>
          <w:szCs w:val="28"/>
        </w:rPr>
        <w:t>Техтекстиль</w:t>
      </w:r>
      <w:proofErr w:type="spellEnd"/>
      <w:r w:rsidRPr="00250BEC">
        <w:rPr>
          <w:rFonts w:ascii="PT Astra Serif" w:eastAsia="Calibri" w:hAnsi="PT Astra Serif" w:cs="Times New Roman"/>
          <w:bCs/>
          <w:szCs w:val="28"/>
        </w:rPr>
        <w:t xml:space="preserve">» </w:t>
      </w:r>
      <w:r w:rsidR="003E3036">
        <w:rPr>
          <w:rFonts w:ascii="PT Astra Serif" w:eastAsia="Calibri" w:hAnsi="PT Astra Serif" w:cs="Times New Roman"/>
          <w:bCs/>
          <w:szCs w:val="28"/>
        </w:rPr>
        <w:br/>
      </w:r>
      <w:r w:rsidRPr="00250BEC">
        <w:rPr>
          <w:rFonts w:ascii="PT Astra Serif" w:eastAsia="Calibri" w:hAnsi="PT Astra Serif" w:cs="Times New Roman"/>
          <w:bCs/>
          <w:szCs w:val="28"/>
        </w:rPr>
        <w:t>(г. Москва, 16-18 сентября), «</w:t>
      </w:r>
      <w:r w:rsidRPr="00250BEC">
        <w:rPr>
          <w:rFonts w:ascii="PT Astra Serif" w:eastAsia="Calibri" w:hAnsi="PT Astra Serif" w:cs="Times New Roman"/>
          <w:bCs/>
          <w:szCs w:val="28"/>
          <w:lang w:val="en-US"/>
        </w:rPr>
        <w:t>Textile</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Collection</w:t>
      </w:r>
      <w:r w:rsidRPr="00250BEC">
        <w:rPr>
          <w:rFonts w:ascii="PT Astra Serif" w:eastAsia="Calibri" w:hAnsi="PT Astra Serif" w:cs="Times New Roman"/>
          <w:bCs/>
          <w:szCs w:val="28"/>
        </w:rPr>
        <w:t xml:space="preserve"> </w:t>
      </w:r>
      <w:r w:rsidRPr="00250BEC">
        <w:rPr>
          <w:rFonts w:ascii="PT Astra Serif" w:eastAsia="Calibri" w:hAnsi="PT Astra Serif" w:cs="Times New Roman"/>
          <w:bCs/>
          <w:szCs w:val="28"/>
          <w:lang w:val="en-US"/>
        </w:rPr>
        <w:t>Moscow</w:t>
      </w:r>
      <w:r w:rsidRPr="00250BEC">
        <w:rPr>
          <w:rFonts w:ascii="PT Astra Serif" w:eastAsia="Calibri" w:hAnsi="PT Astra Serif" w:cs="Times New Roman"/>
          <w:bCs/>
          <w:szCs w:val="28"/>
        </w:rPr>
        <w:t>» (г. Москва, 16</w:t>
      </w:r>
      <w:r w:rsidR="003E3036">
        <w:rPr>
          <w:rFonts w:ascii="PT Astra Serif" w:eastAsia="Calibri" w:hAnsi="PT Astra Serif" w:cs="Times New Roman"/>
          <w:bCs/>
          <w:szCs w:val="28"/>
        </w:rPr>
        <w:t>-</w:t>
      </w:r>
      <w:r w:rsidRPr="00250BEC">
        <w:rPr>
          <w:rFonts w:ascii="PT Astra Serif" w:eastAsia="Calibri" w:hAnsi="PT Astra Serif" w:cs="Times New Roman"/>
          <w:bCs/>
          <w:szCs w:val="28"/>
        </w:rPr>
        <w:t>18 сентября), а также многие другие специализированные выставки.</w:t>
      </w:r>
    </w:p>
    <w:p w14:paraId="74246593" w14:textId="77777777"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По итогам своего участия в международных специализированных выставках представители ульяновских предприятий, как правило, заключали экспортные контракты, или достигали договорённостей о поставках своей продукции на зарубежные рынки.</w:t>
      </w:r>
    </w:p>
    <w:p w14:paraId="3359A679" w14:textId="77777777" w:rsidR="00250BEC" w:rsidRPr="00250BEC" w:rsidRDefault="00250BEC" w:rsidP="00250BEC">
      <w:pPr>
        <w:widowControl w:val="0"/>
        <w:tabs>
          <w:tab w:val="num" w:pos="993"/>
        </w:tabs>
        <w:rPr>
          <w:rFonts w:ascii="PT Astra Serif" w:eastAsia="Calibri" w:hAnsi="PT Astra Serif" w:cs="Times New Roman"/>
          <w:szCs w:val="28"/>
        </w:rPr>
      </w:pPr>
      <w:r w:rsidRPr="00250BEC">
        <w:rPr>
          <w:rFonts w:ascii="PT Astra Serif" w:eastAsia="Times New Roman" w:hAnsi="PT Astra Serif" w:cs="Times New Roman"/>
          <w:szCs w:val="28"/>
          <w:lang w:eastAsia="ru-RU"/>
        </w:rPr>
        <w:t>В целях активизации всестороннего сотрудничества с зарубежными партнёрами, изучения</w:t>
      </w:r>
      <w:r w:rsidRPr="00250BEC">
        <w:rPr>
          <w:rFonts w:ascii="PT Astra Serif" w:eastAsia="Calibri" w:hAnsi="PT Astra Serif" w:cs="Times New Roman"/>
          <w:szCs w:val="28"/>
        </w:rPr>
        <w:t xml:space="preserve"> лучшего мирового опыта в различных сферах в 2025 году </w:t>
      </w:r>
      <w:r w:rsidRPr="00250BEC">
        <w:rPr>
          <w:rFonts w:ascii="PT Astra Serif" w:eastAsia="Calibri" w:hAnsi="PT Astra Serif" w:cs="Times New Roman"/>
          <w:b/>
          <w:szCs w:val="28"/>
        </w:rPr>
        <w:t>представители региона приняли</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участие в более 30 международных форумах, конференциях и конгрессах</w:t>
      </w:r>
      <w:r w:rsidRPr="00250BEC">
        <w:rPr>
          <w:rFonts w:ascii="PT Astra Serif" w:eastAsia="Calibri" w:hAnsi="PT Astra Serif" w:cs="Times New Roman"/>
          <w:bCs/>
          <w:szCs w:val="28"/>
        </w:rPr>
        <w:t>, в том числе:</w:t>
      </w:r>
    </w:p>
    <w:p w14:paraId="1154435B" w14:textId="77777777"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Глобальном саммите инвесторов </w:t>
      </w:r>
      <w:proofErr w:type="spellStart"/>
      <w:r w:rsidRPr="00250BEC">
        <w:rPr>
          <w:rFonts w:ascii="PT Astra Serif" w:eastAsia="Calibri" w:hAnsi="PT Astra Serif" w:cs="Times New Roman"/>
          <w:bCs/>
          <w:szCs w:val="28"/>
        </w:rPr>
        <w:t>Мадхья-Прадеш</w:t>
      </w:r>
      <w:proofErr w:type="spellEnd"/>
      <w:r w:rsidRPr="00250BEC">
        <w:rPr>
          <w:rFonts w:ascii="PT Astra Serif" w:eastAsia="Calibri" w:hAnsi="PT Astra Serif" w:cs="Times New Roman"/>
          <w:bCs/>
          <w:szCs w:val="28"/>
        </w:rPr>
        <w:t xml:space="preserve"> (г. </w:t>
      </w:r>
      <w:proofErr w:type="spellStart"/>
      <w:r w:rsidRPr="00250BEC">
        <w:rPr>
          <w:rFonts w:ascii="PT Astra Serif" w:eastAsia="Calibri" w:hAnsi="PT Astra Serif" w:cs="Times New Roman"/>
          <w:bCs/>
          <w:szCs w:val="28"/>
        </w:rPr>
        <w:t>Бхопале</w:t>
      </w:r>
      <w:proofErr w:type="spellEnd"/>
      <w:r w:rsidRPr="00250BEC">
        <w:rPr>
          <w:rFonts w:ascii="PT Astra Serif" w:eastAsia="Calibri" w:hAnsi="PT Astra Serif" w:cs="Times New Roman"/>
          <w:bCs/>
          <w:szCs w:val="28"/>
        </w:rPr>
        <w:t xml:space="preserve"> (Индия), 25 февраля);</w:t>
      </w:r>
    </w:p>
    <w:p w14:paraId="68A8B3E7" w14:textId="04A5D244"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lang w:val="en-US"/>
        </w:rPr>
        <w:t>III</w:t>
      </w:r>
      <w:r w:rsidRPr="00250BEC">
        <w:rPr>
          <w:rFonts w:ascii="PT Astra Serif" w:eastAsia="Calibri" w:hAnsi="PT Astra Serif" w:cs="Times New Roman"/>
          <w:bCs/>
          <w:szCs w:val="28"/>
        </w:rPr>
        <w:t xml:space="preserve"> международном российско-китайском форуме «РОСТКИ: Россия </w:t>
      </w:r>
      <w:r w:rsidRPr="00250BEC">
        <w:rPr>
          <w:rFonts w:ascii="PT Astra Serif" w:eastAsia="Calibri" w:hAnsi="PT Astra Serif" w:cs="Times New Roman"/>
          <w:bCs/>
          <w:szCs w:val="28"/>
        </w:rPr>
        <w:br/>
        <w:t>и Китай – взаимовыгодное сотрудничество» (г. Казань, 18-19 августа);</w:t>
      </w:r>
    </w:p>
    <w:p w14:paraId="2B0A8773" w14:textId="368FF10E"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бизнес-форуме «Россия – Индия. Взаимна</w:t>
      </w:r>
      <w:r w:rsidR="003E3036">
        <w:rPr>
          <w:rFonts w:ascii="PT Astra Serif" w:eastAsia="Calibri" w:hAnsi="PT Astra Serif" w:cs="Times New Roman"/>
          <w:bCs/>
          <w:szCs w:val="28"/>
        </w:rPr>
        <w:t xml:space="preserve">я эффективность» (г. Казань, </w:t>
      </w:r>
      <w:r w:rsidR="003E3036">
        <w:rPr>
          <w:rFonts w:ascii="PT Astra Serif" w:eastAsia="Calibri" w:hAnsi="PT Astra Serif" w:cs="Times New Roman"/>
          <w:bCs/>
          <w:szCs w:val="28"/>
        </w:rPr>
        <w:br/>
        <w:t>8-</w:t>
      </w:r>
      <w:r w:rsidRPr="00250BEC">
        <w:rPr>
          <w:rFonts w:ascii="PT Astra Serif" w:eastAsia="Calibri" w:hAnsi="PT Astra Serif" w:cs="Times New Roman"/>
          <w:bCs/>
          <w:szCs w:val="28"/>
        </w:rPr>
        <w:t>9 октября);</w:t>
      </w:r>
    </w:p>
    <w:p w14:paraId="4DFB1B25" w14:textId="4DE61034"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Петербургском международном экономическом форуме (г. Санкт-Петербург, 18-21 июня) и Петербургском международном газовом форуме </w:t>
      </w:r>
      <w:r w:rsidRPr="00250BEC">
        <w:rPr>
          <w:rFonts w:ascii="PT Astra Serif" w:eastAsia="Calibri" w:hAnsi="PT Astra Serif" w:cs="Times New Roman"/>
          <w:bCs/>
          <w:szCs w:val="28"/>
        </w:rPr>
        <w:br/>
        <w:t xml:space="preserve">(г. Санкт-Петербург, 9 октября); </w:t>
      </w:r>
    </w:p>
    <w:p w14:paraId="354D4883" w14:textId="08AB02BC"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Международном форуме «Транспорт России» (г. Москва, 18</w:t>
      </w:r>
      <w:r w:rsidR="003E3036">
        <w:rPr>
          <w:rFonts w:ascii="PT Astra Serif" w:eastAsia="Calibri" w:hAnsi="PT Astra Serif" w:cs="Times New Roman"/>
          <w:bCs/>
          <w:szCs w:val="28"/>
        </w:rPr>
        <w:t>-</w:t>
      </w:r>
      <w:r w:rsidRPr="00250BEC">
        <w:rPr>
          <w:rFonts w:ascii="PT Astra Serif" w:eastAsia="Calibri" w:hAnsi="PT Astra Serif" w:cs="Times New Roman"/>
          <w:bCs/>
          <w:szCs w:val="28"/>
        </w:rPr>
        <w:t>20 ноября);</w:t>
      </w:r>
    </w:p>
    <w:p w14:paraId="70E39CE8" w14:textId="2BE0551A"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Международном туристическом форуме «Путешествуй!» (г. Москва, </w:t>
      </w:r>
      <w:r w:rsidRPr="00250BEC">
        <w:rPr>
          <w:rFonts w:ascii="PT Astra Serif" w:eastAsia="Calibri" w:hAnsi="PT Astra Serif" w:cs="Times New Roman"/>
          <w:bCs/>
          <w:szCs w:val="28"/>
        </w:rPr>
        <w:br/>
        <w:t>1</w:t>
      </w:r>
      <w:r w:rsidR="003E3036">
        <w:rPr>
          <w:rFonts w:ascii="PT Astra Serif" w:eastAsia="Calibri" w:hAnsi="PT Astra Serif" w:cs="Times New Roman"/>
          <w:bCs/>
          <w:szCs w:val="28"/>
        </w:rPr>
        <w:t>0-</w:t>
      </w:r>
      <w:r w:rsidRPr="00250BEC">
        <w:rPr>
          <w:rFonts w:ascii="PT Astra Serif" w:eastAsia="Calibri" w:hAnsi="PT Astra Serif" w:cs="Times New Roman"/>
          <w:bCs/>
          <w:szCs w:val="28"/>
        </w:rPr>
        <w:t>15 июня);</w:t>
      </w:r>
    </w:p>
    <w:p w14:paraId="67076FE2" w14:textId="289DC3CD"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Санкт-Петербургском международном форуме труда (2-4 апреля, </w:t>
      </w:r>
      <w:r w:rsidR="003E3036">
        <w:rPr>
          <w:rFonts w:ascii="PT Astra Serif" w:eastAsia="Calibri" w:hAnsi="PT Astra Serif" w:cs="Times New Roman"/>
          <w:bCs/>
          <w:szCs w:val="28"/>
        </w:rPr>
        <w:br/>
      </w:r>
      <w:r w:rsidRPr="00250BEC">
        <w:rPr>
          <w:rFonts w:ascii="PT Astra Serif" w:eastAsia="Calibri" w:hAnsi="PT Astra Serif" w:cs="Times New Roman"/>
          <w:bCs/>
          <w:szCs w:val="28"/>
        </w:rPr>
        <w:t>г. Санкт-Петербург,);</w:t>
      </w:r>
    </w:p>
    <w:p w14:paraId="235C17D5" w14:textId="1AA421D7"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Слёте Всемирного фестиваля молодёжи (г. Нижний Новгород, 17-21 сентября) и в Х Российско-Китайском молодёжном форуме в формате «Волга-Янцзы» (г. </w:t>
      </w:r>
      <w:proofErr w:type="spellStart"/>
      <w:r w:rsidRPr="00250BEC">
        <w:rPr>
          <w:rFonts w:ascii="PT Astra Serif" w:eastAsia="Calibri" w:hAnsi="PT Astra Serif" w:cs="Times New Roman"/>
          <w:bCs/>
          <w:szCs w:val="28"/>
        </w:rPr>
        <w:t>Чунцин</w:t>
      </w:r>
      <w:proofErr w:type="spellEnd"/>
      <w:r w:rsidRPr="00250BEC">
        <w:rPr>
          <w:rFonts w:ascii="PT Astra Serif" w:eastAsia="Calibri" w:hAnsi="PT Astra Serif" w:cs="Times New Roman"/>
          <w:bCs/>
          <w:szCs w:val="28"/>
        </w:rPr>
        <w:t xml:space="preserve"> (Китай), 20-26 августа) и многих других.</w:t>
      </w:r>
    </w:p>
    <w:p w14:paraId="1F0AFAFB"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На территории Ульяновской области состоялось более 30 мероприятий международного характера</w:t>
      </w:r>
      <w:r w:rsidRPr="00250BEC">
        <w:rPr>
          <w:rFonts w:ascii="PT Astra Serif" w:eastAsia="Calibri" w:hAnsi="PT Astra Serif" w:cs="Times New Roman"/>
          <w:szCs w:val="28"/>
        </w:rPr>
        <w:t>, в том числе:</w:t>
      </w:r>
    </w:p>
    <w:p w14:paraId="034B364B" w14:textId="3ACC274B"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Российско-Китайский молодёжный бизнес-акселератор (17-18 ноября);</w:t>
      </w:r>
    </w:p>
    <w:p w14:paraId="776E9D2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Слёт клубов интернациональной дружбы (16 октября);</w:t>
      </w:r>
    </w:p>
    <w:p w14:paraId="6990E7EB" w14:textId="77777777" w:rsidR="00250BEC" w:rsidRPr="00250BEC" w:rsidRDefault="00250BEC" w:rsidP="00250BEC">
      <w:pPr>
        <w:widowControl w:val="0"/>
        <w:rPr>
          <w:rFonts w:ascii="PT Astra Serif" w:eastAsia="Calibri" w:hAnsi="PT Astra Serif" w:cs="Times New Roman"/>
          <w:spacing w:val="-20"/>
          <w:szCs w:val="28"/>
        </w:rPr>
      </w:pPr>
      <w:r w:rsidRPr="00250BEC">
        <w:rPr>
          <w:rFonts w:ascii="PT Astra Serif" w:eastAsia="Calibri" w:hAnsi="PT Astra Serif" w:cs="Times New Roman"/>
          <w:szCs w:val="28"/>
        </w:rPr>
        <w:t>образовательный проект «Школьные диалоги БРИКС» (ноябрь</w:t>
      </w:r>
      <w:r w:rsidRPr="00250BEC">
        <w:rPr>
          <w:rFonts w:ascii="PT Astra Serif" w:eastAsia="Calibri" w:hAnsi="PT Astra Serif" w:cs="Times New Roman"/>
          <w:spacing w:val="-20"/>
          <w:szCs w:val="28"/>
        </w:rPr>
        <w:t>-декабрь);</w:t>
      </w:r>
    </w:p>
    <w:p w14:paraId="771E1D07" w14:textId="564361B8"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«Большие гастроли» </w:t>
      </w:r>
      <w:proofErr w:type="gramStart"/>
      <w:r w:rsidRPr="00250BEC">
        <w:rPr>
          <w:rFonts w:ascii="PT Astra Serif" w:eastAsia="Calibri" w:hAnsi="PT Astra Serif" w:cs="Times New Roman"/>
          <w:szCs w:val="28"/>
        </w:rPr>
        <w:t>Юго-Осетинского</w:t>
      </w:r>
      <w:proofErr w:type="gramEnd"/>
      <w:r w:rsidRPr="00250BEC">
        <w:rPr>
          <w:rFonts w:ascii="PT Astra Serif" w:eastAsia="Calibri" w:hAnsi="PT Astra Serif" w:cs="Times New Roman"/>
          <w:szCs w:val="28"/>
        </w:rPr>
        <w:t xml:space="preserve"> драматического театра имени </w:t>
      </w:r>
      <w:proofErr w:type="spellStart"/>
      <w:r w:rsidRPr="00250BEC">
        <w:rPr>
          <w:rFonts w:ascii="PT Astra Serif" w:eastAsia="Calibri" w:hAnsi="PT Astra Serif" w:cs="Times New Roman"/>
          <w:szCs w:val="28"/>
        </w:rPr>
        <w:t>Коста</w:t>
      </w:r>
      <w:proofErr w:type="spellEnd"/>
      <w:r w:rsidRPr="00250BEC">
        <w:rPr>
          <w:rFonts w:ascii="PT Astra Serif" w:eastAsia="Calibri" w:hAnsi="PT Astra Serif" w:cs="Times New Roman"/>
          <w:szCs w:val="28"/>
        </w:rPr>
        <w:t xml:space="preserve"> Хетагурова (13-15 ноября);</w:t>
      </w:r>
    </w:p>
    <w:p w14:paraId="594C7CA5"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концерт вьетнамской народной музыки, посвящённый 75-летию установления дипломатических отношений между Россией и Вьетнамом</w:t>
      </w:r>
      <w:r w:rsidRPr="00250BEC">
        <w:rPr>
          <w:rFonts w:ascii="PT Astra Serif" w:eastAsia="Calibri" w:hAnsi="PT Astra Serif" w:cs="Times New Roman"/>
          <w:szCs w:val="28"/>
        </w:rPr>
        <w:br/>
        <w:t>(17 июля);</w:t>
      </w:r>
    </w:p>
    <w:p w14:paraId="66569D61"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экспонирование выставки «Иранские ремёсла» (февраль);</w:t>
      </w:r>
    </w:p>
    <w:p w14:paraId="23E0917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ряд международных научно-практических конференций, в том числе на базе вузов региона (в течение года) и многие другие.</w:t>
      </w:r>
    </w:p>
    <w:p w14:paraId="79396C67" w14:textId="77777777" w:rsidR="00250BEC" w:rsidRPr="00250BEC" w:rsidRDefault="00250BEC" w:rsidP="00250BEC">
      <w:pPr>
        <w:widowControl w:val="0"/>
        <w:rPr>
          <w:rFonts w:ascii="PT Astra Serif" w:eastAsia="Calibri" w:hAnsi="PT Astra Serif" w:cs="Times New Roman"/>
          <w:b/>
          <w:szCs w:val="28"/>
        </w:rPr>
      </w:pPr>
      <w:r w:rsidRPr="00250BEC">
        <w:rPr>
          <w:rFonts w:ascii="PT Astra Serif" w:eastAsia="Calibri" w:hAnsi="PT Astra Serif" w:cs="Times New Roman"/>
          <w:b/>
          <w:szCs w:val="28"/>
        </w:rPr>
        <w:t xml:space="preserve">Были организованы ежегодные международные форумы </w:t>
      </w:r>
      <w:r w:rsidRPr="00250BEC">
        <w:rPr>
          <w:rFonts w:ascii="PT Astra Serif" w:eastAsia="Calibri" w:hAnsi="PT Astra Serif" w:cs="Times New Roman"/>
          <w:b/>
          <w:szCs w:val="28"/>
        </w:rPr>
        <w:br/>
        <w:t>и фестивали</w:t>
      </w:r>
      <w:r w:rsidRPr="00250BEC">
        <w:rPr>
          <w:rFonts w:ascii="PT Astra Serif" w:eastAsia="Calibri" w:hAnsi="PT Astra Serif" w:cs="Times New Roman"/>
          <w:szCs w:val="28"/>
        </w:rPr>
        <w:t>, такие как:</w:t>
      </w:r>
    </w:p>
    <w:p w14:paraId="2B009405"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lastRenderedPageBreak/>
        <w:t xml:space="preserve">Форум деловых женщин (28 февраля), выставка-форум производителей товаров и услуг «Сделано в Ульяновской области» </w:t>
      </w:r>
      <w:r w:rsidRPr="00250BEC">
        <w:rPr>
          <w:rFonts w:ascii="PT Astra Serif" w:eastAsia="Calibri" w:hAnsi="PT Astra Serif" w:cs="Times New Roman"/>
          <w:bCs/>
          <w:szCs w:val="28"/>
        </w:rPr>
        <w:t>(23 мая)</w:t>
      </w:r>
      <w:r w:rsidRPr="00250BEC">
        <w:rPr>
          <w:rFonts w:ascii="PT Astra Serif" w:eastAsia="Calibri" w:hAnsi="PT Astra Serif" w:cs="Times New Roman"/>
          <w:szCs w:val="28"/>
        </w:rPr>
        <w:t>, Международный транспортно-логистический форум «Средняя Волга – Каспий» (24 октября)</w:t>
      </w:r>
      <w:r w:rsidRPr="00250BEC">
        <w:rPr>
          <w:rFonts w:ascii="PT Astra Serif" w:eastAsia="Calibri" w:hAnsi="PT Astra Serif" w:cs="Times New Roman"/>
          <w:szCs w:val="28"/>
        </w:rPr>
        <w:br/>
        <w:t>и бизнес-форум «Деловой климат в России» (5 декабря);</w:t>
      </w:r>
    </w:p>
    <w:p w14:paraId="503B4D2C" w14:textId="71288722"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международные ИТ-конференция «Стачка» (18-19 апреля), ИТ-фестиваль «</w:t>
      </w:r>
      <w:r w:rsidRPr="00250BEC">
        <w:rPr>
          <w:rFonts w:ascii="PT Astra Serif" w:eastAsia="Calibri" w:hAnsi="PT Astra Serif" w:cs="Times New Roman"/>
          <w:szCs w:val="28"/>
          <w:lang w:val="en-US"/>
        </w:rPr>
        <w:t>ULCAMP</w:t>
      </w:r>
      <w:r w:rsidRPr="00250BEC">
        <w:rPr>
          <w:rFonts w:ascii="PT Astra Serif" w:eastAsia="Calibri" w:hAnsi="PT Astra Serif" w:cs="Times New Roman"/>
          <w:szCs w:val="28"/>
        </w:rPr>
        <w:t>» (18-20 июля) и Международная цифровая олимпиада «Волга-</w:t>
      </w:r>
      <w:r w:rsidRPr="00250BEC">
        <w:rPr>
          <w:rFonts w:ascii="PT Astra Serif" w:eastAsia="Calibri" w:hAnsi="PT Astra Serif" w:cs="Times New Roman"/>
          <w:szCs w:val="28"/>
          <w:lang w:val="en-US"/>
        </w:rPr>
        <w:t>IT</w:t>
      </w:r>
      <w:r w:rsidR="003E3036">
        <w:rPr>
          <w:rFonts w:ascii="PT Astra Serif" w:eastAsia="Calibri" w:hAnsi="PT Astra Serif" w:cs="Times New Roman"/>
          <w:szCs w:val="28"/>
        </w:rPr>
        <w:t>» (18-</w:t>
      </w:r>
      <w:r w:rsidRPr="00250BEC">
        <w:rPr>
          <w:rFonts w:ascii="PT Astra Serif" w:eastAsia="Calibri" w:hAnsi="PT Astra Serif" w:cs="Times New Roman"/>
          <w:szCs w:val="28"/>
        </w:rPr>
        <w:t>19 ноября);</w:t>
      </w:r>
    </w:p>
    <w:p w14:paraId="0E0C6428" w14:textId="218FA39B"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Международная научно-практическая конференция «</w:t>
      </w:r>
      <w:proofErr w:type="spellStart"/>
      <w:r w:rsidRPr="00250BEC">
        <w:rPr>
          <w:rFonts w:ascii="PT Astra Serif" w:eastAsia="Calibri" w:hAnsi="PT Astra Serif" w:cs="Times New Roman"/>
          <w:szCs w:val="28"/>
        </w:rPr>
        <w:t>Энергоресурсосбережение</w:t>
      </w:r>
      <w:proofErr w:type="spellEnd"/>
      <w:r w:rsidRPr="00250BEC">
        <w:rPr>
          <w:rFonts w:ascii="PT Astra Serif" w:eastAsia="Calibri" w:hAnsi="PT Astra Serif" w:cs="Times New Roman"/>
          <w:szCs w:val="28"/>
        </w:rPr>
        <w:t>. Диагностика - 2025» (15 мая) и Международный форум изобретательства, инноваций и интеллектуальной собст</w:t>
      </w:r>
      <w:r w:rsidR="003E3036">
        <w:rPr>
          <w:rFonts w:ascii="PT Astra Serif" w:eastAsia="Calibri" w:hAnsi="PT Astra Serif" w:cs="Times New Roman"/>
          <w:szCs w:val="28"/>
        </w:rPr>
        <w:t>венности «Создавая будущее» (24-</w:t>
      </w:r>
      <w:r w:rsidRPr="00250BEC">
        <w:rPr>
          <w:rFonts w:ascii="PT Astra Serif" w:eastAsia="Calibri" w:hAnsi="PT Astra Serif" w:cs="Times New Roman"/>
          <w:szCs w:val="28"/>
        </w:rPr>
        <w:t>26 сентября);</w:t>
      </w:r>
    </w:p>
    <w:p w14:paraId="0C6B1DD6" w14:textId="44F3436A"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международные фестивали в сфере культуры: «Мир, Эпоха, </w:t>
      </w:r>
      <w:proofErr w:type="gramStart"/>
      <w:r w:rsidRPr="00250BEC">
        <w:rPr>
          <w:rFonts w:ascii="PT Astra Serif" w:eastAsia="Calibri" w:hAnsi="PT Astra Serif" w:cs="Times New Roman"/>
          <w:szCs w:val="28"/>
        </w:rPr>
        <w:t>Имена….</w:t>
      </w:r>
      <w:proofErr w:type="gramEnd"/>
      <w:r w:rsidRPr="00250BEC">
        <w:rPr>
          <w:rFonts w:ascii="PT Astra Serif" w:eastAsia="Calibri" w:hAnsi="PT Astra Serif" w:cs="Times New Roman"/>
          <w:szCs w:val="28"/>
        </w:rPr>
        <w:t>» (2 марта–6 апреля), фестиваль кино- и телепрограмм для семейного просмотра имени В.М. Леонтьевой «От всей души»</w:t>
      </w:r>
      <w:r w:rsidRPr="00250BEC">
        <w:rPr>
          <w:rFonts w:ascii="PT Astra Serif" w:eastAsia="Calibri" w:hAnsi="PT Astra Serif" w:cs="Times New Roman"/>
          <w:bCs/>
          <w:szCs w:val="28"/>
        </w:rPr>
        <w:t xml:space="preserve"> </w:t>
      </w:r>
      <w:r w:rsidRPr="00250BEC">
        <w:rPr>
          <w:rFonts w:ascii="PT Astra Serif" w:eastAsia="Calibri" w:hAnsi="PT Astra Serif" w:cs="Times New Roman"/>
          <w:szCs w:val="28"/>
        </w:rPr>
        <w:t>(27</w:t>
      </w:r>
      <w:r w:rsidR="003E3036">
        <w:rPr>
          <w:rFonts w:ascii="PT Astra Serif" w:eastAsia="Calibri" w:hAnsi="PT Astra Serif" w:cs="Times New Roman"/>
          <w:szCs w:val="28"/>
        </w:rPr>
        <w:t>-</w:t>
      </w:r>
      <w:r w:rsidRPr="00250BEC">
        <w:rPr>
          <w:rFonts w:ascii="PT Astra Serif" w:eastAsia="Calibri" w:hAnsi="PT Astra Serif" w:cs="Times New Roman"/>
          <w:szCs w:val="28"/>
        </w:rPr>
        <w:t>31 мая), Международная ассамблея художников «</w:t>
      </w:r>
      <w:proofErr w:type="spellStart"/>
      <w:r w:rsidRPr="00250BEC">
        <w:rPr>
          <w:rFonts w:ascii="PT Astra Serif" w:eastAsia="Calibri" w:hAnsi="PT Astra Serif" w:cs="Times New Roman"/>
          <w:szCs w:val="28"/>
        </w:rPr>
        <w:t>Пластовская</w:t>
      </w:r>
      <w:proofErr w:type="spellEnd"/>
      <w:r w:rsidRPr="00250BEC">
        <w:rPr>
          <w:rFonts w:ascii="PT Astra Serif" w:eastAsia="Calibri" w:hAnsi="PT Astra Serif" w:cs="Times New Roman"/>
          <w:szCs w:val="28"/>
        </w:rPr>
        <w:t xml:space="preserve"> осень» (21</w:t>
      </w:r>
      <w:r w:rsidR="003E3036">
        <w:rPr>
          <w:rFonts w:ascii="PT Astra Serif" w:eastAsia="Calibri" w:hAnsi="PT Astra Serif" w:cs="Times New Roman"/>
          <w:szCs w:val="28"/>
        </w:rPr>
        <w:t>-3</w:t>
      </w:r>
      <w:r w:rsidRPr="00250BEC">
        <w:rPr>
          <w:rFonts w:ascii="PT Astra Serif" w:eastAsia="Calibri" w:hAnsi="PT Astra Serif" w:cs="Times New Roman"/>
          <w:szCs w:val="28"/>
        </w:rPr>
        <w:t>1 августа), Международный фестиваль искусств «Аркадия» (12-17декабря) и многие другие.</w:t>
      </w:r>
    </w:p>
    <w:p w14:paraId="04646347" w14:textId="77777777"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В 2025 году состоялись </w:t>
      </w:r>
      <w:r w:rsidRPr="00250BEC">
        <w:rPr>
          <w:rFonts w:ascii="PT Astra Serif" w:eastAsia="Calibri" w:hAnsi="PT Astra Serif" w:cs="Times New Roman"/>
          <w:b/>
          <w:bCs/>
          <w:szCs w:val="28"/>
        </w:rPr>
        <w:t>гастроли ульяновских учреждений культуры за рубежом:</w:t>
      </w:r>
    </w:p>
    <w:p w14:paraId="1A4147AD" w14:textId="13EB9EF1"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в первой декаде января 2025 года состоялись 10-дневные гастроли Ульяновского государственного академического симфонического оркестра «Губернаторский» по городам Китая (24 декабря 2024 года – 4 января 2025 года). В начале январе текущего года оркестр также побывал с гастро</w:t>
      </w:r>
      <w:r w:rsidR="003E3036">
        <w:rPr>
          <w:rFonts w:ascii="PT Astra Serif" w:eastAsia="Calibri" w:hAnsi="PT Astra Serif" w:cs="Times New Roman"/>
          <w:bCs/>
          <w:szCs w:val="28"/>
        </w:rPr>
        <w:t xml:space="preserve">лями </w:t>
      </w:r>
      <w:r w:rsidR="003E3036">
        <w:rPr>
          <w:rFonts w:ascii="PT Astra Serif" w:eastAsia="Calibri" w:hAnsi="PT Astra Serif" w:cs="Times New Roman"/>
          <w:bCs/>
          <w:szCs w:val="28"/>
        </w:rPr>
        <w:br/>
        <w:t>в семи городах Китая (1-</w:t>
      </w:r>
      <w:r w:rsidRPr="00250BEC">
        <w:rPr>
          <w:rFonts w:ascii="PT Astra Serif" w:eastAsia="Calibri" w:hAnsi="PT Astra Serif" w:cs="Times New Roman"/>
          <w:bCs/>
          <w:szCs w:val="28"/>
        </w:rPr>
        <w:t>5 января 2026 года);</w:t>
      </w:r>
    </w:p>
    <w:p w14:paraId="55678A1E" w14:textId="77777777"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Ульяновский молодёжный театр имени Б.В. Александрова принимал участие в XVIII Международном молодёжном театральном фестивале-форуме «М.@</w:t>
      </w:r>
      <w:proofErr w:type="spellStart"/>
      <w:proofErr w:type="gramStart"/>
      <w:r w:rsidRPr="00250BEC">
        <w:rPr>
          <w:rFonts w:ascii="PT Astra Serif" w:eastAsia="Calibri" w:hAnsi="PT Astra Serif" w:cs="Times New Roman"/>
          <w:bCs/>
          <w:szCs w:val="28"/>
        </w:rPr>
        <w:t>rt.контакт</w:t>
      </w:r>
      <w:proofErr w:type="spellEnd"/>
      <w:proofErr w:type="gramEnd"/>
      <w:r w:rsidRPr="00250BEC">
        <w:rPr>
          <w:rFonts w:ascii="PT Astra Serif" w:eastAsia="Calibri" w:hAnsi="PT Astra Serif" w:cs="Times New Roman"/>
          <w:bCs/>
          <w:szCs w:val="28"/>
        </w:rPr>
        <w:t xml:space="preserve">» в г. </w:t>
      </w:r>
      <w:proofErr w:type="spellStart"/>
      <w:r w:rsidRPr="00250BEC">
        <w:rPr>
          <w:rFonts w:ascii="PT Astra Serif" w:eastAsia="Calibri" w:hAnsi="PT Astra Serif" w:cs="Times New Roman"/>
          <w:bCs/>
          <w:szCs w:val="28"/>
        </w:rPr>
        <w:t>Могилёве</w:t>
      </w:r>
      <w:proofErr w:type="spellEnd"/>
      <w:r w:rsidRPr="00250BEC">
        <w:rPr>
          <w:rFonts w:ascii="PT Astra Serif" w:eastAsia="Calibri" w:hAnsi="PT Astra Serif" w:cs="Times New Roman"/>
          <w:bCs/>
          <w:szCs w:val="28"/>
        </w:rPr>
        <w:t xml:space="preserve"> (Беларусь), спектакль ульяновского театра был признан жюри лучшим в программе форума и получил приз фестиваля «Золотая маска» (25 марта);</w:t>
      </w:r>
    </w:p>
    <w:p w14:paraId="002A8BAD" w14:textId="2ED892E6" w:rsidR="00250BEC" w:rsidRPr="00250BEC" w:rsidRDefault="00250BEC" w:rsidP="00250BEC">
      <w:pPr>
        <w:widowControl w:val="0"/>
        <w:tabs>
          <w:tab w:val="left" w:pos="1276"/>
        </w:tabs>
        <w:rPr>
          <w:rFonts w:ascii="PT Astra Serif" w:eastAsia="Calibri" w:hAnsi="PT Astra Serif" w:cs="Times New Roman"/>
          <w:bCs/>
          <w:szCs w:val="28"/>
        </w:rPr>
      </w:pPr>
      <w:r w:rsidRPr="00250BEC">
        <w:rPr>
          <w:rFonts w:ascii="PT Astra Serif" w:eastAsia="Calibri" w:hAnsi="PT Astra Serif" w:cs="Times New Roman"/>
          <w:bCs/>
          <w:szCs w:val="28"/>
        </w:rPr>
        <w:t xml:space="preserve">Ульяновский Театр юного зрителя «NEБОЛЬШОЙ ТЕАТР» побывал </w:t>
      </w:r>
      <w:r w:rsidRPr="00250BEC">
        <w:rPr>
          <w:rFonts w:ascii="PT Astra Serif" w:eastAsia="Calibri" w:hAnsi="PT Astra Serif" w:cs="Times New Roman"/>
          <w:bCs/>
          <w:szCs w:val="28"/>
        </w:rPr>
        <w:br/>
        <w:t xml:space="preserve">с гастролями в г. Бресте (Беларусь) в рамках </w:t>
      </w:r>
      <w:proofErr w:type="spellStart"/>
      <w:r w:rsidRPr="00250BEC">
        <w:rPr>
          <w:rFonts w:ascii="PT Astra Serif" w:eastAsia="Calibri" w:hAnsi="PT Astra Serif" w:cs="Times New Roman"/>
          <w:bCs/>
          <w:szCs w:val="28"/>
        </w:rPr>
        <w:t>Международногно</w:t>
      </w:r>
      <w:proofErr w:type="spellEnd"/>
      <w:r w:rsidRPr="00250BEC">
        <w:rPr>
          <w:rFonts w:ascii="PT Astra Serif" w:eastAsia="Calibri" w:hAnsi="PT Astra Serif" w:cs="Times New Roman"/>
          <w:bCs/>
          <w:szCs w:val="28"/>
        </w:rPr>
        <w:t xml:space="preserve"> марафона иску</w:t>
      </w:r>
      <w:r w:rsidR="003E3036">
        <w:rPr>
          <w:rFonts w:ascii="PT Astra Serif" w:eastAsia="Calibri" w:hAnsi="PT Astra Serif" w:cs="Times New Roman"/>
          <w:bCs/>
          <w:szCs w:val="28"/>
        </w:rPr>
        <w:t>сств «Белорусский вокзал» (14-</w:t>
      </w:r>
      <w:r w:rsidRPr="00250BEC">
        <w:rPr>
          <w:rFonts w:ascii="PT Astra Serif" w:eastAsia="Calibri" w:hAnsi="PT Astra Serif" w:cs="Times New Roman"/>
          <w:bCs/>
          <w:szCs w:val="28"/>
        </w:rPr>
        <w:t>16 мая).</w:t>
      </w:r>
    </w:p>
    <w:p w14:paraId="7B3D191A" w14:textId="2F4753DD" w:rsidR="00250BEC" w:rsidRPr="00250BEC" w:rsidRDefault="00250BEC" w:rsidP="00250BEC">
      <w:pPr>
        <w:widowControl w:val="0"/>
        <w:rPr>
          <w:rFonts w:ascii="PT Astra Serif" w:eastAsia="Calibri" w:hAnsi="PT Astra Serif" w:cs="Times New Roman"/>
          <w:szCs w:val="28"/>
        </w:rPr>
      </w:pPr>
      <w:r w:rsidRPr="00250BEC">
        <w:rPr>
          <w:rFonts w:ascii="PT Astra Serif" w:eastAsia="Times New Roman" w:hAnsi="PT Astra Serif" w:cs="Times New Roman"/>
          <w:szCs w:val="28"/>
          <w:lang w:eastAsia="ru-RU"/>
        </w:rPr>
        <w:t xml:space="preserve">В рамках деятельности </w:t>
      </w:r>
      <w:r w:rsidRPr="00250BEC">
        <w:rPr>
          <w:rFonts w:ascii="PT Astra Serif" w:eastAsia="Calibri" w:hAnsi="PT Astra Serif" w:cs="Times New Roman"/>
          <w:b/>
          <w:szCs w:val="28"/>
        </w:rPr>
        <w:t>Проектного офиса международного молодёжного сотрудничества по направлению «Россия – БРИКС»</w:t>
      </w:r>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br/>
      </w:r>
      <w:r w:rsidRPr="00250BEC">
        <w:rPr>
          <w:rFonts w:ascii="PT Astra Serif" w:eastAsia="Times New Roman" w:hAnsi="PT Astra Serif" w:cs="Times New Roman"/>
          <w:szCs w:val="28"/>
          <w:lang w:eastAsia="ru-RU"/>
        </w:rPr>
        <w:t xml:space="preserve">в течение 2025 года проведён ряд мероприятий, направленных на активизацию сотрудничества молодых лидеров не только стран БРИКС, но и стран </w:t>
      </w:r>
      <w:r w:rsidRPr="00250BEC">
        <w:rPr>
          <w:rFonts w:ascii="PT Astra Serif" w:eastAsia="Calibri" w:hAnsi="PT Astra Serif" w:cs="Times New Roman"/>
          <w:szCs w:val="28"/>
        </w:rPr>
        <w:t xml:space="preserve">Ближнего Востока, Африки и Латинской Америки, </w:t>
      </w:r>
      <w:r w:rsidRPr="00250BEC">
        <w:rPr>
          <w:rFonts w:ascii="PT Astra Serif" w:eastAsia="Times New Roman" w:hAnsi="PT Astra Serif" w:cs="Times New Roman"/>
          <w:szCs w:val="28"/>
          <w:lang w:eastAsia="ru-RU"/>
        </w:rPr>
        <w:t>в том числе:</w:t>
      </w:r>
    </w:p>
    <w:p w14:paraId="71F8EF8F" w14:textId="30AC1C9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V Международный молодёжный форум общественной дипломатии «</w:t>
      </w:r>
      <w:proofErr w:type="spellStart"/>
      <w:r w:rsidRPr="00250BEC">
        <w:rPr>
          <w:rFonts w:ascii="PT Astra Serif" w:eastAsia="Calibri" w:hAnsi="PT Astra Serif" w:cs="Times New Roman"/>
          <w:szCs w:val="28"/>
        </w:rPr>
        <w:t>ИнтерYes</w:t>
      </w:r>
      <w:proofErr w:type="spellEnd"/>
      <w:r w:rsidRPr="00250BEC">
        <w:rPr>
          <w:rFonts w:ascii="PT Astra Serif" w:eastAsia="Calibri" w:hAnsi="PT Astra Serif" w:cs="Times New Roman"/>
          <w:szCs w:val="28"/>
        </w:rPr>
        <w:t>!» с участием представителей молодёжи из 23 стран</w:t>
      </w:r>
      <w:r w:rsidR="003E3036">
        <w:rPr>
          <w:rFonts w:ascii="PT Astra Serif" w:eastAsia="Calibri" w:hAnsi="PT Astra Serif" w:cs="Times New Roman"/>
          <w:szCs w:val="28"/>
        </w:rPr>
        <w:t xml:space="preserve"> </w:t>
      </w:r>
      <w:r w:rsidR="003E3036">
        <w:rPr>
          <w:rFonts w:ascii="PT Astra Serif" w:eastAsia="Calibri" w:hAnsi="PT Astra Serif" w:cs="Times New Roman"/>
          <w:szCs w:val="28"/>
        </w:rPr>
        <w:br/>
      </w:r>
      <w:r w:rsidRPr="00250BEC">
        <w:rPr>
          <w:rFonts w:ascii="PT Astra Serif" w:eastAsia="Calibri" w:hAnsi="PT Astra Serif" w:cs="Times New Roman"/>
          <w:szCs w:val="28"/>
        </w:rPr>
        <w:t>(</w:t>
      </w:r>
      <w:r w:rsidRPr="00250BEC">
        <w:rPr>
          <w:rFonts w:ascii="PT Astra Serif" w:eastAsia="Times New Roman" w:hAnsi="PT Astra Serif" w:cs="Times New Roman"/>
          <w:i/>
          <w:color w:val="000000"/>
          <w:szCs w:val="28"/>
          <w:lang w:eastAsia="ru-RU"/>
        </w:rPr>
        <w:t xml:space="preserve">в </w:t>
      </w:r>
      <w:r w:rsidRPr="00250BEC">
        <w:rPr>
          <w:rFonts w:ascii="PT Astra Serif" w:eastAsia="Times New Roman" w:hAnsi="PT Astra Serif" w:cs="Times New Roman"/>
          <w:i/>
          <w:szCs w:val="28"/>
          <w:lang w:eastAsia="ru-RU"/>
        </w:rPr>
        <w:t>соответствии</w:t>
      </w:r>
      <w:r w:rsidRPr="00250BEC">
        <w:rPr>
          <w:rFonts w:ascii="PT Astra Serif" w:eastAsia="Times New Roman" w:hAnsi="PT Astra Serif" w:cs="Times New Roman"/>
          <w:i/>
          <w:color w:val="000000"/>
          <w:szCs w:val="28"/>
          <w:lang w:eastAsia="ru-RU"/>
        </w:rPr>
        <w:t xml:space="preserve"> с Планом мероприятий председательства Федеративной Республики Бразилии в объединении БРИКС в 2025 году)</w:t>
      </w:r>
      <w:r w:rsidRPr="00250BEC">
        <w:rPr>
          <w:rFonts w:ascii="PT Astra Serif" w:eastAsia="Calibri" w:hAnsi="PT Astra Serif" w:cs="Times New Roman"/>
          <w:szCs w:val="28"/>
        </w:rPr>
        <w:t xml:space="preserve"> (онлайн, 20 февраля);</w:t>
      </w:r>
    </w:p>
    <w:p w14:paraId="760B259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IV Международная молодёжная волонтёрская конференция «BRICS </w:t>
      </w:r>
      <w:proofErr w:type="spellStart"/>
      <w:r w:rsidRPr="00250BEC">
        <w:rPr>
          <w:rFonts w:ascii="PT Astra Serif" w:eastAsia="Calibri" w:hAnsi="PT Astra Serif" w:cs="Times New Roman"/>
          <w:szCs w:val="28"/>
        </w:rPr>
        <w:t>to</w:t>
      </w:r>
      <w:proofErr w:type="spellEnd"/>
      <w:r w:rsidRPr="00250BEC">
        <w:rPr>
          <w:rFonts w:ascii="PT Astra Serif" w:eastAsia="Calibri" w:hAnsi="PT Astra Serif" w:cs="Times New Roman"/>
          <w:szCs w:val="28"/>
        </w:rPr>
        <w:t xml:space="preserve"> </w:t>
      </w:r>
      <w:proofErr w:type="spellStart"/>
      <w:r w:rsidRPr="00250BEC">
        <w:rPr>
          <w:rFonts w:ascii="PT Astra Serif" w:eastAsia="Calibri" w:hAnsi="PT Astra Serif" w:cs="Times New Roman"/>
          <w:szCs w:val="28"/>
        </w:rPr>
        <w:t>you</w:t>
      </w:r>
      <w:proofErr w:type="spellEnd"/>
      <w:r w:rsidRPr="00250BEC">
        <w:rPr>
          <w:rFonts w:ascii="PT Astra Serif" w:eastAsia="Calibri" w:hAnsi="PT Astra Serif" w:cs="Times New Roman"/>
          <w:szCs w:val="28"/>
        </w:rPr>
        <w:t>» с участием представителей молодёжи из 65 стран (онлайн, 15 октября);</w:t>
      </w:r>
    </w:p>
    <w:p w14:paraId="24AD768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Международная молодёжная конференция «Креативный контент: </w:t>
      </w:r>
      <w:r w:rsidRPr="00250BEC">
        <w:rPr>
          <w:rFonts w:ascii="PT Astra Serif" w:eastAsia="Calibri" w:hAnsi="PT Astra Serif" w:cs="Times New Roman"/>
          <w:szCs w:val="28"/>
        </w:rPr>
        <w:br/>
        <w:t>в партнёрстве с БРИКС» (онлайн, сентябрь - декабрь);</w:t>
      </w:r>
    </w:p>
    <w:p w14:paraId="2DA827AE" w14:textId="3611010E"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Международный культурный молодёжный форум для лингвистов стран </w:t>
      </w:r>
      <w:r w:rsidRPr="00250BEC">
        <w:rPr>
          <w:rFonts w:ascii="PT Astra Serif" w:eastAsia="Calibri" w:hAnsi="PT Astra Serif" w:cs="Times New Roman"/>
          <w:szCs w:val="28"/>
        </w:rPr>
        <w:lastRenderedPageBreak/>
        <w:t xml:space="preserve">БРИКС «BRYXPLORE 1.0» совместно с Молодёжным клубом при Русском Доме </w:t>
      </w:r>
      <w:r w:rsidR="003E3036">
        <w:rPr>
          <w:rFonts w:ascii="PT Astra Serif" w:eastAsia="Calibri" w:hAnsi="PT Astra Serif" w:cs="Times New Roman"/>
          <w:szCs w:val="28"/>
        </w:rPr>
        <w:t>в г. Каире (Египет, онлайн, 8-</w:t>
      </w:r>
      <w:r w:rsidRPr="00250BEC">
        <w:rPr>
          <w:rFonts w:ascii="PT Astra Serif" w:eastAsia="Calibri" w:hAnsi="PT Astra Serif" w:cs="Times New Roman"/>
          <w:szCs w:val="28"/>
        </w:rPr>
        <w:t>10 апреля);</w:t>
      </w:r>
    </w:p>
    <w:p w14:paraId="2706F88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Международная конференция «Обмен передовым опытом развития информационных технологий в странах БРИКС», участниками которой стали специалисты в области информационных технологий из 33 стран мира (онлайн, 4 июня);</w:t>
      </w:r>
    </w:p>
    <w:p w14:paraId="517852D7" w14:textId="1AE45BA2"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Международный конкурс #ВСЁДИЗАЙН по теме «Устойчивое развитие: Дизайн для будущего» совместно с факультетом дизайна </w:t>
      </w:r>
      <w:r w:rsidRPr="00250BEC">
        <w:rPr>
          <w:rFonts w:ascii="PT Astra Serif" w:eastAsia="Calibri" w:hAnsi="PT Astra Serif" w:cs="Times New Roman"/>
          <w:szCs w:val="28"/>
        </w:rPr>
        <w:br/>
        <w:t>и рекл</w:t>
      </w:r>
      <w:r w:rsidR="003E3036">
        <w:rPr>
          <w:rFonts w:ascii="PT Astra Serif" w:eastAsia="Calibri" w:hAnsi="PT Astra Serif" w:cs="Times New Roman"/>
          <w:szCs w:val="28"/>
        </w:rPr>
        <w:t>амы Университета «Синергия» (</w:t>
      </w:r>
      <w:proofErr w:type="spellStart"/>
      <w:r w:rsidR="003E3036">
        <w:rPr>
          <w:rFonts w:ascii="PT Astra Serif" w:eastAsia="Calibri" w:hAnsi="PT Astra Serif" w:cs="Times New Roman"/>
          <w:szCs w:val="28"/>
        </w:rPr>
        <w:t>г.</w:t>
      </w:r>
      <w:r w:rsidRPr="00250BEC">
        <w:rPr>
          <w:rFonts w:ascii="PT Astra Serif" w:eastAsia="Calibri" w:hAnsi="PT Astra Serif" w:cs="Times New Roman"/>
          <w:szCs w:val="28"/>
        </w:rPr>
        <w:t>Москва</w:t>
      </w:r>
      <w:proofErr w:type="spellEnd"/>
      <w:r w:rsidRPr="00250BEC">
        <w:rPr>
          <w:rFonts w:ascii="PT Astra Serif" w:eastAsia="Calibri" w:hAnsi="PT Astra Serif" w:cs="Times New Roman"/>
          <w:szCs w:val="28"/>
        </w:rPr>
        <w:t>, онлайн, 30</w:t>
      </w:r>
      <w:r w:rsidR="003E3036">
        <w:rPr>
          <w:rFonts w:ascii="PT Astra Serif" w:eastAsia="Calibri" w:hAnsi="PT Astra Serif" w:cs="Times New Roman"/>
          <w:szCs w:val="28"/>
        </w:rPr>
        <w:t xml:space="preserve"> </w:t>
      </w:r>
      <w:r w:rsidRPr="00250BEC">
        <w:rPr>
          <w:rFonts w:ascii="PT Astra Serif" w:eastAsia="Calibri" w:hAnsi="PT Astra Serif" w:cs="Times New Roman"/>
          <w:szCs w:val="28"/>
        </w:rPr>
        <w:t>января–16 апреля);</w:t>
      </w:r>
    </w:p>
    <w:p w14:paraId="100EE41D" w14:textId="12016BD4"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 июне состоялась Просветительская экспедиция БРИКС в Иране (</w:t>
      </w:r>
      <w:r w:rsidRPr="00250BEC">
        <w:rPr>
          <w:rFonts w:ascii="PT Astra Serif" w:eastAsia="Times New Roman" w:hAnsi="PT Astra Serif" w:cs="Times New Roman"/>
          <w:szCs w:val="28"/>
          <w:lang w:eastAsia="ru-RU"/>
        </w:rPr>
        <w:t>краткосрочная программа обучения молодёжи стран БРИКС с основами взаимодействия в объединении БРИКС)</w:t>
      </w:r>
      <w:r w:rsidRPr="00250BEC">
        <w:rPr>
          <w:rFonts w:ascii="PT Astra Serif" w:eastAsia="Calibri" w:hAnsi="PT Astra Serif" w:cs="Times New Roman"/>
          <w:szCs w:val="28"/>
        </w:rPr>
        <w:t xml:space="preserve"> (г. Тегеран (Иран), 12-15 июня).</w:t>
      </w:r>
    </w:p>
    <w:p w14:paraId="2651F67E" w14:textId="77777777" w:rsidR="00250BEC" w:rsidRPr="00250BEC" w:rsidRDefault="00250BEC" w:rsidP="00250BEC">
      <w:pPr>
        <w:widowControl w:val="0"/>
        <w:autoSpaceDE w:val="0"/>
        <w:autoSpaceDN w:val="0"/>
        <w:adjustRightInd w:val="0"/>
        <w:rPr>
          <w:rFonts w:ascii="PT Astra Serif" w:eastAsia="Calibri" w:hAnsi="PT Astra Serif" w:cs="Times New Roman"/>
          <w:b/>
          <w:color w:val="000000"/>
          <w:szCs w:val="28"/>
        </w:rPr>
      </w:pPr>
      <w:r w:rsidRPr="00250BEC">
        <w:rPr>
          <w:rFonts w:ascii="PT Astra Serif" w:eastAsia="Calibri" w:hAnsi="PT Astra Serif" w:cs="Times New Roman"/>
          <w:color w:val="000000"/>
          <w:szCs w:val="28"/>
        </w:rPr>
        <w:t>В целях активизации молодёжного международного сотрудничества</w:t>
      </w:r>
      <w:r w:rsidRPr="00250BEC">
        <w:rPr>
          <w:rFonts w:ascii="PT Astra Serif" w:eastAsia="Calibri" w:hAnsi="PT Astra Serif" w:cs="Times New Roman"/>
          <w:b/>
          <w:color w:val="000000"/>
          <w:szCs w:val="28"/>
        </w:rPr>
        <w:br/>
      </w:r>
      <w:r w:rsidRPr="00250BEC">
        <w:rPr>
          <w:rFonts w:ascii="PT Astra Serif" w:eastAsia="Calibri" w:hAnsi="PT Astra Serif" w:cs="Times New Roman"/>
          <w:bCs/>
          <w:color w:val="000000"/>
          <w:szCs w:val="28"/>
        </w:rPr>
        <w:t xml:space="preserve">в г. Ульяновске </w:t>
      </w:r>
      <w:r w:rsidRPr="00250BEC">
        <w:rPr>
          <w:rFonts w:ascii="PT Astra Serif" w:eastAsia="Calibri" w:hAnsi="PT Astra Serif" w:cs="Times New Roman"/>
          <w:b/>
          <w:color w:val="000000"/>
          <w:szCs w:val="28"/>
          <w:shd w:val="clear" w:color="auto" w:fill="FFFFFF"/>
        </w:rPr>
        <w:t>действует «Международный клуб дружбы»</w:t>
      </w:r>
      <w:r w:rsidRPr="00250BEC">
        <w:rPr>
          <w:rFonts w:ascii="PT Astra Serif" w:eastAsia="Calibri" w:hAnsi="PT Astra Serif" w:cs="Times New Roman"/>
          <w:color w:val="000000"/>
          <w:szCs w:val="28"/>
          <w:shd w:val="clear" w:color="auto" w:fill="FFFFFF"/>
        </w:rPr>
        <w:t xml:space="preserve">. 23 декабря на базе Дворца творчества детей и молодёжи Ульяновской области состоялось открытие </w:t>
      </w:r>
      <w:r w:rsidRPr="00250BEC">
        <w:rPr>
          <w:rFonts w:ascii="PT Astra Serif" w:eastAsia="Calibri" w:hAnsi="PT Astra Serif" w:cs="Times New Roman"/>
          <w:b/>
          <w:color w:val="000000"/>
          <w:szCs w:val="28"/>
          <w:shd w:val="clear" w:color="auto" w:fill="FFFFFF"/>
        </w:rPr>
        <w:t>Музейного пространства БРИКС</w:t>
      </w:r>
      <w:r w:rsidRPr="00250BEC">
        <w:rPr>
          <w:rFonts w:ascii="PT Astra Serif" w:eastAsia="Calibri" w:hAnsi="PT Astra Serif" w:cs="Times New Roman"/>
          <w:color w:val="000000"/>
          <w:szCs w:val="28"/>
          <w:shd w:val="clear" w:color="auto" w:fill="FFFFFF"/>
        </w:rPr>
        <w:t>.</w:t>
      </w:r>
    </w:p>
    <w:p w14:paraId="3169FDF7" w14:textId="77777777" w:rsidR="00250BEC" w:rsidRPr="00250BEC" w:rsidRDefault="00250BEC" w:rsidP="00250BEC">
      <w:pPr>
        <w:widowControl w:val="0"/>
        <w:autoSpaceDE w:val="0"/>
        <w:autoSpaceDN w:val="0"/>
        <w:adjustRightInd w:val="0"/>
        <w:rPr>
          <w:rFonts w:ascii="PT Astra Serif" w:eastAsia="Calibri" w:hAnsi="PT Astra Serif" w:cs="Times New Roman"/>
          <w:bCs/>
          <w:color w:val="000000"/>
          <w:szCs w:val="28"/>
        </w:rPr>
      </w:pPr>
      <w:r w:rsidRPr="00250BEC">
        <w:rPr>
          <w:rFonts w:ascii="PT Astra Serif" w:eastAsia="Calibri" w:hAnsi="PT Astra Serif" w:cs="Times New Roman"/>
          <w:bCs/>
          <w:color w:val="000000"/>
          <w:szCs w:val="28"/>
        </w:rPr>
        <w:t xml:space="preserve">Советом глав государств СНГ 2025 год был объявлен </w:t>
      </w:r>
      <w:r w:rsidRPr="00250BEC">
        <w:rPr>
          <w:rFonts w:ascii="PT Astra Serif" w:eastAsia="Calibri" w:hAnsi="PT Astra Serif" w:cs="Times New Roman"/>
          <w:b/>
          <w:bCs/>
          <w:color w:val="000000"/>
          <w:szCs w:val="28"/>
        </w:rPr>
        <w:t>Годом 80-летия Победы, мира и единства в борьбе с нацизмом в СНГ</w:t>
      </w:r>
      <w:r w:rsidRPr="00250BEC">
        <w:rPr>
          <w:rFonts w:ascii="PT Astra Serif" w:eastAsia="Calibri" w:hAnsi="PT Astra Serif" w:cs="Times New Roman"/>
          <w:bCs/>
          <w:color w:val="000000"/>
          <w:szCs w:val="28"/>
        </w:rPr>
        <w:t>. В связи с этим</w:t>
      </w:r>
      <w:r w:rsidRPr="00250BEC">
        <w:rPr>
          <w:rFonts w:ascii="PT Astra Serif" w:eastAsia="Calibri" w:hAnsi="PT Astra Serif" w:cs="Times New Roman"/>
          <w:bCs/>
          <w:color w:val="000000"/>
          <w:szCs w:val="28"/>
        </w:rPr>
        <w:br/>
        <w:t>в Ульяновской области был проведён ряд мероприятий международного характера, посвящённых 80-летию Победы в Великой Отечественной войне:</w:t>
      </w:r>
    </w:p>
    <w:p w14:paraId="4A40BD6E" w14:textId="72CE5C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Cs/>
          <w:szCs w:val="28"/>
        </w:rPr>
        <w:t>Председатель Молодёжной Думы Д.А. Акимов принял участие</w:t>
      </w:r>
      <w:r w:rsidRPr="00250BEC">
        <w:rPr>
          <w:rFonts w:ascii="PT Astra Serif" w:eastAsia="Calibri" w:hAnsi="PT Astra Serif" w:cs="Times New Roman"/>
          <w:bCs/>
          <w:szCs w:val="28"/>
        </w:rPr>
        <w:br/>
        <w:t xml:space="preserve">в мероприятиях Молодёжной автобусной акции памяти городов-побратимов России и Беларуси в Республике Беларусь, в том числе в торжественном Параде Победы в г. Минске, митингах-реквиемах в мемориальных комплексах «Хатынь» и «Брестская крепость-герой» </w:t>
      </w:r>
      <w:r w:rsidRPr="00250BEC">
        <w:rPr>
          <w:rFonts w:ascii="PT Astra Serif" w:eastAsia="Calibri" w:hAnsi="PT Astra Serif" w:cs="Times New Roman"/>
          <w:szCs w:val="28"/>
        </w:rPr>
        <w:t>(8-12 мая)</w:t>
      </w:r>
      <w:r w:rsidRPr="00250BEC">
        <w:rPr>
          <w:rFonts w:ascii="PT Astra Serif" w:eastAsia="Calibri" w:hAnsi="PT Astra Serif" w:cs="Times New Roman"/>
          <w:bCs/>
          <w:szCs w:val="28"/>
        </w:rPr>
        <w:t>;</w:t>
      </w:r>
    </w:p>
    <w:p w14:paraId="30AFF07D" w14:textId="44A7234D"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 xml:space="preserve">делегация муниципального образования «город Ульяновск» приняла участие в праздничных мероприятиях в г. Гомеле (Беларусь), посвящённых </w:t>
      </w:r>
      <w:r w:rsidRPr="00250BEC">
        <w:rPr>
          <w:rFonts w:ascii="PT Astra Serif" w:eastAsia="Calibri" w:hAnsi="PT Astra Serif" w:cs="Times New Roman"/>
          <w:bCs/>
          <w:szCs w:val="28"/>
        </w:rPr>
        <w:br/>
        <w:t xml:space="preserve">82-летию со дня освобождения г. Гомеля от немецко-фашистских захватчиков </w:t>
      </w:r>
      <w:r w:rsidRPr="00250BEC">
        <w:rPr>
          <w:rFonts w:ascii="PT Astra Serif" w:eastAsia="Calibri" w:hAnsi="PT Astra Serif" w:cs="Times New Roman"/>
          <w:szCs w:val="28"/>
        </w:rPr>
        <w:t>(25-28 ноября)</w:t>
      </w:r>
      <w:r w:rsidRPr="00250BEC">
        <w:rPr>
          <w:rFonts w:ascii="PT Astra Serif" w:eastAsia="Calibri" w:hAnsi="PT Astra Serif" w:cs="Times New Roman"/>
          <w:bCs/>
          <w:szCs w:val="28"/>
        </w:rPr>
        <w:t>;</w:t>
      </w:r>
    </w:p>
    <w:p w14:paraId="68A9C8D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 г. Ульяновске состоялся Форум волонтёров СНГ «Солидарность», где особое внимание было уделено участию студентов из стран СНГ</w:t>
      </w:r>
      <w:r w:rsidRPr="00250BEC">
        <w:rPr>
          <w:rFonts w:ascii="PT Astra Serif" w:eastAsia="Calibri" w:hAnsi="PT Astra Serif" w:cs="Times New Roman"/>
          <w:szCs w:val="28"/>
        </w:rPr>
        <w:br/>
        <w:t>в подготовке к мероприятиям на территории Ульяновской области, посвящённым 80-летию Победы (20 марта);</w:t>
      </w:r>
    </w:p>
    <w:p w14:paraId="548AF3B7" w14:textId="6F0398BE" w:rsidR="00250BEC" w:rsidRPr="00250BEC" w:rsidRDefault="00250BEC" w:rsidP="00250BEC">
      <w:pPr>
        <w:widowControl w:val="0"/>
        <w:rPr>
          <w:rFonts w:ascii="PT Astra Serif" w:eastAsia="Calibri" w:hAnsi="PT Astra Serif" w:cs="Times New Roman"/>
          <w:bCs/>
          <w:szCs w:val="28"/>
        </w:rPr>
      </w:pPr>
      <w:r w:rsidRPr="00250BEC">
        <w:rPr>
          <w:rFonts w:ascii="PT Astra Serif" w:eastAsia="Calibri" w:hAnsi="PT Astra Serif" w:cs="Times New Roman"/>
          <w:bCs/>
          <w:szCs w:val="28"/>
        </w:rPr>
        <w:t>Ульяновскую область посетили казахстанские спортсмены, путешествовавшие на велосипеде по маршруту Астана-Уральск-Москва</w:t>
      </w:r>
      <w:r w:rsidRPr="00250BEC">
        <w:rPr>
          <w:rFonts w:ascii="PT Astra Serif" w:eastAsia="Calibri" w:hAnsi="PT Astra Serif" w:cs="Times New Roman"/>
          <w:bCs/>
          <w:szCs w:val="28"/>
        </w:rPr>
        <w:br/>
        <w:t xml:space="preserve">в честь празднования 80-летия Победы в Великой Отечественной войне </w:t>
      </w:r>
      <w:r w:rsidRPr="00250BEC">
        <w:rPr>
          <w:rFonts w:ascii="PT Astra Serif" w:eastAsia="Calibri" w:hAnsi="PT Astra Serif" w:cs="Times New Roman"/>
          <w:bCs/>
          <w:szCs w:val="28"/>
        </w:rPr>
        <w:br/>
      </w:r>
      <w:r w:rsidRPr="00250BEC">
        <w:rPr>
          <w:rFonts w:ascii="PT Astra Serif" w:eastAsia="Calibri" w:hAnsi="PT Astra Serif" w:cs="Times New Roman"/>
          <w:szCs w:val="28"/>
        </w:rPr>
        <w:t>(19-22 апреля)</w:t>
      </w:r>
      <w:r w:rsidRPr="00250BEC">
        <w:rPr>
          <w:rFonts w:ascii="PT Astra Serif" w:eastAsia="Calibri" w:hAnsi="PT Astra Serif" w:cs="Times New Roman"/>
          <w:bCs/>
          <w:szCs w:val="28"/>
        </w:rPr>
        <w:t>;</w:t>
      </w:r>
    </w:p>
    <w:p w14:paraId="71B486DF"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в мае и в июле сводный поисковый отряд Ульяновской области совместно с белорусской поисковой группой «Звезда» принимал участие</w:t>
      </w:r>
      <w:r w:rsidRPr="00250BEC">
        <w:rPr>
          <w:rFonts w:ascii="PT Astra Serif" w:eastAsia="Calibri" w:hAnsi="PT Astra Serif" w:cs="Times New Roman"/>
          <w:szCs w:val="28"/>
        </w:rPr>
        <w:br/>
        <w:t>в международных военно-исторических экспедициях на территории Гомельской области по местам боёв 154-й Ульяновской стрелковой дивизии (г. Жлобин, г. Буда-</w:t>
      </w:r>
      <w:proofErr w:type="spellStart"/>
      <w:r w:rsidRPr="00250BEC">
        <w:rPr>
          <w:rFonts w:ascii="PT Astra Serif" w:eastAsia="Calibri" w:hAnsi="PT Astra Serif" w:cs="Times New Roman"/>
          <w:szCs w:val="28"/>
        </w:rPr>
        <w:t>Кошелёво</w:t>
      </w:r>
      <w:proofErr w:type="spellEnd"/>
      <w:r w:rsidRPr="00250BEC">
        <w:rPr>
          <w:rFonts w:ascii="PT Astra Serif" w:eastAsia="Calibri" w:hAnsi="PT Astra Serif" w:cs="Times New Roman"/>
          <w:szCs w:val="28"/>
        </w:rPr>
        <w:t xml:space="preserve"> и г. Рогачёв). Важным событием стало открытие в г. Жлобине мемориальной плиты в память о подвиге воинов 154-й Ульяновской стрелковой дивизии 63-го стрелкового корпуса (15 июля);</w:t>
      </w:r>
    </w:p>
    <w:p w14:paraId="35A71F95" w14:textId="67684F9B"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юнармейцы Ульяновской области (обучающиеся средней школы №47</w:t>
      </w:r>
      <w:r w:rsidRPr="00250BEC">
        <w:rPr>
          <w:rFonts w:ascii="PT Astra Serif" w:eastAsia="Calibri" w:hAnsi="PT Astra Serif" w:cs="Times New Roman"/>
          <w:szCs w:val="28"/>
        </w:rPr>
        <w:br/>
      </w:r>
      <w:r w:rsidRPr="00250BEC">
        <w:rPr>
          <w:rFonts w:ascii="PT Astra Serif" w:eastAsia="Calibri" w:hAnsi="PT Astra Serif" w:cs="Times New Roman"/>
          <w:szCs w:val="28"/>
        </w:rPr>
        <w:lastRenderedPageBreak/>
        <w:t xml:space="preserve">г. Ульяновска) </w:t>
      </w:r>
      <w:hyperlink r:id="rId56" w:tgtFrame="_blank" w:history="1">
        <w:r w:rsidRPr="00250BEC">
          <w:rPr>
            <w:rFonts w:ascii="PT Astra Serif" w:eastAsia="Calibri" w:hAnsi="PT Astra Serif" w:cs="Times New Roman"/>
            <w:szCs w:val="28"/>
          </w:rPr>
          <w:t>принимали участие</w:t>
        </w:r>
      </w:hyperlink>
      <w:r w:rsidRPr="00250BEC">
        <w:rPr>
          <w:rFonts w:ascii="PT Astra Serif" w:eastAsia="Calibri" w:hAnsi="PT Astra Serif" w:cs="Times New Roman"/>
          <w:szCs w:val="28"/>
        </w:rPr>
        <w:t xml:space="preserve"> в гражданско-патриотической кадетской смене учащихся Союзного государства «За честь Отчизны!» в Национальном детском образовательно-оздоровительном центре «Зубрёнок» Республики Беларусь (9-29 сентября).</w:t>
      </w:r>
    </w:p>
    <w:p w14:paraId="677379A8" w14:textId="77777777" w:rsidR="00250BEC" w:rsidRPr="00250BEC" w:rsidRDefault="00250BEC" w:rsidP="00250BEC">
      <w:pPr>
        <w:widowControl w:val="0"/>
        <w:autoSpaceDE w:val="0"/>
        <w:autoSpaceDN w:val="0"/>
        <w:adjustRightInd w:val="0"/>
        <w:rPr>
          <w:rFonts w:ascii="PT Astra Serif" w:eastAsia="Calibri" w:hAnsi="PT Astra Serif" w:cs="Times New Roman"/>
          <w:b/>
          <w:szCs w:val="28"/>
        </w:rPr>
      </w:pPr>
      <w:r w:rsidRPr="00250BEC">
        <w:rPr>
          <w:rFonts w:ascii="PT Astra Serif" w:eastAsia="Calibri" w:hAnsi="PT Astra Serif" w:cs="Times New Roman"/>
          <w:szCs w:val="28"/>
        </w:rPr>
        <w:t>В целях активизации развития всестороннего международного сотрудничества в течение 2025 года</w:t>
      </w:r>
      <w:r w:rsidRPr="00250BEC">
        <w:rPr>
          <w:rFonts w:ascii="PT Astra Serif" w:eastAsia="Calibri" w:hAnsi="PT Astra Serif" w:cs="Times New Roman"/>
          <w:b/>
          <w:szCs w:val="28"/>
        </w:rPr>
        <w:t xml:space="preserve"> заключены рамочные межрегиональные соглашения о сотрудничестве:</w:t>
      </w:r>
    </w:p>
    <w:p w14:paraId="540F1CC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Соглашение между Правительством Ульяновской области (Российская Федерация) и Народным комитетом провинции </w:t>
      </w:r>
      <w:proofErr w:type="spellStart"/>
      <w:r w:rsidRPr="00250BEC">
        <w:rPr>
          <w:rFonts w:ascii="PT Astra Serif" w:eastAsia="Calibri" w:hAnsi="PT Astra Serif" w:cs="Times New Roman"/>
          <w:szCs w:val="28"/>
        </w:rPr>
        <w:t>Нгеан</w:t>
      </w:r>
      <w:proofErr w:type="spellEnd"/>
      <w:r w:rsidRPr="00250BEC">
        <w:rPr>
          <w:rFonts w:ascii="PT Astra Serif" w:eastAsia="Calibri" w:hAnsi="PT Astra Serif" w:cs="Times New Roman"/>
          <w:szCs w:val="28"/>
        </w:rPr>
        <w:t xml:space="preserve"> (Социалистическая Республика Вьетнам) о сотрудничестве в торгово-экономической, инвестиционной, научно-технической, социальной и культурно-гуманитарной областях (г. Ульяновск, 16 мая); </w:t>
      </w:r>
    </w:p>
    <w:p w14:paraId="62CF52E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Соглашение между Правительством Ульяновской области (Российская Федерация) и Витебским областным исполнительным комитетом (Республика Беларусь) об осуществлении международных и внешнеэкономических связей в торгово-экономической, научно-технической и гуманитарной сферах </w:t>
      </w:r>
      <w:r w:rsidRPr="00250BEC">
        <w:rPr>
          <w:rFonts w:ascii="PT Astra Serif" w:eastAsia="Calibri" w:hAnsi="PT Astra Serif" w:cs="Times New Roman"/>
          <w:szCs w:val="28"/>
        </w:rPr>
        <w:br/>
        <w:t xml:space="preserve">(г. Нижний Новгород, 26 июня); </w:t>
      </w:r>
    </w:p>
    <w:p w14:paraId="46AC87F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Соглашение между Правительством Ульяновской области (Российская Федерация) и Минским областным исполнительным комитетом (Республика Беларусь) об осуществлении международных и внешнеэкономических связей в торгово-экономической, научно-технической и гуманитарной сферах</w:t>
      </w:r>
      <w:r w:rsidRPr="00250BEC">
        <w:rPr>
          <w:rFonts w:ascii="PT Astra Serif" w:eastAsia="Calibri" w:hAnsi="PT Astra Serif" w:cs="Times New Roman"/>
          <w:szCs w:val="28"/>
        </w:rPr>
        <w:br/>
        <w:t xml:space="preserve">(г. Минск, 29 сентября). </w:t>
      </w:r>
    </w:p>
    <w:p w14:paraId="63E8E7F8"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Также был заключён </w:t>
      </w:r>
      <w:r w:rsidRPr="00250BEC">
        <w:rPr>
          <w:rFonts w:ascii="PT Astra Serif" w:eastAsia="Calibri" w:hAnsi="PT Astra Serif" w:cs="Times New Roman"/>
          <w:b/>
          <w:szCs w:val="28"/>
        </w:rPr>
        <w:t>ряд отраслевых двусторонних документов</w:t>
      </w:r>
      <w:r w:rsidRPr="00250BEC">
        <w:rPr>
          <w:rFonts w:ascii="PT Astra Serif" w:eastAsia="Calibri" w:hAnsi="PT Astra Serif" w:cs="Times New Roman"/>
          <w:szCs w:val="28"/>
        </w:rPr>
        <w:t xml:space="preserve"> (соглашения, меморандумы) с зарубежными партнёрами:</w:t>
      </w:r>
    </w:p>
    <w:p w14:paraId="7917FBBE"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в торгово-экономической сфере</w:t>
      </w:r>
      <w:r w:rsidRPr="00250BEC">
        <w:rPr>
          <w:rFonts w:ascii="PT Astra Serif" w:eastAsia="Calibri" w:hAnsi="PT Astra Serif" w:cs="Times New Roman"/>
          <w:szCs w:val="28"/>
        </w:rPr>
        <w:t xml:space="preserve"> со свободной экономической зоной «Минск» (г. Минск, 29 сентября), с администрацией свободной экономической зоны «Гомель-</w:t>
      </w:r>
      <w:proofErr w:type="spellStart"/>
      <w:r w:rsidRPr="00250BEC">
        <w:rPr>
          <w:rFonts w:ascii="PT Astra Serif" w:eastAsia="Calibri" w:hAnsi="PT Astra Serif" w:cs="Times New Roman"/>
          <w:szCs w:val="28"/>
        </w:rPr>
        <w:t>Ратон</w:t>
      </w:r>
      <w:proofErr w:type="spellEnd"/>
      <w:r w:rsidRPr="00250BEC">
        <w:rPr>
          <w:rFonts w:ascii="PT Astra Serif" w:eastAsia="Calibri" w:hAnsi="PT Astra Serif" w:cs="Times New Roman"/>
          <w:szCs w:val="28"/>
        </w:rPr>
        <w:t>» (г. Минск, 29 сентября);</w:t>
      </w:r>
    </w:p>
    <w:p w14:paraId="2821A262"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в сфере промышленной кооперации</w:t>
      </w:r>
      <w:r w:rsidRPr="00250BEC">
        <w:rPr>
          <w:rFonts w:ascii="PT Astra Serif" w:eastAsia="Calibri" w:hAnsi="PT Astra Serif" w:cs="Times New Roman"/>
          <w:szCs w:val="28"/>
        </w:rPr>
        <w:t xml:space="preserve"> с белорусским Республиканским союзом промышленников и предпринимателей (г. Минск, 29 сентября);</w:t>
      </w:r>
    </w:p>
    <w:p w14:paraId="2D5F54E8" w14:textId="59DF2853"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в сфере инновационного развития</w:t>
      </w:r>
      <w:r w:rsidRPr="00250BEC">
        <w:rPr>
          <w:rFonts w:ascii="PT Astra Serif" w:eastAsia="Calibri" w:hAnsi="PT Astra Serif" w:cs="Times New Roman"/>
          <w:szCs w:val="28"/>
        </w:rPr>
        <w:t xml:space="preserve"> с белорусским Республиканским унитарным предприятием «Минский технопарк» (г. Минск, 20</w:t>
      </w:r>
      <w:r w:rsidR="003E3036">
        <w:rPr>
          <w:rFonts w:ascii="PT Astra Serif" w:eastAsia="Calibri" w:hAnsi="PT Astra Serif" w:cs="Times New Roman"/>
          <w:szCs w:val="28"/>
        </w:rPr>
        <w:t>-</w:t>
      </w:r>
      <w:r w:rsidRPr="00250BEC">
        <w:rPr>
          <w:rFonts w:ascii="PT Astra Serif" w:eastAsia="Calibri" w:hAnsi="PT Astra Serif" w:cs="Times New Roman"/>
          <w:szCs w:val="28"/>
        </w:rPr>
        <w:t>25 апреля);</w:t>
      </w:r>
    </w:p>
    <w:p w14:paraId="3D4910D0"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b/>
          <w:szCs w:val="28"/>
        </w:rPr>
        <w:t>в сфере развития кадрового потенциала</w:t>
      </w:r>
      <w:r w:rsidRPr="00250BEC">
        <w:rPr>
          <w:rFonts w:ascii="PT Astra Serif" w:eastAsia="Calibri" w:hAnsi="PT Astra Serif" w:cs="Times New Roman"/>
          <w:szCs w:val="28"/>
        </w:rPr>
        <w:t xml:space="preserve"> с Академией управления</w:t>
      </w:r>
      <w:r w:rsidRPr="00250BEC">
        <w:rPr>
          <w:rFonts w:ascii="PT Astra Serif" w:eastAsia="Calibri" w:hAnsi="PT Astra Serif" w:cs="Times New Roman"/>
          <w:szCs w:val="28"/>
        </w:rPr>
        <w:br/>
        <w:t>при Президенте Республики Беларусь (г. Минск, 1 октября), белорусским Государственным учреждением образования «Институт повышения квалификации и переподготовки руководителей и специалистов промышленности «Кадры индустрии» (10 февраля) и другие.</w:t>
      </w:r>
    </w:p>
    <w:p w14:paraId="3716CECF" w14:textId="78D8FA29"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Также был утверждён План мероприятий на 2025 - 2026 годы по реализации Соглашения между Правительством Ульяновской области (РФ) </w:t>
      </w:r>
      <w:r w:rsidR="00C72F5D">
        <w:rPr>
          <w:rFonts w:ascii="PT Astra Serif" w:eastAsia="Calibri" w:hAnsi="PT Astra Serif" w:cs="Times New Roman"/>
          <w:szCs w:val="28"/>
        </w:rPr>
        <w:br/>
      </w:r>
      <w:r w:rsidRPr="00250BEC">
        <w:rPr>
          <w:rFonts w:ascii="PT Astra Serif" w:eastAsia="Calibri" w:hAnsi="PT Astra Serif" w:cs="Times New Roman"/>
          <w:szCs w:val="28"/>
        </w:rPr>
        <w:t>и Правительством Республики Южная Осетия о сотрудничестве в торгово-экономической, научно-технической и культурно-гуманитарной областях от 6 июня 2024 года (г.</w:t>
      </w:r>
      <w:r w:rsidR="00C72F5D">
        <w:rPr>
          <w:rFonts w:ascii="PT Astra Serif" w:eastAsia="Calibri" w:hAnsi="PT Astra Serif" w:cs="Times New Roman"/>
          <w:szCs w:val="28"/>
        </w:rPr>
        <w:t xml:space="preserve"> </w:t>
      </w:r>
      <w:r w:rsidRPr="00250BEC">
        <w:rPr>
          <w:rFonts w:ascii="PT Astra Serif" w:eastAsia="Calibri" w:hAnsi="PT Astra Serif" w:cs="Times New Roman"/>
          <w:szCs w:val="28"/>
        </w:rPr>
        <w:t>Цхинвал (Южная Осетия), 20 сентября).</w:t>
      </w:r>
    </w:p>
    <w:p w14:paraId="69E33095" w14:textId="77777777" w:rsidR="003E3036" w:rsidRDefault="003E3036" w:rsidP="00250BEC">
      <w:pPr>
        <w:widowControl w:val="0"/>
        <w:ind w:firstLine="0"/>
        <w:jc w:val="center"/>
        <w:rPr>
          <w:rFonts w:ascii="PT Astra Serif" w:eastAsia="Calibri" w:hAnsi="PT Astra Serif" w:cs="Times New Roman"/>
          <w:b/>
          <w:szCs w:val="28"/>
        </w:rPr>
      </w:pPr>
    </w:p>
    <w:p w14:paraId="44F3BF5E" w14:textId="445AC924" w:rsidR="00250BEC" w:rsidRPr="00250BEC" w:rsidRDefault="00250BEC" w:rsidP="00250BEC">
      <w:pPr>
        <w:widowControl w:val="0"/>
        <w:ind w:firstLine="0"/>
        <w:jc w:val="center"/>
        <w:rPr>
          <w:rFonts w:ascii="PT Astra Serif" w:eastAsia="Calibri" w:hAnsi="PT Astra Serif" w:cs="Times New Roman"/>
          <w:b/>
          <w:szCs w:val="28"/>
        </w:rPr>
      </w:pPr>
      <w:r w:rsidRPr="00250BEC">
        <w:rPr>
          <w:rFonts w:ascii="PT Astra Serif" w:eastAsia="Calibri" w:hAnsi="PT Astra Serif" w:cs="Times New Roman"/>
          <w:b/>
          <w:szCs w:val="28"/>
        </w:rPr>
        <w:t>Межрегиональная деятельность</w:t>
      </w:r>
    </w:p>
    <w:p w14:paraId="56014CC5" w14:textId="77777777" w:rsidR="00250BEC" w:rsidRPr="00250BEC" w:rsidRDefault="00250BEC" w:rsidP="00250BEC">
      <w:pPr>
        <w:widowControl w:val="0"/>
        <w:jc w:val="center"/>
        <w:rPr>
          <w:rFonts w:ascii="PT Astra Serif" w:eastAsia="Calibri" w:hAnsi="PT Astra Serif" w:cs="Times New Roman"/>
          <w:b/>
          <w:szCs w:val="28"/>
        </w:rPr>
      </w:pPr>
    </w:p>
    <w:p w14:paraId="0AEAFBC9" w14:textId="0AB51DFE"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Наряду с развитием международного сотрудничества региона </w:t>
      </w:r>
      <w:r w:rsidRPr="00250BEC">
        <w:rPr>
          <w:rFonts w:ascii="PT Astra Serif" w:eastAsia="Calibri" w:hAnsi="PT Astra Serif" w:cs="Times New Roman"/>
          <w:szCs w:val="28"/>
        </w:rPr>
        <w:lastRenderedPageBreak/>
        <w:t xml:space="preserve">продолжается активное взаимодействие с российскими регионами по налаживанию производственного сотрудничества, получению полноценной информации о компетенциях и технологиях в регионах, реализации совместных проектов в культурно-гуманитарной сфере. В течение 2025 года состоялось </w:t>
      </w:r>
      <w:r w:rsidRPr="00250BEC">
        <w:rPr>
          <w:rFonts w:ascii="PT Astra Serif" w:eastAsia="Calibri" w:hAnsi="PT Astra Serif" w:cs="Times New Roman"/>
          <w:b/>
          <w:szCs w:val="28"/>
        </w:rPr>
        <w:t>более 200 межрегиональных мероприятий с участием</w:t>
      </w:r>
      <w:r w:rsidRPr="00250BEC">
        <w:rPr>
          <w:rFonts w:ascii="PT Astra Serif" w:eastAsia="Calibri" w:hAnsi="PT Astra Serif" w:cs="Times New Roman"/>
          <w:szCs w:val="28"/>
        </w:rPr>
        <w:t xml:space="preserve"> представителей </w:t>
      </w:r>
      <w:r w:rsidRPr="00250BEC">
        <w:rPr>
          <w:rFonts w:ascii="PT Astra Serif" w:eastAsia="Calibri" w:hAnsi="PT Astra Serif" w:cs="Times New Roman"/>
          <w:b/>
          <w:szCs w:val="28"/>
        </w:rPr>
        <w:t>75 российских регионов</w:t>
      </w:r>
      <w:r w:rsidRPr="00250BEC">
        <w:rPr>
          <w:rFonts w:ascii="PT Astra Serif" w:eastAsia="Calibri" w:hAnsi="PT Astra Serif" w:cs="Times New Roman"/>
          <w:szCs w:val="28"/>
        </w:rPr>
        <w:t xml:space="preserve">, в первую очередь представителей регионов Приволжского федерального округа, а также Донецкой Народной Республики, Архангельской, Волгоградской, Ленинградской, Липецкой, Московской, Новосибирской, Свердловской, Тверской, Тульской </w:t>
      </w:r>
      <w:r w:rsidR="003E3036">
        <w:rPr>
          <w:rFonts w:ascii="PT Astra Serif" w:eastAsia="Calibri" w:hAnsi="PT Astra Serif" w:cs="Times New Roman"/>
          <w:szCs w:val="28"/>
        </w:rPr>
        <w:br/>
      </w:r>
      <w:r w:rsidRPr="00250BEC">
        <w:rPr>
          <w:rFonts w:ascii="PT Astra Serif" w:eastAsia="Calibri" w:hAnsi="PT Astra Serif" w:cs="Times New Roman"/>
          <w:szCs w:val="28"/>
        </w:rPr>
        <w:t>и Челябинской областей, также Краснодарского, Красноярского, Приморского и Хабаровского краёв, городов Москвы и Санкт-Петербурга и других субъектов Российской Федерации.</w:t>
      </w:r>
    </w:p>
    <w:p w14:paraId="73C9F5CE" w14:textId="77777777" w:rsidR="00250BEC" w:rsidRPr="00250BEC" w:rsidRDefault="00250BEC" w:rsidP="00250BEC">
      <w:pPr>
        <w:widowControl w:val="0"/>
        <w:autoSpaceDE w:val="0"/>
        <w:autoSpaceDN w:val="0"/>
        <w:adjustRightInd w:val="0"/>
        <w:rPr>
          <w:rFonts w:ascii="PT Astra Serif" w:eastAsia="Calibri" w:hAnsi="PT Astra Serif" w:cs="Times New Roman"/>
          <w:bCs/>
          <w:szCs w:val="28"/>
        </w:rPr>
      </w:pPr>
      <w:r w:rsidRPr="00250BEC">
        <w:rPr>
          <w:rFonts w:ascii="PT Astra Serif" w:eastAsia="Calibri" w:hAnsi="PT Astra Serif" w:cs="Times New Roman"/>
          <w:szCs w:val="28"/>
        </w:rPr>
        <w:t>В целях активизации межрегионального сотрудничества</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в течение 2025 года было заключено</w:t>
      </w:r>
      <w:r w:rsidRPr="00250BEC">
        <w:rPr>
          <w:rFonts w:ascii="PT Astra Serif" w:eastAsia="Calibri" w:hAnsi="PT Astra Serif" w:cs="Times New Roman"/>
          <w:b/>
          <w:szCs w:val="28"/>
        </w:rPr>
        <w:t xml:space="preserve"> Соглашение о торгово-экономическом, научно-техническом и культурно-гуманитарном сотрудничестве</w:t>
      </w:r>
      <w:r w:rsidRPr="00250BEC">
        <w:rPr>
          <w:rFonts w:ascii="PT Astra Serif" w:eastAsia="Calibri" w:hAnsi="PT Astra Serif" w:cs="Times New Roman"/>
          <w:szCs w:val="28"/>
        </w:rPr>
        <w:t xml:space="preserve"> между Правительством Ульяновской области и Правительством Тульской области</w:t>
      </w:r>
      <w:r w:rsidRPr="00250BEC">
        <w:rPr>
          <w:rFonts w:ascii="PT Astra Serif" w:eastAsia="Calibri" w:hAnsi="PT Astra Serif" w:cs="Times New Roman"/>
          <w:bCs/>
          <w:szCs w:val="28"/>
        </w:rPr>
        <w:t xml:space="preserve"> (28 марта, г. Тула) </w:t>
      </w:r>
      <w:r w:rsidRPr="00250BEC">
        <w:rPr>
          <w:rFonts w:ascii="PT Astra Serif" w:eastAsia="Calibri" w:hAnsi="PT Astra Serif" w:cs="Times New Roman"/>
          <w:szCs w:val="28"/>
        </w:rPr>
        <w:t xml:space="preserve">и утверждён </w:t>
      </w:r>
      <w:r w:rsidRPr="00250BEC">
        <w:rPr>
          <w:rFonts w:ascii="PT Astra Serif" w:eastAsia="source han sans cn regular" w:hAnsi="PT Astra Serif" w:cs="PT Astra Serif"/>
          <w:b/>
          <w:bCs/>
          <w:color w:val="000000"/>
          <w:szCs w:val="28"/>
        </w:rPr>
        <w:t>План мероприятий на 2025 - 2027 годы по реализации Соглашения между Правительством Ульяновской области</w:t>
      </w:r>
      <w:r w:rsidRPr="00250BEC">
        <w:rPr>
          <w:rFonts w:ascii="PT Astra Serif" w:eastAsia="source han sans cn regular" w:hAnsi="PT Astra Serif" w:cs="PT Astra Serif"/>
          <w:b/>
          <w:bCs/>
          <w:color w:val="000000"/>
          <w:szCs w:val="28"/>
        </w:rPr>
        <w:br/>
        <w:t xml:space="preserve">и Правительством Челябинской области </w:t>
      </w:r>
      <w:r w:rsidRPr="00250BEC">
        <w:rPr>
          <w:rFonts w:ascii="PT Astra Serif" w:eastAsia="source han sans cn regular" w:hAnsi="PT Astra Serif" w:cs="PT Astra Serif"/>
          <w:bCs/>
          <w:color w:val="000000"/>
          <w:szCs w:val="28"/>
        </w:rPr>
        <w:t>о сотрудничестве в торгово-экономической, научно-технической и культурно-гуманитарной областях</w:t>
      </w:r>
      <w:r w:rsidRPr="00250BEC">
        <w:rPr>
          <w:rFonts w:ascii="PT Astra Serif" w:eastAsia="source han sans cn regular" w:hAnsi="PT Astra Serif" w:cs="PT Astra Serif"/>
          <w:bCs/>
          <w:color w:val="000000"/>
          <w:szCs w:val="28"/>
        </w:rPr>
        <w:br/>
      </w:r>
      <w:r w:rsidRPr="00250BEC">
        <w:rPr>
          <w:rFonts w:ascii="PT Astra Serif" w:eastAsia="Calibri" w:hAnsi="PT Astra Serif" w:cs="Times New Roman"/>
          <w:bCs/>
          <w:szCs w:val="28"/>
        </w:rPr>
        <w:t>(22 декабря)</w:t>
      </w:r>
      <w:r w:rsidRPr="00250BEC">
        <w:rPr>
          <w:rFonts w:ascii="PT Astra Serif" w:eastAsia="Calibri" w:hAnsi="PT Astra Serif" w:cs="PT Astra Serif"/>
          <w:b/>
          <w:bCs/>
          <w:color w:val="000000"/>
          <w:szCs w:val="28"/>
          <w:shd w:val="clear" w:color="auto" w:fill="FFFFFF"/>
        </w:rPr>
        <w:t>.</w:t>
      </w:r>
    </w:p>
    <w:p w14:paraId="25E7CAFC" w14:textId="77777777" w:rsidR="00250BEC" w:rsidRPr="00250BEC" w:rsidRDefault="00250BEC" w:rsidP="00250BEC">
      <w:pPr>
        <w:widowControl w:val="0"/>
        <w:autoSpaceDE w:val="0"/>
        <w:autoSpaceDN w:val="0"/>
        <w:adjustRightInd w:val="0"/>
        <w:rPr>
          <w:rFonts w:ascii="Calibri" w:eastAsia="source han sans cn regular" w:hAnsi="Calibri" w:cs="PT Astra Serif"/>
          <w:bCs/>
          <w:color w:val="000000"/>
          <w:kern w:val="2"/>
          <w:sz w:val="22"/>
        </w:rPr>
      </w:pPr>
      <w:r w:rsidRPr="00250BEC">
        <w:rPr>
          <w:rFonts w:ascii="PT Astra Serif" w:eastAsia="Calibri" w:hAnsi="PT Astra Serif" w:cs="Times New Roman"/>
          <w:szCs w:val="28"/>
        </w:rPr>
        <w:t xml:space="preserve">Также в 2025 году были заключены </w:t>
      </w:r>
      <w:r w:rsidRPr="00250BEC">
        <w:rPr>
          <w:rFonts w:ascii="PT Astra Serif" w:eastAsia="Calibri" w:hAnsi="PT Astra Serif" w:cs="Times New Roman"/>
          <w:b/>
          <w:szCs w:val="28"/>
        </w:rPr>
        <w:t xml:space="preserve">отраслевые </w:t>
      </w:r>
      <w:r w:rsidRPr="00250BEC">
        <w:rPr>
          <w:rFonts w:ascii="PT Astra Serif" w:eastAsia="source han sans cn regular" w:hAnsi="PT Astra Serif" w:cs="PT Astra Serif"/>
          <w:bCs/>
          <w:color w:val="000000"/>
          <w:kern w:val="2"/>
          <w:szCs w:val="28"/>
        </w:rPr>
        <w:t>соглашения</w:t>
      </w:r>
      <w:r w:rsidRPr="00250BEC">
        <w:rPr>
          <w:rFonts w:ascii="PT Astra Serif" w:eastAsia="source han sans cn regular" w:hAnsi="PT Astra Serif" w:cs="PT Astra Serif"/>
          <w:bCs/>
          <w:color w:val="000000"/>
          <w:kern w:val="2"/>
          <w:szCs w:val="28"/>
        </w:rPr>
        <w:br/>
        <w:t>о сотрудничестве:</w:t>
      </w:r>
    </w:p>
    <w:p w14:paraId="4862F5CB" w14:textId="4C3DAA17" w:rsidR="00250BEC" w:rsidRPr="00250BEC" w:rsidRDefault="00250BEC" w:rsidP="00250BEC">
      <w:pPr>
        <w:widowControl w:val="0"/>
        <w:autoSpaceDE w:val="0"/>
        <w:autoSpaceDN w:val="0"/>
        <w:adjustRightInd w:val="0"/>
        <w:contextualSpacing/>
        <w:rPr>
          <w:rFonts w:eastAsia="Calibri" w:cs="Times New Roman"/>
          <w:sz w:val="20"/>
          <w:szCs w:val="20"/>
        </w:rPr>
      </w:pPr>
      <w:r w:rsidRPr="00250BEC">
        <w:rPr>
          <w:rFonts w:ascii="PT Astra Serif" w:eastAsia="Calibri" w:hAnsi="PT Astra Serif" w:cs="Times New Roman"/>
          <w:bCs/>
          <w:szCs w:val="28"/>
          <w:u w:val="single"/>
        </w:rPr>
        <w:t xml:space="preserve">в </w:t>
      </w:r>
      <w:r w:rsidRPr="00250BEC">
        <w:rPr>
          <w:rFonts w:ascii="PT Astra Serif" w:eastAsia="Calibri" w:hAnsi="PT Astra Serif" w:cs="Times New Roman"/>
          <w:szCs w:val="28"/>
          <w:u w:val="single"/>
        </w:rPr>
        <w:t>сфере сельского хозяйства</w:t>
      </w:r>
      <w:r w:rsidRPr="00250BEC">
        <w:rPr>
          <w:rFonts w:ascii="PT Astra Serif" w:eastAsia="Calibri" w:hAnsi="PT Astra Serif" w:cs="Times New Roman"/>
          <w:szCs w:val="28"/>
        </w:rPr>
        <w:t xml:space="preserve"> с Саратовской областью </w:t>
      </w:r>
      <w:r w:rsidRPr="00250BEC">
        <w:rPr>
          <w:rFonts w:ascii="PT Astra Serif" w:eastAsia="Times New Roman" w:hAnsi="PT Astra Serif" w:cs="Times New Roman"/>
          <w:bCs/>
          <w:szCs w:val="28"/>
          <w:lang w:eastAsia="ru-RU"/>
        </w:rPr>
        <w:t xml:space="preserve">(6-11 октября, </w:t>
      </w:r>
      <w:r w:rsidR="003E3036">
        <w:rPr>
          <w:rFonts w:ascii="PT Astra Serif" w:eastAsia="Times New Roman" w:hAnsi="PT Astra Serif" w:cs="Times New Roman"/>
          <w:bCs/>
          <w:szCs w:val="28"/>
          <w:lang w:eastAsia="ru-RU"/>
        </w:rPr>
        <w:br/>
      </w:r>
      <w:r w:rsidRPr="00250BEC">
        <w:rPr>
          <w:rFonts w:ascii="PT Astra Serif" w:eastAsia="Times New Roman" w:hAnsi="PT Astra Serif" w:cs="Times New Roman"/>
          <w:bCs/>
          <w:szCs w:val="28"/>
          <w:lang w:eastAsia="ru-RU"/>
        </w:rPr>
        <w:t>г. Москва)</w:t>
      </w:r>
      <w:r w:rsidRPr="00250BEC">
        <w:rPr>
          <w:rFonts w:ascii="PT Astra Serif" w:eastAsia="Calibri" w:hAnsi="PT Astra Serif" w:cs="Times New Roman"/>
          <w:szCs w:val="28"/>
        </w:rPr>
        <w:t xml:space="preserve">; </w:t>
      </w:r>
    </w:p>
    <w:p w14:paraId="177C5B31" w14:textId="4ED2117D" w:rsidR="00250BEC" w:rsidRPr="00250BEC" w:rsidRDefault="00250BEC" w:rsidP="00250BEC">
      <w:pPr>
        <w:widowControl w:val="0"/>
        <w:autoSpaceDE w:val="0"/>
        <w:autoSpaceDN w:val="0"/>
        <w:adjustRightInd w:val="0"/>
        <w:contextualSpacing/>
        <w:rPr>
          <w:rFonts w:ascii="PT Astra Serif" w:eastAsia="Calibri" w:hAnsi="PT Astra Serif" w:cs="Times New Roman"/>
          <w:szCs w:val="28"/>
        </w:rPr>
      </w:pPr>
      <w:r w:rsidRPr="00250BEC">
        <w:rPr>
          <w:rFonts w:ascii="PT Astra Serif" w:eastAsia="Calibri" w:hAnsi="PT Astra Serif" w:cs="Times New Roman"/>
          <w:szCs w:val="28"/>
          <w:u w:val="single"/>
        </w:rPr>
        <w:t>в сфере туризма</w:t>
      </w:r>
      <w:r w:rsidRPr="00250BEC">
        <w:rPr>
          <w:rFonts w:ascii="PT Astra Serif" w:eastAsia="Calibri" w:hAnsi="PT Astra Serif" w:cs="Times New Roman"/>
          <w:szCs w:val="28"/>
        </w:rPr>
        <w:t xml:space="preserve"> с Татарстаном, Мордовией, Чувашией, Новосибирской, Пензенской</w:t>
      </w:r>
      <w:r w:rsidRPr="00250BEC">
        <w:rPr>
          <w:rFonts w:ascii="PT Astra Serif" w:eastAsia="Calibri" w:hAnsi="PT Astra Serif" w:cs="Times New Roman"/>
          <w:bCs/>
          <w:szCs w:val="28"/>
        </w:rPr>
        <w:t>, Свердловской</w:t>
      </w:r>
      <w:r w:rsidRPr="00250BEC">
        <w:rPr>
          <w:rFonts w:ascii="PT Astra Serif" w:eastAsia="Times New Roman" w:hAnsi="PT Astra Serif" w:cs="PT Astra Serif"/>
          <w:b/>
          <w:bCs/>
          <w:color w:val="000000"/>
          <w:szCs w:val="28"/>
          <w:lang w:eastAsia="ru-RU"/>
        </w:rPr>
        <w:t xml:space="preserve"> </w:t>
      </w:r>
      <w:r w:rsidRPr="00250BEC">
        <w:rPr>
          <w:rFonts w:ascii="PT Astra Serif" w:eastAsia="Times New Roman" w:hAnsi="PT Astra Serif" w:cs="PT Astra Serif"/>
          <w:bCs/>
          <w:color w:val="000000"/>
          <w:szCs w:val="28"/>
          <w:lang w:eastAsia="ru-RU"/>
        </w:rPr>
        <w:t>и Челябинской областями, а также г. Санкт-Петербургом</w:t>
      </w:r>
      <w:r w:rsidRPr="00250BEC">
        <w:rPr>
          <w:rFonts w:ascii="PT Astra Serif" w:eastAsia="Times New Roman" w:hAnsi="PT Astra Serif" w:cs="PT Astra Serif"/>
          <w:bCs/>
          <w:color w:val="000000"/>
          <w:szCs w:val="28"/>
          <w:shd w:val="clear" w:color="auto" w:fill="FFFFFF"/>
          <w:lang w:eastAsia="ru-RU"/>
        </w:rPr>
        <w:t xml:space="preserve"> </w:t>
      </w:r>
      <w:r w:rsidRPr="00250BEC">
        <w:rPr>
          <w:rFonts w:ascii="PT Astra Serif" w:eastAsia="Times New Roman" w:hAnsi="PT Astra Serif" w:cs="Times New Roman"/>
          <w:bCs/>
          <w:szCs w:val="28"/>
          <w:lang w:eastAsia="ru-RU"/>
        </w:rPr>
        <w:t>(10-15 июня, г. Москва)</w:t>
      </w:r>
      <w:r w:rsidRPr="00250BEC">
        <w:rPr>
          <w:rFonts w:ascii="PT Astra Serif" w:eastAsia="Times New Roman" w:hAnsi="PT Astra Serif" w:cs="PT Astra Serif"/>
          <w:bCs/>
          <w:color w:val="000000"/>
          <w:szCs w:val="28"/>
          <w:shd w:val="clear" w:color="auto" w:fill="FFFFFF"/>
          <w:lang w:eastAsia="ru-RU"/>
        </w:rPr>
        <w:t>.</w:t>
      </w:r>
    </w:p>
    <w:p w14:paraId="18C3369A"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С целью активизации межрегионального всестороннего сотрудничества</w:t>
      </w:r>
      <w:r w:rsidRPr="00250BEC">
        <w:rPr>
          <w:rFonts w:ascii="PT Astra Serif" w:eastAsia="Calibri" w:hAnsi="PT Astra Serif" w:cs="Times New Roman"/>
          <w:szCs w:val="28"/>
        </w:rPr>
        <w:br/>
        <w:t>в течение 2025 года состоялись:</w:t>
      </w:r>
    </w:p>
    <w:p w14:paraId="14127695" w14:textId="1028A7F0" w:rsidR="00250BEC" w:rsidRPr="00250BEC" w:rsidRDefault="00250BEC" w:rsidP="00250BEC">
      <w:pPr>
        <w:widowControl w:val="0"/>
        <w:tabs>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b/>
          <w:szCs w:val="28"/>
          <w:lang w:eastAsia="ru-RU"/>
        </w:rPr>
        <w:t>2 визита делегаций Ульяновской области под руководством Губер</w:t>
      </w:r>
      <w:r w:rsidR="00C72F5D">
        <w:rPr>
          <w:rFonts w:ascii="PT Astra Serif" w:eastAsia="Times New Roman" w:hAnsi="PT Astra Serif" w:cs="Times New Roman"/>
          <w:b/>
          <w:szCs w:val="28"/>
          <w:lang w:eastAsia="ru-RU"/>
        </w:rPr>
        <w:t>натора Ульяновской области А.Ю. </w:t>
      </w:r>
      <w:r w:rsidRPr="00250BEC">
        <w:rPr>
          <w:rFonts w:ascii="PT Astra Serif" w:eastAsia="Times New Roman" w:hAnsi="PT Astra Serif" w:cs="Times New Roman"/>
          <w:b/>
          <w:szCs w:val="28"/>
          <w:lang w:eastAsia="ru-RU"/>
        </w:rPr>
        <w:t xml:space="preserve">Русских: </w:t>
      </w:r>
      <w:r w:rsidRPr="00250BEC">
        <w:rPr>
          <w:rFonts w:ascii="PT Astra Serif" w:eastAsia="Times New Roman" w:hAnsi="PT Astra Serif" w:cs="Times New Roman"/>
          <w:color w:val="000000"/>
          <w:szCs w:val="28"/>
          <w:lang w:eastAsia="ru-RU"/>
        </w:rPr>
        <w:t xml:space="preserve">в Тульскую область </w:t>
      </w:r>
      <w:r w:rsidRPr="00250BEC">
        <w:rPr>
          <w:rFonts w:ascii="PT Astra Serif" w:eastAsia="Times New Roman" w:hAnsi="PT Astra Serif" w:cs="Times New Roman"/>
          <w:color w:val="000000"/>
          <w:szCs w:val="28"/>
          <w:lang w:eastAsia="ru-RU"/>
        </w:rPr>
        <w:br/>
        <w:t>(</w:t>
      </w:r>
      <w:r w:rsidRPr="00250BEC">
        <w:rPr>
          <w:rFonts w:ascii="PT Astra Serif" w:eastAsia="Calibri" w:hAnsi="PT Astra Serif" w:cs="Times New Roman"/>
          <w:szCs w:val="28"/>
          <w:lang w:eastAsia="ru-RU"/>
        </w:rPr>
        <w:t>27 - 28 марта)</w:t>
      </w:r>
      <w:r w:rsidRPr="00250BEC">
        <w:rPr>
          <w:rFonts w:ascii="PT Astra Serif" w:eastAsia="Times New Roman" w:hAnsi="PT Astra Serif" w:cs="Times New Roman"/>
          <w:color w:val="000000"/>
          <w:szCs w:val="28"/>
          <w:lang w:eastAsia="ru-RU"/>
        </w:rPr>
        <w:t xml:space="preserve"> и в Рес</w:t>
      </w:r>
      <w:r w:rsidRPr="00250BEC">
        <w:rPr>
          <w:rFonts w:ascii="PT Astra Serif" w:eastAsia="Times New Roman" w:hAnsi="PT Astra Serif" w:cs="Times New Roman"/>
          <w:szCs w:val="28"/>
          <w:lang w:eastAsia="ru-RU"/>
        </w:rPr>
        <w:t xml:space="preserve">публику Татарстан </w:t>
      </w:r>
      <w:r w:rsidRPr="00250BEC">
        <w:rPr>
          <w:rFonts w:ascii="PT Astra Serif" w:eastAsia="Calibri" w:hAnsi="PT Astra Serif" w:cs="Times New Roman"/>
          <w:szCs w:val="28"/>
          <w:lang w:eastAsia="ru-RU"/>
        </w:rPr>
        <w:t>(г. Чистополь и г. Набережные Челны, 19 - 20 мая)</w:t>
      </w:r>
      <w:r w:rsidRPr="00250BEC">
        <w:rPr>
          <w:rFonts w:ascii="PT Astra Serif" w:eastAsia="Times New Roman" w:hAnsi="PT Astra Serif" w:cs="Times New Roman"/>
          <w:szCs w:val="28"/>
          <w:lang w:eastAsia="ru-RU"/>
        </w:rPr>
        <w:t>;</w:t>
      </w:r>
    </w:p>
    <w:p w14:paraId="235BF44B" w14:textId="25833046" w:rsidR="00250BEC" w:rsidRPr="00250BEC" w:rsidRDefault="00250BEC" w:rsidP="00250BEC">
      <w:pPr>
        <w:widowControl w:val="0"/>
        <w:tabs>
          <w:tab w:val="left" w:pos="993"/>
        </w:tabs>
        <w:contextualSpacing/>
        <w:rPr>
          <w:rFonts w:ascii="PT Astra Serif" w:eastAsia="Times New Roman" w:hAnsi="PT Astra Serif" w:cs="Times New Roman"/>
          <w:color w:val="333333"/>
          <w:szCs w:val="28"/>
          <w:lang w:eastAsia="ru-RU"/>
        </w:rPr>
      </w:pPr>
      <w:r w:rsidRPr="00250BEC">
        <w:rPr>
          <w:rFonts w:ascii="PT Astra Serif" w:eastAsia="Times New Roman" w:hAnsi="PT Astra Serif" w:cs="Times New Roman"/>
          <w:b/>
          <w:szCs w:val="28"/>
          <w:lang w:eastAsia="ru-RU"/>
        </w:rPr>
        <w:t xml:space="preserve">2 ответных визита в Ульяновскую область делегаций под руководством глав субъектов Российской Федерации: </w:t>
      </w:r>
      <w:r w:rsidRPr="00250BEC">
        <w:rPr>
          <w:rFonts w:ascii="PT Astra Serif" w:eastAsia="Times New Roman" w:hAnsi="PT Astra Serif" w:cs="Times New Roman"/>
          <w:color w:val="000000"/>
          <w:szCs w:val="28"/>
          <w:lang w:eastAsia="ru-RU"/>
        </w:rPr>
        <w:t>Губернатора Челяб</w:t>
      </w:r>
      <w:r w:rsidR="003E3036">
        <w:rPr>
          <w:rFonts w:ascii="PT Astra Serif" w:eastAsia="Times New Roman" w:hAnsi="PT Astra Serif" w:cs="Times New Roman"/>
          <w:color w:val="000000"/>
          <w:szCs w:val="28"/>
          <w:lang w:eastAsia="ru-RU"/>
        </w:rPr>
        <w:t xml:space="preserve">инской области А.Л. </w:t>
      </w:r>
      <w:proofErr w:type="spellStart"/>
      <w:r w:rsidR="003E3036">
        <w:rPr>
          <w:rFonts w:ascii="PT Astra Serif" w:eastAsia="Times New Roman" w:hAnsi="PT Astra Serif" w:cs="Times New Roman"/>
          <w:color w:val="000000"/>
          <w:szCs w:val="28"/>
          <w:lang w:eastAsia="ru-RU"/>
        </w:rPr>
        <w:t>Текслера</w:t>
      </w:r>
      <w:proofErr w:type="spellEnd"/>
      <w:r w:rsidR="003E3036">
        <w:rPr>
          <w:rFonts w:ascii="PT Astra Serif" w:eastAsia="Times New Roman" w:hAnsi="PT Astra Serif" w:cs="Times New Roman"/>
          <w:color w:val="000000"/>
          <w:szCs w:val="28"/>
          <w:lang w:eastAsia="ru-RU"/>
        </w:rPr>
        <w:t xml:space="preserve"> (3-</w:t>
      </w:r>
      <w:r w:rsidRPr="00250BEC">
        <w:rPr>
          <w:rFonts w:ascii="PT Astra Serif" w:eastAsia="Times New Roman" w:hAnsi="PT Astra Serif" w:cs="Times New Roman"/>
          <w:color w:val="000000"/>
          <w:szCs w:val="28"/>
          <w:lang w:eastAsia="ru-RU"/>
        </w:rPr>
        <w:t xml:space="preserve">4 февраля) и </w:t>
      </w:r>
      <w:r w:rsidRPr="00250BEC">
        <w:rPr>
          <w:rFonts w:ascii="PT Astra Serif" w:eastAsia="Times New Roman" w:hAnsi="PT Astra Serif" w:cs="Times New Roman"/>
          <w:color w:val="333333"/>
          <w:szCs w:val="28"/>
          <w:lang w:eastAsia="ru-RU"/>
        </w:rPr>
        <w:t xml:space="preserve">Губернатора Тульской области Д.М. </w:t>
      </w:r>
      <w:proofErr w:type="spellStart"/>
      <w:r w:rsidRPr="00250BEC">
        <w:rPr>
          <w:rFonts w:ascii="PT Astra Serif" w:eastAsia="Times New Roman" w:hAnsi="PT Astra Serif" w:cs="Times New Roman"/>
          <w:color w:val="333333"/>
          <w:szCs w:val="28"/>
          <w:lang w:eastAsia="ru-RU"/>
        </w:rPr>
        <w:t>Миляева</w:t>
      </w:r>
      <w:proofErr w:type="spellEnd"/>
      <w:r w:rsidRPr="00250BEC">
        <w:rPr>
          <w:rFonts w:ascii="PT Astra Serif" w:eastAsia="Times New Roman" w:hAnsi="PT Astra Serif" w:cs="Times New Roman"/>
          <w:color w:val="333333"/>
          <w:szCs w:val="28"/>
          <w:lang w:eastAsia="ru-RU"/>
        </w:rPr>
        <w:t xml:space="preserve"> </w:t>
      </w:r>
      <w:r w:rsidRPr="00250BEC">
        <w:rPr>
          <w:rFonts w:ascii="PT Astra Serif" w:eastAsia="Times New Roman" w:hAnsi="PT Astra Serif" w:cs="Times New Roman"/>
          <w:color w:val="000000"/>
          <w:szCs w:val="28"/>
          <w:lang w:eastAsia="ru-RU"/>
        </w:rPr>
        <w:t>(30 ноября - 2 декабря)</w:t>
      </w:r>
      <w:r w:rsidRPr="00250BEC">
        <w:rPr>
          <w:rFonts w:ascii="PT Astra Serif" w:eastAsia="Times New Roman" w:hAnsi="PT Astra Serif" w:cs="Times New Roman"/>
          <w:color w:val="333333"/>
          <w:szCs w:val="28"/>
          <w:lang w:eastAsia="ru-RU"/>
        </w:rPr>
        <w:t>.</w:t>
      </w:r>
    </w:p>
    <w:p w14:paraId="19B7A3A3" w14:textId="19021C68"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Ульяновскую область также посещали Вице-губернатор Пензенской области </w:t>
      </w:r>
      <w:r w:rsidRPr="00250BEC">
        <w:rPr>
          <w:rFonts w:ascii="PT Astra Serif" w:eastAsia="Times New Roman" w:hAnsi="PT Astra Serif" w:cs="Times New Roman"/>
          <w:bCs/>
          <w:szCs w:val="28"/>
          <w:lang w:eastAsia="ru-RU"/>
        </w:rPr>
        <w:t>(18 января)</w:t>
      </w:r>
      <w:r w:rsidRPr="00250BEC">
        <w:rPr>
          <w:rFonts w:ascii="PT Astra Serif" w:eastAsia="Calibri" w:hAnsi="PT Astra Serif" w:cs="Times New Roman"/>
          <w:szCs w:val="28"/>
        </w:rPr>
        <w:t xml:space="preserve">, заместитель Председателя Правительства Республики Мордовия </w:t>
      </w:r>
      <w:r w:rsidRPr="00250BEC">
        <w:rPr>
          <w:rFonts w:ascii="PT Astra Serif" w:eastAsia="Times New Roman" w:hAnsi="PT Astra Serif" w:cs="Times New Roman"/>
          <w:bCs/>
          <w:szCs w:val="28"/>
          <w:lang w:eastAsia="ru-RU"/>
        </w:rPr>
        <w:t xml:space="preserve">(18 января), </w:t>
      </w:r>
      <w:r w:rsidRPr="00250BEC">
        <w:rPr>
          <w:rFonts w:ascii="PT Astra Serif" w:eastAsia="Calibri" w:hAnsi="PT Astra Serif" w:cs="Times New Roman"/>
          <w:szCs w:val="28"/>
        </w:rPr>
        <w:t xml:space="preserve">Министр культуры, по делам национальностей </w:t>
      </w:r>
      <w:r w:rsidRPr="00250BEC">
        <w:rPr>
          <w:rFonts w:ascii="PT Astra Serif" w:eastAsia="Calibri" w:hAnsi="PT Astra Serif" w:cs="Times New Roman"/>
          <w:szCs w:val="28"/>
        </w:rPr>
        <w:br/>
        <w:t xml:space="preserve">и архивного дела Чувашской Республики </w:t>
      </w:r>
      <w:r w:rsidRPr="00250BEC">
        <w:rPr>
          <w:rFonts w:ascii="PT Astra Serif" w:eastAsia="Times New Roman" w:hAnsi="PT Astra Serif" w:cs="Times New Roman"/>
          <w:bCs/>
          <w:szCs w:val="28"/>
          <w:lang w:eastAsia="ru-RU"/>
        </w:rPr>
        <w:t>(18 января)</w:t>
      </w:r>
      <w:r w:rsidRPr="00250BEC">
        <w:rPr>
          <w:rFonts w:ascii="PT Astra Serif" w:eastAsia="Calibri" w:hAnsi="PT Astra Serif" w:cs="Times New Roman"/>
          <w:szCs w:val="28"/>
        </w:rPr>
        <w:t xml:space="preserve">, Министры промышленности Нижегородской области </w:t>
      </w:r>
      <w:r w:rsidRPr="00250BEC">
        <w:rPr>
          <w:rFonts w:ascii="PT Astra Serif" w:eastAsia="Times New Roman" w:hAnsi="PT Astra Serif" w:cs="Times New Roman"/>
          <w:bCs/>
          <w:szCs w:val="28"/>
          <w:lang w:eastAsia="ru-RU"/>
        </w:rPr>
        <w:t>(27</w:t>
      </w:r>
      <w:r w:rsidR="003E3036">
        <w:rPr>
          <w:rFonts w:ascii="PT Astra Serif" w:eastAsia="Times New Roman" w:hAnsi="PT Astra Serif" w:cs="Times New Roman"/>
          <w:bCs/>
          <w:szCs w:val="28"/>
          <w:lang w:eastAsia="ru-RU"/>
        </w:rPr>
        <w:t>-</w:t>
      </w:r>
      <w:r w:rsidRPr="00250BEC">
        <w:rPr>
          <w:rFonts w:ascii="PT Astra Serif" w:eastAsia="Times New Roman" w:hAnsi="PT Astra Serif" w:cs="Times New Roman"/>
          <w:bCs/>
          <w:szCs w:val="28"/>
          <w:lang w:eastAsia="ru-RU"/>
        </w:rPr>
        <w:t>28 августа)</w:t>
      </w:r>
      <w:r w:rsidRPr="00250BEC">
        <w:rPr>
          <w:rFonts w:ascii="PT Astra Serif" w:eastAsia="Calibri" w:hAnsi="PT Astra Serif" w:cs="Times New Roman"/>
          <w:szCs w:val="28"/>
        </w:rPr>
        <w:t xml:space="preserve"> и Республики Татарстан </w:t>
      </w:r>
      <w:r w:rsidRPr="00250BEC">
        <w:rPr>
          <w:rFonts w:ascii="PT Astra Serif" w:eastAsia="Times New Roman" w:hAnsi="PT Astra Serif" w:cs="Times New Roman"/>
          <w:color w:val="000000"/>
          <w:szCs w:val="28"/>
          <w:lang w:eastAsia="ru-RU"/>
        </w:rPr>
        <w:t>(10 декабря)</w:t>
      </w:r>
      <w:r w:rsidRPr="00250BEC">
        <w:rPr>
          <w:rFonts w:ascii="PT Astra Serif" w:eastAsia="Calibri" w:hAnsi="PT Astra Serif" w:cs="Times New Roman"/>
          <w:szCs w:val="28"/>
        </w:rPr>
        <w:t>.</w:t>
      </w:r>
    </w:p>
    <w:p w14:paraId="350D5525"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b/>
          <w:szCs w:val="28"/>
        </w:rPr>
        <w:t>Межрегиональная промышленная кооперация</w:t>
      </w:r>
      <w:r w:rsidRPr="00250BEC">
        <w:rPr>
          <w:rFonts w:ascii="PT Astra Serif" w:eastAsia="Calibri" w:hAnsi="PT Astra Serif" w:cs="Times New Roman"/>
          <w:szCs w:val="28"/>
        </w:rPr>
        <w:t xml:space="preserve"> в условиях </w:t>
      </w:r>
      <w:proofErr w:type="spellStart"/>
      <w:r w:rsidRPr="00250BEC">
        <w:rPr>
          <w:rFonts w:ascii="PT Astra Serif" w:eastAsia="Calibri" w:hAnsi="PT Astra Serif" w:cs="Times New Roman"/>
          <w:szCs w:val="28"/>
        </w:rPr>
        <w:lastRenderedPageBreak/>
        <w:t>санкционного</w:t>
      </w:r>
      <w:proofErr w:type="spellEnd"/>
      <w:r w:rsidRPr="00250BEC">
        <w:rPr>
          <w:rFonts w:ascii="PT Astra Serif" w:eastAsia="Calibri" w:hAnsi="PT Astra Serif" w:cs="Times New Roman"/>
          <w:szCs w:val="28"/>
        </w:rPr>
        <w:t xml:space="preserve"> давления и ограниченности ресурсов приобретает всё большее значение для поддержки и развития промышленного потенциала регионов. Сильные внутренние связи делают экономику более устойчивой к внешним угрозам, способствуют созданию самодостаточного внутреннего рынка, снижают зависимость от внешних факторов.</w:t>
      </w:r>
    </w:p>
    <w:p w14:paraId="5B88375E"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В течение 2025 года состоялись </w:t>
      </w:r>
      <w:r w:rsidRPr="00250BEC">
        <w:rPr>
          <w:rFonts w:ascii="PT Astra Serif" w:eastAsia="Calibri" w:hAnsi="PT Astra Serif" w:cs="Times New Roman"/>
          <w:szCs w:val="28"/>
          <w:u w:val="single"/>
        </w:rPr>
        <w:t>бизнес-миссии Ульяновской области:</w:t>
      </w:r>
      <w:r w:rsidRPr="00250BEC">
        <w:rPr>
          <w:rFonts w:ascii="PT Astra Serif" w:eastAsia="Calibri" w:hAnsi="PT Astra Serif" w:cs="Times New Roman"/>
          <w:szCs w:val="28"/>
        </w:rPr>
        <w:t xml:space="preserve"> </w:t>
      </w:r>
    </w:p>
    <w:p w14:paraId="13C10391" w14:textId="4A2F7C6C" w:rsidR="00250BEC" w:rsidRPr="00250BEC" w:rsidRDefault="003E3036" w:rsidP="00250BEC">
      <w:pPr>
        <w:widowControl w:val="0"/>
        <w:tabs>
          <w:tab w:val="left" w:pos="993"/>
        </w:tabs>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в Тульскую область (27-</w:t>
      </w:r>
      <w:r w:rsidR="00250BEC" w:rsidRPr="00250BEC">
        <w:rPr>
          <w:rFonts w:ascii="PT Astra Serif" w:eastAsia="Times New Roman" w:hAnsi="PT Astra Serif" w:cs="Times New Roman"/>
          <w:color w:val="000000"/>
          <w:szCs w:val="28"/>
          <w:lang w:eastAsia="ru-RU"/>
        </w:rPr>
        <w:t>28 марта);</w:t>
      </w:r>
    </w:p>
    <w:p w14:paraId="6EB29329" w14:textId="4E00048D" w:rsidR="00250BEC" w:rsidRPr="00250BEC" w:rsidRDefault="00250BEC" w:rsidP="00250BEC">
      <w:pPr>
        <w:widowControl w:val="0"/>
        <w:tabs>
          <w:tab w:val="left" w:pos="993"/>
        </w:tabs>
        <w:rPr>
          <w:rFonts w:ascii="PT Astra Serif" w:eastAsia="Times New Roman" w:hAnsi="PT Astra Serif" w:cs="Times New Roman"/>
          <w:color w:val="000000"/>
          <w:szCs w:val="28"/>
          <w:lang w:eastAsia="ru-RU"/>
        </w:rPr>
      </w:pPr>
      <w:r w:rsidRPr="00250BEC">
        <w:rPr>
          <w:rFonts w:ascii="PT Astra Serif" w:eastAsia="Times New Roman" w:hAnsi="PT Astra Serif" w:cs="Times New Roman"/>
          <w:color w:val="000000"/>
          <w:szCs w:val="28"/>
          <w:lang w:eastAsia="ru-RU"/>
        </w:rPr>
        <w:t>в Московскую област</w:t>
      </w:r>
      <w:r w:rsidR="003E3036">
        <w:rPr>
          <w:rFonts w:ascii="PT Astra Serif" w:eastAsia="Times New Roman" w:hAnsi="PT Astra Serif" w:cs="Times New Roman"/>
          <w:color w:val="000000"/>
          <w:szCs w:val="28"/>
          <w:lang w:eastAsia="ru-RU"/>
        </w:rPr>
        <w:t>ь (г. Видное и г. Подольск, 8-</w:t>
      </w:r>
      <w:r w:rsidRPr="00250BEC">
        <w:rPr>
          <w:rFonts w:ascii="PT Astra Serif" w:eastAsia="Times New Roman" w:hAnsi="PT Astra Serif" w:cs="Times New Roman"/>
          <w:color w:val="000000"/>
          <w:szCs w:val="28"/>
          <w:lang w:eastAsia="ru-RU"/>
        </w:rPr>
        <w:t>9 апреля) и</w:t>
      </w:r>
    </w:p>
    <w:p w14:paraId="53C482A8" w14:textId="2CE60254" w:rsidR="00250BEC" w:rsidRPr="00250BEC" w:rsidRDefault="00250BEC" w:rsidP="00250BEC">
      <w:pPr>
        <w:widowControl w:val="0"/>
        <w:tabs>
          <w:tab w:val="left" w:pos="993"/>
        </w:tabs>
        <w:rPr>
          <w:rFonts w:ascii="PT Astra Serif" w:eastAsia="Calibri" w:hAnsi="PT Astra Serif" w:cs="Times New Roman"/>
          <w:szCs w:val="28"/>
        </w:rPr>
      </w:pPr>
      <w:r w:rsidRPr="00250BEC">
        <w:rPr>
          <w:rFonts w:ascii="PT Astra Serif" w:eastAsia="Times New Roman" w:hAnsi="PT Astra Serif" w:cs="Times New Roman"/>
          <w:color w:val="000000"/>
          <w:szCs w:val="28"/>
          <w:lang w:eastAsia="ru-RU"/>
        </w:rPr>
        <w:t>в Республику</w:t>
      </w:r>
      <w:r w:rsidRPr="00250BEC">
        <w:rPr>
          <w:rFonts w:ascii="PT Astra Serif" w:eastAsia="Calibri" w:hAnsi="PT Astra Serif" w:cs="Times New Roman"/>
          <w:szCs w:val="28"/>
        </w:rPr>
        <w:t xml:space="preserve"> Татарстан </w:t>
      </w:r>
      <w:r w:rsidRPr="00250BEC">
        <w:rPr>
          <w:rFonts w:ascii="PT Astra Serif" w:eastAsia="Times New Roman" w:hAnsi="PT Astra Serif" w:cs="Times New Roman"/>
          <w:color w:val="000000"/>
          <w:szCs w:val="28"/>
          <w:lang w:eastAsia="ru-RU"/>
        </w:rPr>
        <w:t>(г. Чистополь и г. Набережные Челны</w:t>
      </w:r>
      <w:r w:rsidR="003E3036">
        <w:rPr>
          <w:rFonts w:ascii="PT Astra Serif" w:eastAsia="Times New Roman" w:hAnsi="PT Astra Serif" w:cs="Times New Roman"/>
          <w:color w:val="000000"/>
          <w:szCs w:val="28"/>
          <w:lang w:eastAsia="ru-RU"/>
        </w:rPr>
        <w:t>, 19-</w:t>
      </w:r>
      <w:r w:rsidRPr="00250BEC">
        <w:rPr>
          <w:rFonts w:ascii="PT Astra Serif" w:eastAsia="Times New Roman" w:hAnsi="PT Astra Serif" w:cs="Times New Roman"/>
          <w:color w:val="000000"/>
          <w:szCs w:val="28"/>
          <w:lang w:eastAsia="ru-RU"/>
        </w:rPr>
        <w:t>20 мая)</w:t>
      </w:r>
      <w:r w:rsidRPr="00250BEC">
        <w:rPr>
          <w:rFonts w:ascii="PT Astra Serif" w:eastAsia="Calibri" w:hAnsi="PT Astra Serif" w:cs="Times New Roman"/>
          <w:szCs w:val="28"/>
        </w:rPr>
        <w:t xml:space="preserve">; </w:t>
      </w:r>
    </w:p>
    <w:p w14:paraId="34D53D20"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а также </w:t>
      </w:r>
      <w:r w:rsidRPr="00250BEC">
        <w:rPr>
          <w:rFonts w:ascii="PT Astra Serif" w:eastAsia="Calibri" w:hAnsi="PT Astra Serif" w:cs="Times New Roman"/>
          <w:szCs w:val="28"/>
          <w:u w:val="single"/>
        </w:rPr>
        <w:t>реверсные бизнес-миссии в наш регион:</w:t>
      </w:r>
      <w:r w:rsidRPr="00250BEC">
        <w:rPr>
          <w:rFonts w:ascii="PT Astra Serif" w:eastAsia="Calibri" w:hAnsi="PT Astra Serif" w:cs="Times New Roman"/>
          <w:szCs w:val="28"/>
        </w:rPr>
        <w:t xml:space="preserve">  </w:t>
      </w:r>
    </w:p>
    <w:p w14:paraId="7396C326" w14:textId="0F2B943D" w:rsidR="00250BEC" w:rsidRPr="00250BEC" w:rsidRDefault="003E3036" w:rsidP="00250BEC">
      <w:pPr>
        <w:widowControl w:val="0"/>
        <w:tabs>
          <w:tab w:val="left" w:pos="993"/>
        </w:tabs>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из Челябинской области (3-</w:t>
      </w:r>
      <w:r w:rsidR="00250BEC" w:rsidRPr="00250BEC">
        <w:rPr>
          <w:rFonts w:ascii="PT Astra Serif" w:eastAsia="Times New Roman" w:hAnsi="PT Astra Serif" w:cs="Times New Roman"/>
          <w:color w:val="000000"/>
          <w:szCs w:val="28"/>
          <w:lang w:eastAsia="ru-RU"/>
        </w:rPr>
        <w:t xml:space="preserve">4 февраля); </w:t>
      </w:r>
    </w:p>
    <w:p w14:paraId="79C9706D" w14:textId="3AC16B4A" w:rsidR="00250BEC" w:rsidRPr="00250BEC" w:rsidRDefault="003E3036" w:rsidP="00250BEC">
      <w:pPr>
        <w:widowControl w:val="0"/>
        <w:tabs>
          <w:tab w:val="left" w:pos="993"/>
        </w:tabs>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из Нижегородской области (27-</w:t>
      </w:r>
      <w:r w:rsidR="00250BEC" w:rsidRPr="00250BEC">
        <w:rPr>
          <w:rFonts w:ascii="PT Astra Serif" w:eastAsia="Times New Roman" w:hAnsi="PT Astra Serif" w:cs="Times New Roman"/>
          <w:color w:val="000000"/>
          <w:szCs w:val="28"/>
          <w:lang w:eastAsia="ru-RU"/>
        </w:rPr>
        <w:t xml:space="preserve">28 августа) и </w:t>
      </w:r>
    </w:p>
    <w:p w14:paraId="3FEB0DE4" w14:textId="77777777" w:rsidR="00250BEC" w:rsidRPr="00250BEC" w:rsidRDefault="00250BEC" w:rsidP="00250BEC">
      <w:pPr>
        <w:widowControl w:val="0"/>
        <w:tabs>
          <w:tab w:val="left" w:pos="993"/>
        </w:tabs>
        <w:rPr>
          <w:rFonts w:ascii="PT Astra Serif" w:eastAsia="Calibri" w:hAnsi="PT Astra Serif" w:cs="Times New Roman"/>
          <w:szCs w:val="28"/>
        </w:rPr>
      </w:pPr>
      <w:r w:rsidRPr="00250BEC">
        <w:rPr>
          <w:rFonts w:ascii="PT Astra Serif" w:eastAsia="Times New Roman" w:hAnsi="PT Astra Serif" w:cs="Times New Roman"/>
          <w:color w:val="000000"/>
          <w:szCs w:val="28"/>
          <w:lang w:eastAsia="ru-RU"/>
        </w:rPr>
        <w:t>из Тульс</w:t>
      </w:r>
      <w:r w:rsidRPr="00250BEC">
        <w:rPr>
          <w:rFonts w:ascii="PT Astra Serif" w:eastAsia="Calibri" w:hAnsi="PT Astra Serif" w:cs="Times New Roman"/>
          <w:szCs w:val="28"/>
        </w:rPr>
        <w:t>кой области</w:t>
      </w:r>
      <w:r w:rsidRPr="00250BEC">
        <w:rPr>
          <w:rFonts w:ascii="PT Astra Serif" w:eastAsia="Times New Roman" w:hAnsi="PT Astra Serif" w:cs="Times New Roman"/>
          <w:color w:val="000000"/>
          <w:szCs w:val="28"/>
          <w:lang w:eastAsia="ru-RU"/>
        </w:rPr>
        <w:t xml:space="preserve"> (30 ноября – 2 декабря).</w:t>
      </w:r>
    </w:p>
    <w:p w14:paraId="3780CD41"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Следует отметить проведение в г. Ульяновске совместного заседания Комиссии Российского союза промышленников и предпринимателей по ОПК, межведомственной рабочей группы Коллегии ВПК и Координационного совета отделений РСПП в Приволжском федеральном округе на тему «Повышение эффективности мер поддержки предприятий оборонно-промышленного комплекса и смежных отраслей промышленности на федеральном и региональном уровне в современных условиях» </w:t>
      </w:r>
      <w:r w:rsidRPr="00250BEC">
        <w:rPr>
          <w:rFonts w:ascii="PT Astra Serif" w:eastAsia="Times New Roman" w:hAnsi="PT Astra Serif" w:cs="Times New Roman"/>
          <w:color w:val="000000"/>
          <w:szCs w:val="28"/>
          <w:lang w:eastAsia="ru-RU"/>
        </w:rPr>
        <w:t>(12 марта)</w:t>
      </w:r>
      <w:r w:rsidRPr="00250BEC">
        <w:rPr>
          <w:rFonts w:ascii="PT Astra Serif" w:eastAsia="Calibri" w:hAnsi="PT Astra Serif" w:cs="Times New Roman"/>
          <w:szCs w:val="28"/>
        </w:rPr>
        <w:t>.</w:t>
      </w:r>
    </w:p>
    <w:p w14:paraId="634EFFE4" w14:textId="030B290A"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В г. Димитровграде для сотрудников приборостроительных организаций из других регионов были организованы курсы повешения квалификации по работе с энергосберегающим оборудованием </w:t>
      </w:r>
      <w:r w:rsidR="003E3036">
        <w:rPr>
          <w:rFonts w:ascii="PT Astra Serif" w:eastAsia="Times New Roman" w:hAnsi="PT Astra Serif" w:cs="Times New Roman"/>
          <w:color w:val="000000"/>
          <w:szCs w:val="28"/>
          <w:lang w:eastAsia="ru-RU"/>
        </w:rPr>
        <w:t>(12-</w:t>
      </w:r>
      <w:r w:rsidRPr="00250BEC">
        <w:rPr>
          <w:rFonts w:ascii="PT Astra Serif" w:eastAsia="Times New Roman" w:hAnsi="PT Astra Serif" w:cs="Times New Roman"/>
          <w:color w:val="000000"/>
          <w:szCs w:val="28"/>
          <w:lang w:eastAsia="ru-RU"/>
        </w:rPr>
        <w:t>13 февраля)</w:t>
      </w:r>
      <w:r w:rsidRPr="00250BEC">
        <w:rPr>
          <w:rFonts w:ascii="PT Astra Serif" w:eastAsia="Calibri" w:hAnsi="PT Astra Serif" w:cs="Times New Roman"/>
          <w:szCs w:val="28"/>
        </w:rPr>
        <w:t>.</w:t>
      </w:r>
      <w:r w:rsidRPr="00250BEC">
        <w:rPr>
          <w:rFonts w:ascii="PT Astra Serif" w:eastAsia="Times New Roman" w:hAnsi="PT Astra Serif" w:cs="Times New Roman"/>
          <w:color w:val="000000"/>
          <w:szCs w:val="28"/>
          <w:lang w:eastAsia="ru-RU"/>
        </w:rPr>
        <w:t xml:space="preserve"> </w:t>
      </w:r>
      <w:r w:rsidRPr="00250BEC">
        <w:rPr>
          <w:rFonts w:ascii="PT Astra Serif" w:eastAsia="Calibri" w:hAnsi="PT Astra Serif" w:cs="Times New Roman"/>
          <w:szCs w:val="28"/>
        </w:rPr>
        <w:t xml:space="preserve">В декабре </w:t>
      </w:r>
      <w:r w:rsidRPr="00250BEC">
        <w:rPr>
          <w:rFonts w:ascii="PT Astra Serif" w:eastAsia="Calibri" w:hAnsi="PT Astra Serif" w:cs="Times New Roman"/>
          <w:szCs w:val="28"/>
        </w:rPr>
        <w:br/>
        <w:t xml:space="preserve">в г. Ульяновске состоялся межрегиональный технологический форум по развитию станкостроительной отрасли и робототехники </w:t>
      </w:r>
      <w:r w:rsidRPr="00250BEC">
        <w:rPr>
          <w:rFonts w:ascii="PT Astra Serif" w:eastAsia="Times New Roman" w:hAnsi="PT Astra Serif" w:cs="Times New Roman"/>
          <w:color w:val="000000"/>
          <w:szCs w:val="28"/>
          <w:lang w:eastAsia="ru-RU"/>
        </w:rPr>
        <w:t>(10 декабря)</w:t>
      </w:r>
      <w:r w:rsidRPr="00250BEC">
        <w:rPr>
          <w:rFonts w:ascii="PT Astra Serif" w:eastAsia="Calibri" w:hAnsi="PT Astra Serif" w:cs="Times New Roman"/>
          <w:szCs w:val="28"/>
        </w:rPr>
        <w:t xml:space="preserve">. </w:t>
      </w:r>
    </w:p>
    <w:p w14:paraId="68BBC064"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Всего, начиная с 2022 года, под руководством Губернатора Ульяновской области были организованы выезды делегаций промышленных предприятий Ульяновской области в 23 региона России. Результат - порядка </w:t>
      </w:r>
      <w:r w:rsidRPr="00250BEC">
        <w:rPr>
          <w:rFonts w:ascii="PT Astra Serif" w:eastAsia="Calibri" w:hAnsi="PT Astra Serif" w:cs="Times New Roman"/>
          <w:b/>
          <w:szCs w:val="28"/>
        </w:rPr>
        <w:t>1 530</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кооперационных цепочек,</w:t>
      </w:r>
      <w:r w:rsidRPr="00250BEC">
        <w:rPr>
          <w:rFonts w:ascii="PT Astra Serif" w:eastAsia="Calibri" w:hAnsi="PT Astra Serif" w:cs="Times New Roman"/>
          <w:szCs w:val="28"/>
        </w:rPr>
        <w:t xml:space="preserve"> выстроенных промышленными предприятиями Ульяновской области, что позволило в значительной степени укрепить промышленный потенциал региона и открыть новые перспективы сотрудничества и новые рынки сбыта ульяновским производителям. Всё это стало возможным благодаря использованию региональными промышленными предприятиями передовых технологий и инновационных решений в тесном взаимодействии с научным сообществом.</w:t>
      </w:r>
    </w:p>
    <w:p w14:paraId="05D0B21F" w14:textId="3F8D6B6E"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b/>
          <w:szCs w:val="28"/>
        </w:rPr>
        <w:t xml:space="preserve">Инновационный потенциал региона </w:t>
      </w:r>
      <w:r w:rsidRPr="00250BEC">
        <w:rPr>
          <w:rFonts w:ascii="PT Astra Serif" w:eastAsia="Calibri" w:hAnsi="PT Astra Serif" w:cs="Times New Roman"/>
          <w:szCs w:val="28"/>
        </w:rPr>
        <w:t xml:space="preserve">был представлен в рамках визита бизнес-миссии регионов Ассоциации инновационных регионов России в наш регион </w:t>
      </w:r>
      <w:r w:rsidR="003E3036">
        <w:rPr>
          <w:rFonts w:ascii="PT Astra Serif" w:eastAsia="Times New Roman" w:hAnsi="PT Astra Serif" w:cs="Times New Roman"/>
          <w:color w:val="000000"/>
          <w:szCs w:val="28"/>
          <w:lang w:eastAsia="ru-RU"/>
        </w:rPr>
        <w:t>(23-</w:t>
      </w:r>
      <w:r w:rsidRPr="00250BEC">
        <w:rPr>
          <w:rFonts w:ascii="PT Astra Serif" w:eastAsia="Times New Roman" w:hAnsi="PT Astra Serif" w:cs="Times New Roman"/>
          <w:color w:val="000000"/>
          <w:szCs w:val="28"/>
          <w:lang w:eastAsia="ru-RU"/>
        </w:rPr>
        <w:t>25 сентября)</w:t>
      </w:r>
      <w:r w:rsidRPr="00250BEC">
        <w:rPr>
          <w:rFonts w:ascii="PT Astra Serif" w:eastAsia="Calibri" w:hAnsi="PT Astra Serif" w:cs="Times New Roman"/>
          <w:szCs w:val="28"/>
        </w:rPr>
        <w:t>, «на полях»</w:t>
      </w:r>
      <w:r w:rsidRPr="00250BEC">
        <w:rPr>
          <w:rFonts w:ascii="PT Astra Serif" w:eastAsia="Calibri" w:hAnsi="PT Astra Serif" w:cs="Times New Roman"/>
          <w:bCs/>
          <w:szCs w:val="28"/>
        </w:rPr>
        <w:t xml:space="preserve"> </w:t>
      </w:r>
      <w:r w:rsidRPr="00250BEC">
        <w:rPr>
          <w:rFonts w:ascii="PT Astra Serif" w:eastAsia="Calibri" w:hAnsi="PT Astra Serif" w:cs="Times New Roman"/>
          <w:szCs w:val="28"/>
        </w:rPr>
        <w:t>Российского венч</w:t>
      </w:r>
      <w:r w:rsidR="003E3036">
        <w:rPr>
          <w:rFonts w:ascii="PT Astra Serif" w:eastAsia="Calibri" w:hAnsi="PT Astra Serif" w:cs="Times New Roman"/>
          <w:szCs w:val="28"/>
        </w:rPr>
        <w:t xml:space="preserve">урного форума </w:t>
      </w:r>
      <w:r w:rsidR="003E3036">
        <w:rPr>
          <w:rFonts w:ascii="PT Astra Serif" w:eastAsia="Calibri" w:hAnsi="PT Astra Serif" w:cs="Times New Roman"/>
          <w:szCs w:val="28"/>
        </w:rPr>
        <w:br/>
        <w:t>в г. Казани (8-</w:t>
      </w:r>
      <w:r w:rsidRPr="00250BEC">
        <w:rPr>
          <w:rFonts w:ascii="PT Astra Serif" w:eastAsia="Calibri" w:hAnsi="PT Astra Serif" w:cs="Times New Roman"/>
          <w:szCs w:val="28"/>
        </w:rPr>
        <w:t xml:space="preserve">9 апреля), межрегионального форума «Пионеры инноваций» </w:t>
      </w:r>
      <w:r w:rsidRPr="00250BEC">
        <w:rPr>
          <w:rFonts w:ascii="PT Astra Serif" w:eastAsia="Calibri" w:hAnsi="PT Astra Serif" w:cs="Times New Roman"/>
          <w:szCs w:val="28"/>
        </w:rPr>
        <w:br/>
        <w:t>в г. Калуге (15 мая), форума АСИ «Сильные идеи для но</w:t>
      </w:r>
      <w:r w:rsidR="003E3036">
        <w:rPr>
          <w:rFonts w:ascii="PT Astra Serif" w:eastAsia="Calibri" w:hAnsi="PT Astra Serif" w:cs="Times New Roman"/>
          <w:szCs w:val="28"/>
        </w:rPr>
        <w:t xml:space="preserve">вого времени» </w:t>
      </w:r>
      <w:r w:rsidR="003E3036">
        <w:rPr>
          <w:rFonts w:ascii="PT Astra Serif" w:eastAsia="Calibri" w:hAnsi="PT Astra Serif" w:cs="Times New Roman"/>
          <w:szCs w:val="28"/>
        </w:rPr>
        <w:br/>
        <w:t>в г. Москве (2-</w:t>
      </w:r>
      <w:r w:rsidRPr="00250BEC">
        <w:rPr>
          <w:rFonts w:ascii="PT Astra Serif" w:eastAsia="Calibri" w:hAnsi="PT Astra Serif" w:cs="Times New Roman"/>
          <w:szCs w:val="28"/>
        </w:rPr>
        <w:t xml:space="preserve">3 июля), </w:t>
      </w:r>
      <w:r w:rsidRPr="00250BEC">
        <w:rPr>
          <w:rFonts w:ascii="PT Astra Serif" w:eastAsia="Calibri" w:hAnsi="PT Astra Serif" w:cs="Times New Roman"/>
          <w:szCs w:val="28"/>
          <w:lang w:val="en-US"/>
        </w:rPr>
        <w:t>V</w:t>
      </w:r>
      <w:r w:rsidRPr="00250BEC">
        <w:rPr>
          <w:rFonts w:ascii="PT Astra Serif" w:eastAsia="Calibri" w:hAnsi="PT Astra Serif" w:cs="Times New Roman"/>
          <w:szCs w:val="28"/>
        </w:rPr>
        <w:t xml:space="preserve"> Конгрес</w:t>
      </w:r>
      <w:r w:rsidR="003E3036">
        <w:rPr>
          <w:rFonts w:ascii="PT Astra Serif" w:eastAsia="Calibri" w:hAnsi="PT Astra Serif" w:cs="Times New Roman"/>
          <w:szCs w:val="28"/>
        </w:rPr>
        <w:t>са молодых учёных в г. Сочи (26-</w:t>
      </w:r>
      <w:r w:rsidRPr="00250BEC">
        <w:rPr>
          <w:rFonts w:ascii="PT Astra Serif" w:eastAsia="Calibri" w:hAnsi="PT Astra Serif" w:cs="Times New Roman"/>
          <w:szCs w:val="28"/>
        </w:rPr>
        <w:t>28 ноября), питч-сессии инновационных проектов с участием</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 xml:space="preserve">ОАО «РЖД» (27 февраля), а также в рамках других многочисленных форумов и конференций в области инноваций. </w:t>
      </w:r>
    </w:p>
    <w:p w14:paraId="324DF10E" w14:textId="7AAC620E"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lastRenderedPageBreak/>
        <w:t xml:space="preserve">На регулярной основе </w:t>
      </w:r>
      <w:r w:rsidRPr="00250BEC">
        <w:rPr>
          <w:rFonts w:ascii="PT Astra Serif" w:eastAsia="Calibri" w:hAnsi="PT Astra Serif" w:cs="Times New Roman"/>
          <w:b/>
          <w:szCs w:val="28"/>
        </w:rPr>
        <w:t>Министерство агропромышленного комплекса и развития сельских территорий Ульяновской области</w:t>
      </w:r>
      <w:r w:rsidRPr="00250BEC">
        <w:rPr>
          <w:rFonts w:ascii="PT Astra Serif" w:eastAsia="Calibri" w:hAnsi="PT Astra Serif" w:cs="Times New Roman"/>
          <w:szCs w:val="28"/>
        </w:rPr>
        <w:t xml:space="preserve"> осуществляло работу по обмену опытом с российскими регионами в ходе участия в межрегиональных мероприятиях, в том числе в мероприятиях Съезда Ассоциации крестьянских (фермерских) хозяйств </w:t>
      </w:r>
      <w:r w:rsidR="003E3036">
        <w:rPr>
          <w:rFonts w:ascii="PT Astra Serif" w:eastAsia="Times New Roman" w:hAnsi="PT Astra Serif" w:cs="Times New Roman"/>
          <w:color w:val="000000"/>
          <w:szCs w:val="28"/>
          <w:lang w:eastAsia="ru-RU"/>
        </w:rPr>
        <w:t>(4-</w:t>
      </w:r>
      <w:r w:rsidRPr="00250BEC">
        <w:rPr>
          <w:rFonts w:ascii="PT Astra Serif" w:eastAsia="Times New Roman" w:hAnsi="PT Astra Serif" w:cs="Times New Roman"/>
          <w:color w:val="000000"/>
          <w:szCs w:val="28"/>
          <w:lang w:eastAsia="ru-RU"/>
        </w:rPr>
        <w:t>5 марта)</w:t>
      </w:r>
      <w:r w:rsidRPr="00250BEC">
        <w:rPr>
          <w:rFonts w:ascii="PT Astra Serif" w:eastAsia="Calibri" w:hAnsi="PT Astra Serif" w:cs="Times New Roman"/>
          <w:szCs w:val="28"/>
        </w:rPr>
        <w:t xml:space="preserve">, Агропромышленного форума в г. Уфе </w:t>
      </w:r>
      <w:r w:rsidR="003E3036">
        <w:rPr>
          <w:rFonts w:ascii="PT Astra Serif" w:eastAsia="Times New Roman" w:hAnsi="PT Astra Serif" w:cs="Times New Roman"/>
          <w:color w:val="000000"/>
          <w:szCs w:val="28"/>
          <w:lang w:eastAsia="ru-RU"/>
        </w:rPr>
        <w:t>(18-</w:t>
      </w:r>
      <w:r w:rsidRPr="00250BEC">
        <w:rPr>
          <w:rFonts w:ascii="PT Astra Serif" w:eastAsia="Times New Roman" w:hAnsi="PT Astra Serif" w:cs="Times New Roman"/>
          <w:color w:val="000000"/>
          <w:szCs w:val="28"/>
          <w:lang w:eastAsia="ru-RU"/>
        </w:rPr>
        <w:t xml:space="preserve">19 марта), </w:t>
      </w:r>
      <w:r w:rsidRPr="00250BEC">
        <w:rPr>
          <w:rFonts w:ascii="PT Astra Serif" w:eastAsia="Calibri" w:hAnsi="PT Astra Serif" w:cs="Times New Roman"/>
          <w:szCs w:val="28"/>
        </w:rPr>
        <w:t xml:space="preserve">выставки достижений отечественного АПК «Всероссийский день поля» в Волгоградской области </w:t>
      </w:r>
      <w:r w:rsidR="003E3036">
        <w:rPr>
          <w:rFonts w:ascii="PT Astra Serif" w:eastAsia="Calibri" w:hAnsi="PT Astra Serif" w:cs="Times New Roman"/>
          <w:szCs w:val="28"/>
        </w:rPr>
        <w:br/>
        <w:t>(3-</w:t>
      </w:r>
      <w:r w:rsidRPr="00250BEC">
        <w:rPr>
          <w:rFonts w:ascii="PT Astra Serif" w:eastAsia="Calibri" w:hAnsi="PT Astra Serif" w:cs="Times New Roman"/>
          <w:szCs w:val="28"/>
        </w:rPr>
        <w:t>5 июля), Всероссийской агропромышленной</w:t>
      </w:r>
      <w:r w:rsidR="003E3036">
        <w:rPr>
          <w:rFonts w:ascii="PT Astra Serif" w:eastAsia="Calibri" w:hAnsi="PT Astra Serif" w:cs="Times New Roman"/>
          <w:szCs w:val="28"/>
        </w:rPr>
        <w:t xml:space="preserve"> выставки «Золотая осень» </w:t>
      </w:r>
      <w:r w:rsidR="003E3036">
        <w:rPr>
          <w:rFonts w:ascii="PT Astra Serif" w:eastAsia="Calibri" w:hAnsi="PT Astra Serif" w:cs="Times New Roman"/>
          <w:szCs w:val="28"/>
        </w:rPr>
        <w:br/>
        <w:t>(6-</w:t>
      </w:r>
      <w:r w:rsidRPr="00250BEC">
        <w:rPr>
          <w:rFonts w:ascii="PT Astra Serif" w:eastAsia="Calibri" w:hAnsi="PT Astra Serif" w:cs="Times New Roman"/>
          <w:szCs w:val="28"/>
        </w:rPr>
        <w:t>11 октября) и многих других мероприятий сельскохозяйственной направленности.</w:t>
      </w:r>
    </w:p>
    <w:p w14:paraId="73257CDA" w14:textId="77777777" w:rsidR="00250BEC" w:rsidRPr="00250BEC" w:rsidRDefault="00250BEC" w:rsidP="00250BEC">
      <w:pPr>
        <w:widowControl w:val="0"/>
        <w:autoSpaceDE w:val="0"/>
        <w:autoSpaceDN w:val="0"/>
        <w:adjustRightInd w:val="0"/>
        <w:rPr>
          <w:rFonts w:ascii="PT Astra Serif" w:eastAsia="Calibri" w:hAnsi="PT Astra Serif" w:cs="Times New Roman"/>
          <w:b/>
          <w:szCs w:val="28"/>
        </w:rPr>
      </w:pPr>
      <w:r w:rsidRPr="00250BEC">
        <w:rPr>
          <w:rFonts w:ascii="PT Astra Serif" w:eastAsia="Calibri" w:hAnsi="PT Astra Serif" w:cs="Times New Roman"/>
          <w:szCs w:val="28"/>
        </w:rPr>
        <w:t>В 2025 году</w:t>
      </w:r>
      <w:r w:rsidRPr="00250BEC">
        <w:rPr>
          <w:rFonts w:ascii="PT Astra Serif" w:eastAsia="Calibri" w:hAnsi="PT Astra Serif" w:cs="Times New Roman"/>
          <w:b/>
          <w:szCs w:val="28"/>
        </w:rPr>
        <w:t xml:space="preserve"> на территории региона были организованы межрегиональные форумы и конференции</w:t>
      </w:r>
      <w:r w:rsidRPr="00250BEC">
        <w:rPr>
          <w:rFonts w:ascii="PT Astra Serif" w:eastAsia="Calibri" w:hAnsi="PT Astra Serif" w:cs="Times New Roman"/>
          <w:szCs w:val="28"/>
        </w:rPr>
        <w:t>, в том числе:</w:t>
      </w:r>
      <w:r w:rsidRPr="00250BEC">
        <w:rPr>
          <w:rFonts w:ascii="PT Astra Serif" w:eastAsia="Calibri" w:hAnsi="PT Astra Serif" w:cs="Times New Roman"/>
          <w:b/>
          <w:szCs w:val="28"/>
        </w:rPr>
        <w:t xml:space="preserve"> </w:t>
      </w:r>
    </w:p>
    <w:p w14:paraId="00339E13" w14:textId="01F3CDA9"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u w:val="single"/>
          <w:lang w:eastAsia="ru-RU"/>
        </w:rPr>
        <w:t>в инновационной сфере:</w:t>
      </w:r>
      <w:r w:rsidRPr="00250BEC">
        <w:rPr>
          <w:rFonts w:ascii="PT Astra Serif" w:eastAsia="Times New Roman" w:hAnsi="PT Astra Serif" w:cs="Times New Roman"/>
          <w:szCs w:val="28"/>
          <w:lang w:eastAsia="ru-RU"/>
        </w:rPr>
        <w:t xml:space="preserve"> Межрегиональный т</w:t>
      </w:r>
      <w:r w:rsidR="003E3036">
        <w:rPr>
          <w:rFonts w:ascii="PT Astra Serif" w:eastAsia="Times New Roman" w:hAnsi="PT Astra Serif" w:cs="Times New Roman"/>
          <w:szCs w:val="28"/>
          <w:lang w:eastAsia="ru-RU"/>
        </w:rPr>
        <w:t>ехнологический симпозиум ДМТ (9-</w:t>
      </w:r>
      <w:r w:rsidRPr="00250BEC">
        <w:rPr>
          <w:rFonts w:ascii="PT Astra Serif" w:eastAsia="Times New Roman" w:hAnsi="PT Astra Serif" w:cs="Times New Roman"/>
          <w:szCs w:val="28"/>
          <w:lang w:eastAsia="ru-RU"/>
        </w:rPr>
        <w:t>10 апреля), Всероссийская молодёжная конференция по вопросам развития ядер</w:t>
      </w:r>
      <w:r w:rsidR="003E3036">
        <w:rPr>
          <w:rFonts w:ascii="PT Astra Serif" w:eastAsia="Times New Roman" w:hAnsi="PT Astra Serif" w:cs="Times New Roman"/>
          <w:szCs w:val="28"/>
          <w:lang w:eastAsia="ru-RU"/>
        </w:rPr>
        <w:t>ных технологий (14-</w:t>
      </w:r>
      <w:r w:rsidRPr="00250BEC">
        <w:rPr>
          <w:rFonts w:ascii="PT Astra Serif" w:eastAsia="Times New Roman" w:hAnsi="PT Astra Serif" w:cs="Times New Roman"/>
          <w:szCs w:val="28"/>
          <w:lang w:eastAsia="ru-RU"/>
        </w:rPr>
        <w:t>17 апреля), День инноваций ОАО «РЖД» (17 апреля), Межрегиональная конференция Ассоциа</w:t>
      </w:r>
      <w:r w:rsidR="003E3036">
        <w:rPr>
          <w:rFonts w:ascii="PT Astra Serif" w:eastAsia="Times New Roman" w:hAnsi="PT Astra Serif" w:cs="Times New Roman"/>
          <w:szCs w:val="28"/>
          <w:lang w:eastAsia="ru-RU"/>
        </w:rPr>
        <w:t>ции Автомобильных Инженеров (23-</w:t>
      </w:r>
      <w:r w:rsidRPr="00250BEC">
        <w:rPr>
          <w:rFonts w:ascii="PT Astra Serif" w:eastAsia="Times New Roman" w:hAnsi="PT Astra Serif" w:cs="Times New Roman"/>
          <w:szCs w:val="28"/>
          <w:lang w:eastAsia="ru-RU"/>
        </w:rPr>
        <w:t xml:space="preserve">24 апреля); </w:t>
      </w:r>
    </w:p>
    <w:p w14:paraId="57440183" w14:textId="0CA47145"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u w:val="single"/>
          <w:lang w:eastAsia="ru-RU"/>
        </w:rPr>
        <w:t>в сфере образования:</w:t>
      </w:r>
      <w:r w:rsidRPr="00250BEC">
        <w:rPr>
          <w:rFonts w:ascii="PT Astra Serif" w:eastAsia="Times New Roman" w:hAnsi="PT Astra Serif" w:cs="Times New Roman"/>
          <w:szCs w:val="28"/>
          <w:lang w:eastAsia="ru-RU"/>
        </w:rPr>
        <w:t xml:space="preserve"> </w:t>
      </w:r>
      <w:r w:rsidRPr="00250BEC">
        <w:rPr>
          <w:rFonts w:ascii="PT Astra Serif" w:eastAsia="Times New Roman" w:hAnsi="PT Astra Serif" w:cs="Times New Roman"/>
          <w:color w:val="1A1A1A"/>
          <w:szCs w:val="28"/>
          <w:shd w:val="clear" w:color="auto" w:fill="FFFFFF"/>
          <w:lang w:eastAsia="ru-RU"/>
        </w:rPr>
        <w:t>Всероссийская</w:t>
      </w:r>
      <w:r w:rsidRPr="00250BEC">
        <w:rPr>
          <w:rFonts w:ascii="PT Astra Serif" w:eastAsia="Times New Roman" w:hAnsi="PT Astra Serif" w:cs="Times New Roman"/>
          <w:szCs w:val="28"/>
          <w:lang w:eastAsia="ru-RU"/>
        </w:rPr>
        <w:t xml:space="preserve"> научно-практическая конференция по вопросам развития кадрового потенциала среднего профессионального образования для рынка труда (19 февраля), Форум учителей родного языка</w:t>
      </w:r>
      <w:r w:rsidRPr="00250BEC">
        <w:rPr>
          <w:rFonts w:ascii="PT Astra Serif" w:eastAsia="Times New Roman" w:hAnsi="PT Astra Serif" w:cs="Times New Roman"/>
          <w:szCs w:val="28"/>
          <w:lang w:eastAsia="ru-RU"/>
        </w:rPr>
        <w:br/>
        <w:t xml:space="preserve">и литературы (14 марта), Межрегиональная конференция педагогических работников дошкольного образования (8 апреля), </w:t>
      </w:r>
      <w:r w:rsidRPr="00250BEC">
        <w:rPr>
          <w:rFonts w:ascii="PT Astra Serif" w:eastAsia="Times New Roman" w:hAnsi="PT Astra Serif" w:cs="Times New Roman"/>
          <w:szCs w:val="28"/>
          <w:lang w:val="en-US" w:eastAsia="ru-RU"/>
        </w:rPr>
        <w:t>III</w:t>
      </w:r>
      <w:r w:rsidRPr="00250BEC">
        <w:rPr>
          <w:rFonts w:ascii="PT Astra Serif" w:eastAsia="Times New Roman" w:hAnsi="PT Astra Serif" w:cs="Times New Roman"/>
          <w:szCs w:val="28"/>
          <w:lang w:eastAsia="ru-RU"/>
        </w:rPr>
        <w:t xml:space="preserve"> Всероссийская научно-практическая конференция по</w:t>
      </w:r>
      <w:r w:rsidR="003E3036">
        <w:rPr>
          <w:rFonts w:ascii="PT Astra Serif" w:eastAsia="Times New Roman" w:hAnsi="PT Astra Serif" w:cs="Times New Roman"/>
          <w:szCs w:val="28"/>
          <w:lang w:eastAsia="ru-RU"/>
        </w:rPr>
        <w:t xml:space="preserve"> экологическому образованию (21-</w:t>
      </w:r>
      <w:r w:rsidRPr="00250BEC">
        <w:rPr>
          <w:rFonts w:ascii="PT Astra Serif" w:eastAsia="Times New Roman" w:hAnsi="PT Astra Serif" w:cs="Times New Roman"/>
          <w:szCs w:val="28"/>
          <w:lang w:eastAsia="ru-RU"/>
        </w:rPr>
        <w:t>22 ноября).</w:t>
      </w:r>
      <w:r w:rsidRPr="00250BEC">
        <w:rPr>
          <w:rFonts w:ascii="PT Astra Serif" w:eastAsia="Times New Roman" w:hAnsi="PT Astra Serif" w:cs="Times New Roman"/>
          <w:szCs w:val="28"/>
          <w:lang w:eastAsia="ru-RU"/>
        </w:rPr>
        <w:br/>
        <w:t>В апреле в регионе прошёл межрегиональный чемпионат учительских клу</w:t>
      </w:r>
      <w:r w:rsidR="003E3036">
        <w:rPr>
          <w:rFonts w:ascii="PT Astra Serif" w:eastAsia="Times New Roman" w:hAnsi="PT Astra Serif" w:cs="Times New Roman"/>
          <w:szCs w:val="28"/>
          <w:lang w:eastAsia="ru-RU"/>
        </w:rPr>
        <w:t>бов из 13 регионов России (21-</w:t>
      </w:r>
      <w:r w:rsidRPr="00250BEC">
        <w:rPr>
          <w:rFonts w:ascii="PT Astra Serif" w:eastAsia="Times New Roman" w:hAnsi="PT Astra Serif" w:cs="Times New Roman"/>
          <w:szCs w:val="28"/>
          <w:lang w:eastAsia="ru-RU"/>
        </w:rPr>
        <w:t>25 апреля);</w:t>
      </w:r>
    </w:p>
    <w:p w14:paraId="66FAEAC9" w14:textId="18E9CC34" w:rsidR="00250BEC" w:rsidRPr="00250BEC" w:rsidRDefault="00250BEC" w:rsidP="00250BEC">
      <w:pPr>
        <w:widowControl w:val="0"/>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u w:val="single"/>
          <w:lang w:eastAsia="ru-RU"/>
        </w:rPr>
        <w:t>в области краеведения:</w:t>
      </w:r>
      <w:r w:rsidRPr="00250BEC">
        <w:rPr>
          <w:rFonts w:ascii="PT Astra Serif" w:eastAsia="Times New Roman" w:hAnsi="PT Astra Serif" w:cs="Times New Roman"/>
          <w:szCs w:val="28"/>
          <w:lang w:eastAsia="ru-RU"/>
        </w:rPr>
        <w:t xml:space="preserve"> межрегиональная краеведческая конференция «История и современность Среднего Поволжья» (28 марта), межрегиональная научно-практическая конференция «Естественнонаучные исследования </w:t>
      </w:r>
      <w:r w:rsidR="003E3036">
        <w:rPr>
          <w:rFonts w:ascii="PT Astra Serif" w:eastAsia="Times New Roman" w:hAnsi="PT Astra Serif" w:cs="Times New Roman"/>
          <w:szCs w:val="28"/>
          <w:lang w:eastAsia="ru-RU"/>
        </w:rPr>
        <w:br/>
      </w:r>
      <w:r w:rsidRPr="00250BEC">
        <w:rPr>
          <w:rFonts w:ascii="PT Astra Serif" w:eastAsia="Times New Roman" w:hAnsi="PT Astra Serif" w:cs="Times New Roman"/>
          <w:szCs w:val="28"/>
          <w:lang w:eastAsia="ru-RU"/>
        </w:rPr>
        <w:t>в Симбирском-Ульяновском крае» (8 декабря) и ряд межрегиональных научно-практических конференций.</w:t>
      </w:r>
    </w:p>
    <w:p w14:paraId="430E1456"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В мае в г. Ульяновске прошёл </w:t>
      </w:r>
      <w:r w:rsidRPr="00250BEC">
        <w:rPr>
          <w:rFonts w:ascii="PT Astra Serif" w:eastAsia="Calibri" w:hAnsi="PT Astra Serif" w:cs="Times New Roman"/>
          <w:szCs w:val="28"/>
          <w:lang w:val="en-US"/>
        </w:rPr>
        <w:t>I</w:t>
      </w:r>
      <w:r w:rsidRPr="00250BEC">
        <w:rPr>
          <w:rFonts w:ascii="PT Astra Serif" w:eastAsia="Calibri" w:hAnsi="PT Astra Serif" w:cs="Times New Roman"/>
          <w:szCs w:val="28"/>
        </w:rPr>
        <w:t xml:space="preserve"> Всероссийский форум производителей одежды </w:t>
      </w:r>
      <w:r w:rsidRPr="00250BEC">
        <w:rPr>
          <w:rFonts w:ascii="PT Astra Serif" w:eastAsia="Times New Roman" w:hAnsi="PT Astra Serif" w:cs="Times New Roman"/>
          <w:szCs w:val="28"/>
          <w:lang w:eastAsia="ru-RU"/>
        </w:rPr>
        <w:t>(24 мая)</w:t>
      </w:r>
      <w:r w:rsidRPr="00250BEC">
        <w:rPr>
          <w:rFonts w:ascii="PT Astra Serif" w:eastAsia="Calibri" w:hAnsi="PT Astra Serif" w:cs="Times New Roman"/>
          <w:szCs w:val="28"/>
        </w:rPr>
        <w:t>.</w:t>
      </w:r>
    </w:p>
    <w:p w14:paraId="0E2EEFA0" w14:textId="0432158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В течение 2025 года происходил</w:t>
      </w:r>
      <w:r w:rsidRPr="00250BEC">
        <w:rPr>
          <w:rFonts w:ascii="PT Astra Serif" w:eastAsia="Calibri" w:hAnsi="PT Astra Serif" w:cs="Times New Roman"/>
          <w:b/>
          <w:szCs w:val="28"/>
        </w:rPr>
        <w:t xml:space="preserve"> обмен опытом и повышение квалификации</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в сфере социального развития</w:t>
      </w:r>
      <w:r w:rsidRPr="00250BEC">
        <w:rPr>
          <w:rFonts w:ascii="PT Astra Serif" w:eastAsia="Calibri" w:hAnsi="PT Astra Serif" w:cs="Times New Roman"/>
          <w:szCs w:val="28"/>
        </w:rPr>
        <w:t xml:space="preserve"> с коллегами из Республики Марий Эл, Удмуртской Республики, Пермского края, Волгоградской области,</w:t>
      </w:r>
      <w:r w:rsidRPr="00250BEC">
        <w:rPr>
          <w:rFonts w:ascii="PT Astra Serif" w:eastAsia="Calibri" w:hAnsi="PT Astra Serif" w:cs="Times New Roman"/>
          <w:szCs w:val="28"/>
        </w:rPr>
        <w:br/>
        <w:t xml:space="preserve">а также г. Москвы. В сентябре в г. Ульяновске состоялся </w:t>
      </w:r>
      <w:r w:rsidRPr="00250BEC">
        <w:rPr>
          <w:rFonts w:ascii="PT Astra Serif" w:eastAsia="Calibri" w:hAnsi="PT Astra Serif" w:cs="Times New Roman"/>
          <w:szCs w:val="28"/>
          <w:lang w:val="en-US"/>
        </w:rPr>
        <w:t>XVI</w:t>
      </w:r>
      <w:r w:rsidRPr="00250BEC">
        <w:rPr>
          <w:rFonts w:ascii="PT Astra Serif" w:eastAsia="Calibri" w:hAnsi="PT Astra Serif" w:cs="Times New Roman"/>
          <w:szCs w:val="28"/>
        </w:rPr>
        <w:t xml:space="preserve"> Всероссийский форум «Вместе – ради детей! Быть рядом!» с участием представителей</w:t>
      </w:r>
      <w:r w:rsidRPr="00250BEC">
        <w:rPr>
          <w:rFonts w:ascii="PT Astra Serif" w:eastAsia="Calibri" w:hAnsi="PT Astra Serif" w:cs="Times New Roman"/>
          <w:szCs w:val="28"/>
        </w:rPr>
        <w:br/>
        <w:t xml:space="preserve">75 регионов страны </w:t>
      </w:r>
      <w:r w:rsidR="003E3036">
        <w:rPr>
          <w:rFonts w:ascii="PT Astra Serif" w:eastAsia="Times New Roman" w:hAnsi="PT Astra Serif" w:cs="Times New Roman"/>
          <w:szCs w:val="28"/>
          <w:lang w:eastAsia="ru-RU"/>
        </w:rPr>
        <w:t>(23-</w:t>
      </w:r>
      <w:r w:rsidRPr="00250BEC">
        <w:rPr>
          <w:rFonts w:ascii="PT Astra Serif" w:eastAsia="Times New Roman" w:hAnsi="PT Astra Serif" w:cs="Times New Roman"/>
          <w:szCs w:val="28"/>
          <w:lang w:eastAsia="ru-RU"/>
        </w:rPr>
        <w:t>25 сентября)</w:t>
      </w:r>
      <w:r w:rsidRPr="00250BEC">
        <w:rPr>
          <w:rFonts w:ascii="PT Astra Serif" w:eastAsia="Calibri" w:hAnsi="PT Astra Serif" w:cs="Times New Roman"/>
          <w:szCs w:val="28"/>
        </w:rPr>
        <w:t>.</w:t>
      </w:r>
    </w:p>
    <w:p w14:paraId="39AB926F" w14:textId="65B303C6"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В сфере межрегионального взаимодействия в сфере культуры </w:t>
      </w:r>
      <w:r w:rsidRPr="00250BEC">
        <w:rPr>
          <w:rFonts w:ascii="PT Astra Serif" w:eastAsia="Calibri" w:hAnsi="PT Astra Serif" w:cs="Times New Roman"/>
          <w:szCs w:val="28"/>
        </w:rPr>
        <w:br/>
        <w:t>и искусства в течение 2025 года</w:t>
      </w:r>
      <w:r w:rsidRPr="00250BEC">
        <w:rPr>
          <w:rFonts w:ascii="PT Astra Serif" w:eastAsia="Calibri" w:hAnsi="PT Astra Serif" w:cs="Times New Roman"/>
          <w:b/>
          <w:szCs w:val="28"/>
        </w:rPr>
        <w:t xml:space="preserve"> состоялись гастроли ульяновских учреждений культуры </w:t>
      </w:r>
      <w:r w:rsidRPr="00250BEC">
        <w:rPr>
          <w:rFonts w:ascii="PT Astra Serif" w:eastAsia="Calibri" w:hAnsi="PT Astra Serif" w:cs="Times New Roman"/>
          <w:szCs w:val="28"/>
        </w:rPr>
        <w:t>в республиках Башкортостан, Марий Эл, Новосибирской и Тверской областях, в г. Санкт-Петербурге и в г. Москве.</w:t>
      </w:r>
    </w:p>
    <w:p w14:paraId="061D86D7"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 xml:space="preserve">На сценах нашего региона состоялись </w:t>
      </w:r>
      <w:r w:rsidRPr="00250BEC">
        <w:rPr>
          <w:rFonts w:ascii="PT Astra Serif" w:eastAsia="Calibri" w:hAnsi="PT Astra Serif" w:cs="Times New Roman"/>
          <w:b/>
          <w:szCs w:val="28"/>
        </w:rPr>
        <w:t xml:space="preserve">выступления театральных коллективов </w:t>
      </w:r>
      <w:r w:rsidRPr="00250BEC">
        <w:rPr>
          <w:rFonts w:ascii="PT Astra Serif" w:eastAsia="Calibri" w:hAnsi="PT Astra Serif" w:cs="Times New Roman"/>
          <w:szCs w:val="28"/>
        </w:rPr>
        <w:t>из Донецкой Народной Республики, Нижегородской, Новосибирской и Тверской областей, г. Москвы и г. Санкт-Петербурга.</w:t>
      </w:r>
      <w:r w:rsidRPr="00250BEC">
        <w:rPr>
          <w:rFonts w:ascii="PT Astra Serif" w:eastAsia="Calibri" w:hAnsi="PT Astra Serif" w:cs="Times New Roman"/>
          <w:b/>
          <w:szCs w:val="28"/>
        </w:rPr>
        <w:t xml:space="preserve"> </w:t>
      </w:r>
    </w:p>
    <w:p w14:paraId="35CAA9C4"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b/>
          <w:szCs w:val="28"/>
        </w:rPr>
        <w:lastRenderedPageBreak/>
        <w:t>Были реализованы выставочные проекты</w:t>
      </w:r>
      <w:r w:rsidRPr="00250BEC">
        <w:rPr>
          <w:rFonts w:ascii="PT Astra Serif" w:eastAsia="Calibri" w:hAnsi="PT Astra Serif" w:cs="Times New Roman"/>
          <w:szCs w:val="28"/>
        </w:rPr>
        <w:t xml:space="preserve"> совместно с Донецкой Народной Республикой, с республиками Крым и Татарстан, с Брянской, Московской, Псковской, Самарской и Тульской областями, а также </w:t>
      </w:r>
      <w:r w:rsidRPr="00250BEC">
        <w:rPr>
          <w:rFonts w:ascii="PT Astra Serif" w:eastAsia="Calibri" w:hAnsi="PT Astra Serif" w:cs="Times New Roman"/>
          <w:szCs w:val="28"/>
        </w:rPr>
        <w:br/>
        <w:t>с г. Москвой.</w:t>
      </w:r>
    </w:p>
    <w:p w14:paraId="3ADF9EDE"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В течение 2025 года</w:t>
      </w:r>
      <w:r w:rsidRPr="00250BEC">
        <w:rPr>
          <w:rFonts w:ascii="PT Astra Serif" w:eastAsia="Calibri" w:hAnsi="PT Astra Serif" w:cs="Times New Roman"/>
          <w:b/>
          <w:szCs w:val="28"/>
        </w:rPr>
        <w:t xml:space="preserve"> на территории Ульяновской области был организован ряд межрегиональных фестивалей и творческих конкурсов</w:t>
      </w:r>
      <w:r w:rsidRPr="00250BEC">
        <w:rPr>
          <w:rFonts w:ascii="PT Astra Serif" w:eastAsia="Calibri" w:hAnsi="PT Astra Serif" w:cs="Times New Roman"/>
          <w:szCs w:val="28"/>
        </w:rPr>
        <w:t>,</w:t>
      </w:r>
      <w:r w:rsidRPr="00250BEC">
        <w:rPr>
          <w:rFonts w:ascii="PT Astra Serif" w:eastAsia="Calibri" w:hAnsi="PT Astra Serif" w:cs="Times New Roman"/>
          <w:szCs w:val="28"/>
        </w:rPr>
        <w:br/>
        <w:t>в том числе:</w:t>
      </w:r>
    </w:p>
    <w:p w14:paraId="2FDE7C3F"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Межрегиональный творческий конкурс «Молодое слово России» </w:t>
      </w:r>
      <w:r w:rsidRPr="00250BEC">
        <w:rPr>
          <w:rFonts w:ascii="PT Astra Serif" w:eastAsia="Times New Roman" w:hAnsi="PT Astra Serif" w:cs="Times New Roman"/>
          <w:szCs w:val="28"/>
          <w:lang w:eastAsia="ru-RU"/>
        </w:rPr>
        <w:br/>
      </w:r>
      <w:r w:rsidRPr="00250BEC">
        <w:rPr>
          <w:rFonts w:ascii="PT Astra Serif" w:eastAsia="Calibri" w:hAnsi="PT Astra Serif" w:cs="Times New Roman"/>
          <w:szCs w:val="28"/>
        </w:rPr>
        <w:t>(3 февраля)</w:t>
      </w:r>
      <w:r w:rsidRPr="00250BEC">
        <w:rPr>
          <w:rFonts w:ascii="PT Astra Serif" w:eastAsia="Times New Roman" w:hAnsi="PT Astra Serif" w:cs="Times New Roman"/>
          <w:szCs w:val="28"/>
          <w:lang w:eastAsia="ru-RU"/>
        </w:rPr>
        <w:t>;</w:t>
      </w:r>
    </w:p>
    <w:p w14:paraId="05514F50" w14:textId="63DFE472"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val="en-US" w:eastAsia="ru-RU"/>
        </w:rPr>
        <w:t>XIX</w:t>
      </w:r>
      <w:r w:rsidRPr="00250BEC">
        <w:rPr>
          <w:rFonts w:ascii="PT Astra Serif" w:eastAsia="Times New Roman" w:hAnsi="PT Astra Serif" w:cs="Times New Roman"/>
          <w:szCs w:val="28"/>
          <w:lang w:eastAsia="ru-RU"/>
        </w:rPr>
        <w:t xml:space="preserve"> Фестиваль театров Улья</w:t>
      </w:r>
      <w:r w:rsidR="003E3036">
        <w:rPr>
          <w:rFonts w:ascii="PT Astra Serif" w:eastAsia="Times New Roman" w:hAnsi="PT Astra Serif" w:cs="Times New Roman"/>
          <w:szCs w:val="28"/>
          <w:lang w:eastAsia="ru-RU"/>
        </w:rPr>
        <w:t>новской области «Лицедей» (20-</w:t>
      </w:r>
      <w:r w:rsidRPr="00250BEC">
        <w:rPr>
          <w:rFonts w:ascii="PT Astra Serif" w:eastAsia="Times New Roman" w:hAnsi="PT Astra Serif" w:cs="Times New Roman"/>
          <w:szCs w:val="28"/>
          <w:lang w:eastAsia="ru-RU"/>
        </w:rPr>
        <w:t>27 марта);</w:t>
      </w:r>
    </w:p>
    <w:p w14:paraId="1B5C5C0C"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Музыкальный фестиваль «Баржа </w:t>
      </w:r>
      <w:r w:rsidRPr="00250BEC">
        <w:rPr>
          <w:rFonts w:ascii="PT Astra Serif" w:eastAsia="Times New Roman" w:hAnsi="PT Astra Serif" w:cs="Times New Roman"/>
          <w:szCs w:val="28"/>
          <w:lang w:val="en-US" w:eastAsia="ru-RU"/>
        </w:rPr>
        <w:t>Live</w:t>
      </w:r>
      <w:r w:rsidRPr="00250BEC">
        <w:rPr>
          <w:rFonts w:ascii="PT Astra Serif" w:eastAsia="Times New Roman" w:hAnsi="PT Astra Serif" w:cs="Times New Roman"/>
          <w:szCs w:val="28"/>
          <w:lang w:eastAsia="ru-RU"/>
        </w:rPr>
        <w:t>» (21 июня);</w:t>
      </w:r>
    </w:p>
    <w:p w14:paraId="414403BD" w14:textId="2D2DB80E"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Всероссийский фестиваль национальных культур и народного творчес</w:t>
      </w:r>
      <w:r w:rsidR="003E3036">
        <w:rPr>
          <w:rFonts w:ascii="PT Astra Serif" w:eastAsia="Times New Roman" w:hAnsi="PT Astra Serif" w:cs="Times New Roman"/>
          <w:szCs w:val="28"/>
          <w:lang w:eastAsia="ru-RU"/>
        </w:rPr>
        <w:t>тва «Поволжская глубинка» (12-</w:t>
      </w:r>
      <w:r w:rsidRPr="00250BEC">
        <w:rPr>
          <w:rFonts w:ascii="PT Astra Serif" w:eastAsia="Times New Roman" w:hAnsi="PT Astra Serif" w:cs="Times New Roman"/>
          <w:szCs w:val="28"/>
          <w:lang w:eastAsia="ru-RU"/>
        </w:rPr>
        <w:t>13 июля);</w:t>
      </w:r>
    </w:p>
    <w:p w14:paraId="69503928" w14:textId="32A61614"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Всероссийский </w:t>
      </w:r>
      <w:proofErr w:type="spellStart"/>
      <w:r w:rsidRPr="00250BEC">
        <w:rPr>
          <w:rFonts w:ascii="PT Astra Serif" w:eastAsia="Times New Roman" w:hAnsi="PT Astra Serif" w:cs="Times New Roman"/>
          <w:szCs w:val="28"/>
          <w:lang w:eastAsia="ru-RU"/>
        </w:rPr>
        <w:t>эстрадно</w:t>
      </w:r>
      <w:proofErr w:type="spellEnd"/>
      <w:r w:rsidRPr="00250BEC">
        <w:rPr>
          <w:rFonts w:ascii="PT Astra Serif" w:eastAsia="Times New Roman" w:hAnsi="PT Astra Serif" w:cs="Times New Roman"/>
          <w:szCs w:val="28"/>
          <w:lang w:eastAsia="ru-RU"/>
        </w:rPr>
        <w:t>-джазовый фестиваль-ко</w:t>
      </w:r>
      <w:r w:rsidR="003E3036">
        <w:rPr>
          <w:rFonts w:ascii="PT Astra Serif" w:eastAsia="Times New Roman" w:hAnsi="PT Astra Serif" w:cs="Times New Roman"/>
          <w:szCs w:val="28"/>
          <w:lang w:eastAsia="ru-RU"/>
        </w:rPr>
        <w:t>нкурс имени А.В. Варламова (5-</w:t>
      </w:r>
      <w:r w:rsidRPr="00250BEC">
        <w:rPr>
          <w:rFonts w:ascii="PT Astra Serif" w:eastAsia="Times New Roman" w:hAnsi="PT Astra Serif" w:cs="Times New Roman"/>
          <w:szCs w:val="28"/>
          <w:lang w:eastAsia="ru-RU"/>
        </w:rPr>
        <w:t>7 сентября);</w:t>
      </w:r>
    </w:p>
    <w:p w14:paraId="45ADA905" w14:textId="3F094D85"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Всероссийский фестиваль-конкурс инструменталь</w:t>
      </w:r>
      <w:r w:rsidR="003E3036">
        <w:rPr>
          <w:rFonts w:ascii="PT Astra Serif" w:eastAsia="Times New Roman" w:hAnsi="PT Astra Serif" w:cs="Times New Roman"/>
          <w:szCs w:val="28"/>
          <w:lang w:eastAsia="ru-RU"/>
        </w:rPr>
        <w:t>ного искусства «Крещендо» (21-</w:t>
      </w:r>
      <w:r w:rsidRPr="00250BEC">
        <w:rPr>
          <w:rFonts w:ascii="PT Astra Serif" w:eastAsia="Times New Roman" w:hAnsi="PT Astra Serif" w:cs="Times New Roman"/>
          <w:szCs w:val="28"/>
          <w:lang w:eastAsia="ru-RU"/>
        </w:rPr>
        <w:t>23 ноября);</w:t>
      </w:r>
    </w:p>
    <w:p w14:paraId="3239F777"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Всероссийский конкурс исполнителей русской песни «Поющая Россия» (31 октября – 4 ноября) и многие другие.</w:t>
      </w:r>
    </w:p>
    <w:p w14:paraId="74D7511E"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szCs w:val="28"/>
        </w:rPr>
        <w:t>С участием регионов Приволжского федерального округа и многих других российских регионов</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в 2025 году</w:t>
      </w:r>
      <w:r w:rsidRPr="00250BEC">
        <w:rPr>
          <w:rFonts w:ascii="PT Astra Serif" w:eastAsia="Calibri" w:hAnsi="PT Astra Serif" w:cs="Times New Roman"/>
          <w:b/>
          <w:szCs w:val="28"/>
        </w:rPr>
        <w:t xml:space="preserve"> организованы спортивные соревнования </w:t>
      </w:r>
      <w:r w:rsidRPr="00250BEC">
        <w:rPr>
          <w:rFonts w:ascii="PT Astra Serif" w:eastAsia="Calibri" w:hAnsi="PT Astra Serif" w:cs="Times New Roman"/>
          <w:szCs w:val="28"/>
        </w:rPr>
        <w:t xml:space="preserve">по футболу и </w:t>
      </w:r>
      <w:proofErr w:type="spellStart"/>
      <w:r w:rsidRPr="00250BEC">
        <w:rPr>
          <w:rFonts w:ascii="PT Astra Serif" w:eastAsia="Calibri" w:hAnsi="PT Astra Serif" w:cs="Times New Roman"/>
          <w:szCs w:val="28"/>
        </w:rPr>
        <w:t>футзалу</w:t>
      </w:r>
      <w:proofErr w:type="spellEnd"/>
      <w:r w:rsidRPr="00250BEC">
        <w:rPr>
          <w:rFonts w:ascii="PT Astra Serif" w:eastAsia="Calibri" w:hAnsi="PT Astra Serif" w:cs="Times New Roman"/>
          <w:szCs w:val="28"/>
        </w:rPr>
        <w:t xml:space="preserve">, по хоккею и хоккею с мячом, по художественной гимнастике, лёгкой атлетике, боксу, вольной и греко-римской борьбе, дзюдо айкидо, </w:t>
      </w:r>
      <w:proofErr w:type="spellStart"/>
      <w:r w:rsidRPr="00250BEC">
        <w:rPr>
          <w:rFonts w:ascii="PT Astra Serif" w:eastAsia="Calibri" w:hAnsi="PT Astra Serif" w:cs="Times New Roman"/>
          <w:szCs w:val="28"/>
        </w:rPr>
        <w:t>киокусинкай</w:t>
      </w:r>
      <w:proofErr w:type="spellEnd"/>
      <w:r w:rsidRPr="00250BEC">
        <w:rPr>
          <w:rFonts w:ascii="PT Astra Serif" w:eastAsia="Calibri" w:hAnsi="PT Astra Serif" w:cs="Times New Roman"/>
          <w:szCs w:val="28"/>
        </w:rPr>
        <w:t xml:space="preserve">, тхэквондо, кёрлингу, спортивному ориентированию, парусному и другим видам спорта. Также на территории муниципальных образований Ульяновской области состоялся Фестиваль мотоспорта </w:t>
      </w:r>
      <w:r w:rsidRPr="00250BEC">
        <w:rPr>
          <w:rFonts w:ascii="PT Astra Serif" w:eastAsia="Times New Roman" w:hAnsi="PT Astra Serif" w:cs="Times New Roman"/>
          <w:szCs w:val="28"/>
          <w:lang w:eastAsia="ru-RU"/>
        </w:rPr>
        <w:t>(14 июня)</w:t>
      </w:r>
      <w:r w:rsidRPr="00250BEC">
        <w:rPr>
          <w:rFonts w:ascii="PT Astra Serif" w:eastAsia="Calibri" w:hAnsi="PT Astra Serif" w:cs="Times New Roman"/>
          <w:szCs w:val="28"/>
        </w:rPr>
        <w:t xml:space="preserve">, прошли этапы Кубка России и Чемпионаты Приволжского федерального округа по автомобильному спорту. </w:t>
      </w:r>
    </w:p>
    <w:p w14:paraId="034FD148" w14:textId="4436790C" w:rsidR="00250BEC" w:rsidRPr="00250BEC" w:rsidRDefault="00250BEC" w:rsidP="00250BEC">
      <w:pPr>
        <w:widowControl w:val="0"/>
        <w:autoSpaceDE w:val="0"/>
        <w:autoSpaceDN w:val="0"/>
        <w:adjustRightInd w:val="0"/>
        <w:rPr>
          <w:rFonts w:ascii="Calibri" w:eastAsia="Calibri" w:hAnsi="Calibri" w:cs="Times New Roman"/>
          <w:sz w:val="22"/>
        </w:rPr>
      </w:pPr>
      <w:r w:rsidRPr="00250BEC">
        <w:rPr>
          <w:rFonts w:ascii="PT Astra Serif" w:eastAsia="Calibri" w:hAnsi="PT Astra Serif" w:cs="Times New Roman"/>
          <w:b/>
          <w:szCs w:val="28"/>
        </w:rPr>
        <w:t>Для знакомства российских регионов с туристическим потенциалом Ульяновской области был организован ряд мероприятий</w:t>
      </w:r>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br/>
        <w:t xml:space="preserve">в том числе Межрегиональный фестиваль еды и музыки под открытым небом «Бульвар» </w:t>
      </w:r>
      <w:r w:rsidRPr="00250BEC">
        <w:rPr>
          <w:rFonts w:ascii="PT Astra Serif" w:eastAsia="Calibri" w:hAnsi="PT Astra Serif" w:cs="Times New Roman"/>
          <w:bCs/>
          <w:szCs w:val="28"/>
        </w:rPr>
        <w:t>(8 июня),</w:t>
      </w:r>
      <w:r w:rsidRPr="00250BEC">
        <w:rPr>
          <w:rFonts w:ascii="PT Astra Serif" w:eastAsia="Calibri" w:hAnsi="PT Astra Serif" w:cs="Times New Roman"/>
          <w:szCs w:val="28"/>
        </w:rPr>
        <w:t xml:space="preserve"> Фестиваль живой истории «Великий волжский путь» </w:t>
      </w:r>
      <w:r w:rsidRPr="00250BEC">
        <w:rPr>
          <w:rFonts w:ascii="PT Astra Serif" w:eastAsia="Calibri" w:hAnsi="PT Astra Serif" w:cs="Times New Roman"/>
          <w:szCs w:val="28"/>
        </w:rPr>
        <w:br/>
      </w:r>
      <w:r w:rsidRPr="00250BEC">
        <w:rPr>
          <w:rFonts w:ascii="PT Astra Serif" w:eastAsia="Calibri" w:hAnsi="PT Astra Serif" w:cs="Times New Roman"/>
          <w:bCs/>
          <w:szCs w:val="28"/>
        </w:rPr>
        <w:t>(19 июля)</w:t>
      </w:r>
      <w:r w:rsidRPr="00250BEC">
        <w:rPr>
          <w:rFonts w:ascii="PT Astra Serif" w:eastAsia="Calibri" w:hAnsi="PT Astra Serif" w:cs="Times New Roman"/>
          <w:szCs w:val="28"/>
        </w:rPr>
        <w:t xml:space="preserve">, Фестиваль </w:t>
      </w:r>
      <w:proofErr w:type="spellStart"/>
      <w:r w:rsidRPr="00250BEC">
        <w:rPr>
          <w:rFonts w:ascii="PT Astra Serif" w:eastAsia="Calibri" w:hAnsi="PT Astra Serif" w:cs="Times New Roman"/>
          <w:szCs w:val="28"/>
        </w:rPr>
        <w:t>ретротехники</w:t>
      </w:r>
      <w:proofErr w:type="spellEnd"/>
      <w:r w:rsidRPr="00250BEC">
        <w:rPr>
          <w:rFonts w:ascii="PT Astra Serif" w:eastAsia="Calibri" w:hAnsi="PT Astra Serif" w:cs="Times New Roman"/>
          <w:szCs w:val="28"/>
        </w:rPr>
        <w:t xml:space="preserve"> </w:t>
      </w:r>
      <w:r w:rsidR="003E3036">
        <w:rPr>
          <w:rFonts w:ascii="PT Astra Serif" w:eastAsia="Calibri" w:hAnsi="PT Astra Serif" w:cs="Times New Roman"/>
          <w:bCs/>
          <w:szCs w:val="28"/>
        </w:rPr>
        <w:t>(26-</w:t>
      </w:r>
      <w:r w:rsidRPr="00250BEC">
        <w:rPr>
          <w:rFonts w:ascii="PT Astra Serif" w:eastAsia="Calibri" w:hAnsi="PT Astra Serif" w:cs="Times New Roman"/>
          <w:bCs/>
          <w:szCs w:val="28"/>
        </w:rPr>
        <w:t>27 июля)</w:t>
      </w:r>
      <w:r w:rsidRPr="00250BEC">
        <w:rPr>
          <w:rFonts w:ascii="PT Astra Serif" w:eastAsia="Calibri" w:hAnsi="PT Astra Serif" w:cs="Times New Roman"/>
          <w:szCs w:val="28"/>
        </w:rPr>
        <w:t xml:space="preserve">. В марте был организован блог-тур для представителей туроператоров соседних регионов и центральной части России. В июле состоялся визит в г. Ульяновск команды </w:t>
      </w:r>
      <w:proofErr w:type="spellStart"/>
      <w:r w:rsidRPr="00250BEC">
        <w:rPr>
          <w:rFonts w:ascii="PT Astra Serif" w:eastAsia="Calibri" w:hAnsi="PT Astra Serif" w:cs="Times New Roman"/>
          <w:szCs w:val="28"/>
        </w:rPr>
        <w:t>блогеров</w:t>
      </w:r>
      <w:proofErr w:type="spellEnd"/>
      <w:r w:rsidRPr="00250BEC">
        <w:rPr>
          <w:rFonts w:ascii="PT Astra Serif" w:eastAsia="Calibri" w:hAnsi="PT Astra Serif" w:cs="Times New Roman"/>
          <w:szCs w:val="28"/>
        </w:rPr>
        <w:t xml:space="preserve"> сервиса «</w:t>
      </w:r>
      <w:proofErr w:type="spellStart"/>
      <w:r w:rsidRPr="00250BEC">
        <w:rPr>
          <w:rFonts w:ascii="PT Astra Serif" w:eastAsia="Calibri" w:hAnsi="PT Astra Serif" w:cs="Times New Roman"/>
          <w:szCs w:val="28"/>
        </w:rPr>
        <w:t>Туту.ру</w:t>
      </w:r>
      <w:proofErr w:type="spellEnd"/>
      <w:r w:rsidRPr="00250BEC">
        <w:rPr>
          <w:rFonts w:ascii="PT Astra Serif" w:eastAsia="Calibri" w:hAnsi="PT Astra Serif" w:cs="Times New Roman"/>
          <w:szCs w:val="28"/>
        </w:rPr>
        <w:t xml:space="preserve"> «</w:t>
      </w:r>
      <w:proofErr w:type="spellStart"/>
      <w:r w:rsidRPr="00250BEC">
        <w:rPr>
          <w:rFonts w:ascii="PT Astra Serif" w:eastAsia="Calibri" w:hAnsi="PT Astra Serif" w:cs="Times New Roman"/>
          <w:szCs w:val="28"/>
        </w:rPr>
        <w:t>Медиаразведка</w:t>
      </w:r>
      <w:proofErr w:type="spellEnd"/>
      <w:r w:rsidRPr="00250BEC">
        <w:rPr>
          <w:rFonts w:ascii="PT Astra Serif" w:eastAsia="Calibri" w:hAnsi="PT Astra Serif" w:cs="Times New Roman"/>
          <w:szCs w:val="28"/>
        </w:rPr>
        <w:t xml:space="preserve">» </w:t>
      </w:r>
      <w:r w:rsidR="003E3036">
        <w:rPr>
          <w:rFonts w:ascii="PT Astra Serif" w:eastAsia="Calibri" w:hAnsi="PT Astra Serif" w:cs="Times New Roman"/>
          <w:bCs/>
          <w:szCs w:val="28"/>
        </w:rPr>
        <w:t>(13-</w:t>
      </w:r>
      <w:r w:rsidRPr="00250BEC">
        <w:rPr>
          <w:rFonts w:ascii="PT Astra Serif" w:eastAsia="Calibri" w:hAnsi="PT Astra Serif" w:cs="Times New Roman"/>
          <w:bCs/>
          <w:szCs w:val="28"/>
        </w:rPr>
        <w:t>17 июля)</w:t>
      </w:r>
      <w:r w:rsidRPr="00250BEC">
        <w:rPr>
          <w:rFonts w:ascii="PT Astra Serif" w:eastAsia="Calibri" w:hAnsi="PT Astra Serif" w:cs="Times New Roman"/>
          <w:szCs w:val="28"/>
        </w:rPr>
        <w:t xml:space="preserve">. В сентябре в г. Ульяновске прошёл Первый туристический слёт ПФО </w:t>
      </w:r>
      <w:r w:rsidRPr="00250BEC">
        <w:rPr>
          <w:rFonts w:ascii="PT Astra Serif" w:eastAsia="Calibri" w:hAnsi="PT Astra Serif" w:cs="Times New Roman"/>
          <w:bCs/>
          <w:szCs w:val="28"/>
        </w:rPr>
        <w:t>(23-26 сентября)</w:t>
      </w:r>
      <w:r w:rsidRPr="00250BEC">
        <w:rPr>
          <w:rFonts w:ascii="PT Astra Serif" w:eastAsia="Calibri" w:hAnsi="PT Astra Serif" w:cs="Times New Roman"/>
          <w:szCs w:val="28"/>
        </w:rPr>
        <w:t>.</w:t>
      </w:r>
    </w:p>
    <w:p w14:paraId="399BE001" w14:textId="77777777" w:rsidR="00C72F5D" w:rsidRDefault="00C72F5D" w:rsidP="00250BEC">
      <w:pPr>
        <w:widowControl w:val="0"/>
        <w:ind w:firstLine="0"/>
        <w:jc w:val="center"/>
        <w:rPr>
          <w:rFonts w:ascii="PT Astra Serif" w:eastAsia="Calibri" w:hAnsi="PT Astra Serif" w:cs="Times New Roman"/>
          <w:b/>
          <w:szCs w:val="28"/>
        </w:rPr>
      </w:pPr>
    </w:p>
    <w:p w14:paraId="281C617E" w14:textId="76B5D876" w:rsidR="00250BEC" w:rsidRPr="00250BEC" w:rsidRDefault="00250BEC" w:rsidP="00250BEC">
      <w:pPr>
        <w:widowControl w:val="0"/>
        <w:ind w:firstLine="0"/>
        <w:jc w:val="center"/>
        <w:rPr>
          <w:rFonts w:ascii="PT Astra Serif" w:eastAsia="Calibri" w:hAnsi="PT Astra Serif" w:cs="Times New Roman"/>
          <w:b/>
          <w:szCs w:val="28"/>
        </w:rPr>
      </w:pPr>
      <w:r w:rsidRPr="00250BEC">
        <w:rPr>
          <w:rFonts w:ascii="PT Astra Serif" w:eastAsia="Calibri" w:hAnsi="PT Astra Serif" w:cs="Times New Roman"/>
          <w:b/>
          <w:szCs w:val="28"/>
        </w:rPr>
        <w:t>Международная деятельность муниципальных образований</w:t>
      </w:r>
      <w:r w:rsidRPr="00250BEC">
        <w:rPr>
          <w:rFonts w:ascii="PT Astra Serif" w:eastAsia="Calibri" w:hAnsi="PT Astra Serif" w:cs="Times New Roman"/>
          <w:b/>
          <w:szCs w:val="28"/>
        </w:rPr>
        <w:br/>
        <w:t>Ульяновской области</w:t>
      </w:r>
    </w:p>
    <w:p w14:paraId="63D4EA4D" w14:textId="77777777" w:rsidR="00250BEC" w:rsidRPr="00250BEC" w:rsidRDefault="00250BEC" w:rsidP="00250BEC">
      <w:pPr>
        <w:widowControl w:val="0"/>
        <w:ind w:firstLine="0"/>
        <w:jc w:val="center"/>
        <w:rPr>
          <w:rFonts w:ascii="PT Astra Serif" w:eastAsia="Calibri" w:hAnsi="PT Astra Serif" w:cs="Times New Roman"/>
          <w:b/>
          <w:szCs w:val="28"/>
        </w:rPr>
      </w:pPr>
    </w:p>
    <w:p w14:paraId="7A2D8068"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Следует отметить также активную работу муниципальных образований Ульяновской области в 2025 году, в первую очередь г. Ульяновска,</w:t>
      </w:r>
      <w:r w:rsidRPr="00250BEC">
        <w:rPr>
          <w:rFonts w:ascii="PT Astra Serif" w:eastAsia="Times New Roman" w:hAnsi="PT Astra Serif" w:cs="Times New Roman"/>
          <w:szCs w:val="28"/>
          <w:lang w:eastAsia="ru-RU"/>
        </w:rPr>
        <w:br/>
        <w:t>Сурского и Чердаклинского районов.</w:t>
      </w:r>
    </w:p>
    <w:p w14:paraId="3EA4205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2025 году были заключены </w:t>
      </w:r>
      <w:r w:rsidRPr="00250BEC">
        <w:rPr>
          <w:rFonts w:ascii="PT Astra Serif" w:eastAsia="Calibri" w:hAnsi="PT Astra Serif" w:cs="Times New Roman"/>
          <w:b/>
          <w:szCs w:val="28"/>
        </w:rPr>
        <w:t>2 межмуниципальные соглашения</w:t>
      </w:r>
      <w:r w:rsidRPr="00250BEC">
        <w:rPr>
          <w:rFonts w:ascii="PT Astra Serif" w:eastAsia="Calibri" w:hAnsi="PT Astra Serif" w:cs="Times New Roman"/>
          <w:b/>
          <w:szCs w:val="28"/>
        </w:rPr>
        <w:br/>
      </w:r>
      <w:r w:rsidRPr="00250BEC">
        <w:rPr>
          <w:rFonts w:ascii="PT Astra Serif" w:eastAsia="Calibri" w:hAnsi="PT Astra Serif" w:cs="Times New Roman"/>
          <w:b/>
          <w:szCs w:val="28"/>
        </w:rPr>
        <w:lastRenderedPageBreak/>
        <w:t>с партнёрами из Республики Беларусь</w:t>
      </w:r>
      <w:r w:rsidRPr="00250BEC">
        <w:rPr>
          <w:rFonts w:ascii="PT Astra Serif" w:eastAsia="Calibri" w:hAnsi="PT Astra Serif" w:cs="Times New Roman"/>
          <w:szCs w:val="28"/>
        </w:rPr>
        <w:t xml:space="preserve">: </w:t>
      </w:r>
    </w:p>
    <w:p w14:paraId="3978E473" w14:textId="383FFFE0"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Сурский район с </w:t>
      </w:r>
      <w:proofErr w:type="spellStart"/>
      <w:r w:rsidRPr="00250BEC">
        <w:rPr>
          <w:rFonts w:ascii="PT Astra Serif" w:eastAsia="Times New Roman" w:hAnsi="PT Astra Serif" w:cs="Times New Roman"/>
          <w:szCs w:val="28"/>
          <w:lang w:eastAsia="ru-RU"/>
        </w:rPr>
        <w:t>Браславским</w:t>
      </w:r>
      <w:proofErr w:type="spellEnd"/>
      <w:r w:rsidRPr="00250BEC">
        <w:rPr>
          <w:rFonts w:ascii="PT Astra Serif" w:eastAsia="Times New Roman" w:hAnsi="PT Astra Serif" w:cs="Times New Roman"/>
          <w:szCs w:val="28"/>
          <w:lang w:eastAsia="ru-RU"/>
        </w:rPr>
        <w:t xml:space="preserve"> районом Витебской области </w:t>
      </w:r>
      <w:r w:rsidR="003E3036">
        <w:rPr>
          <w:rFonts w:ascii="PT Astra Serif" w:eastAsia="Times New Roman" w:hAnsi="PT Astra Serif" w:cs="Times New Roman"/>
          <w:bCs/>
          <w:szCs w:val="28"/>
          <w:lang w:eastAsia="ru-RU"/>
        </w:rPr>
        <w:t>(23-</w:t>
      </w:r>
      <w:r w:rsidRPr="00250BEC">
        <w:rPr>
          <w:rFonts w:ascii="PT Astra Serif" w:eastAsia="Times New Roman" w:hAnsi="PT Astra Serif" w:cs="Times New Roman"/>
          <w:bCs/>
          <w:szCs w:val="28"/>
          <w:lang w:eastAsia="ru-RU"/>
        </w:rPr>
        <w:t>25 мая)</w:t>
      </w:r>
      <w:r w:rsidRPr="00250BEC">
        <w:rPr>
          <w:rFonts w:ascii="PT Astra Serif" w:eastAsia="Times New Roman" w:hAnsi="PT Astra Serif" w:cs="Times New Roman"/>
          <w:szCs w:val="28"/>
          <w:lang w:eastAsia="ru-RU"/>
        </w:rPr>
        <w:t xml:space="preserve">, </w:t>
      </w:r>
    </w:p>
    <w:p w14:paraId="6DE0D083" w14:textId="77777777"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Чердаклинский район с Минским районом Минской области </w:t>
      </w:r>
      <w:r w:rsidRPr="00250BEC">
        <w:rPr>
          <w:rFonts w:ascii="PT Astra Serif" w:eastAsia="Times New Roman" w:hAnsi="PT Astra Serif" w:cs="Times New Roman"/>
          <w:bCs/>
          <w:szCs w:val="28"/>
          <w:lang w:eastAsia="ru-RU"/>
        </w:rPr>
        <w:t>(26 ноября, г. Ульяновск).</w:t>
      </w:r>
    </w:p>
    <w:p w14:paraId="64AC2F64"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рамках двустороннего сотрудничества муниципальных образований Ульяновской области с партнёрами в Республике Беларусь состоялись </w:t>
      </w:r>
      <w:r w:rsidRPr="00250BEC">
        <w:rPr>
          <w:rFonts w:ascii="PT Astra Serif" w:eastAsia="Calibri" w:hAnsi="PT Astra Serif" w:cs="Times New Roman"/>
          <w:b/>
          <w:szCs w:val="28"/>
        </w:rPr>
        <w:t>взаимные обмены делегациями</w:t>
      </w:r>
      <w:r w:rsidRPr="00250BEC">
        <w:rPr>
          <w:rFonts w:ascii="PT Astra Serif" w:eastAsia="Calibri" w:hAnsi="PT Astra Serif" w:cs="Times New Roman"/>
          <w:szCs w:val="28"/>
        </w:rPr>
        <w:t>:</w:t>
      </w:r>
    </w:p>
    <w:p w14:paraId="3CA30EA2" w14:textId="26AD62E6"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в ходе визита официальной делегации г. Ульяновска в г. Гомель Глава </w:t>
      </w:r>
      <w:r w:rsidRPr="00250BEC">
        <w:rPr>
          <w:rFonts w:ascii="PT Astra Serif" w:eastAsia="Times New Roman" w:hAnsi="PT Astra Serif" w:cs="Times New Roman"/>
          <w:szCs w:val="28"/>
          <w:lang w:eastAsia="ru-RU"/>
        </w:rPr>
        <w:br/>
        <w:t xml:space="preserve">г. Ульяновска А.Е. </w:t>
      </w:r>
      <w:proofErr w:type="spellStart"/>
      <w:r w:rsidRPr="00250BEC">
        <w:rPr>
          <w:rFonts w:ascii="PT Astra Serif" w:eastAsia="Times New Roman" w:hAnsi="PT Astra Serif" w:cs="Times New Roman"/>
          <w:szCs w:val="28"/>
          <w:lang w:eastAsia="ru-RU"/>
        </w:rPr>
        <w:t>Болдакин</w:t>
      </w:r>
      <w:proofErr w:type="spellEnd"/>
      <w:r w:rsidRPr="00250BEC">
        <w:rPr>
          <w:rFonts w:ascii="PT Astra Serif" w:eastAsia="Times New Roman" w:hAnsi="PT Astra Serif" w:cs="Times New Roman"/>
          <w:szCs w:val="28"/>
          <w:lang w:eastAsia="ru-RU"/>
        </w:rPr>
        <w:t xml:space="preserve"> и руководство г. Гомеля обсудили актуальные аспекты дальнейшего развития сотрудничества и утвердили План мероприятий на 2026 - 2027 годы по реализации Соглашения о сотрудничестве между г. Ульяновском и г. Гомелем от 8 сентября 2012 года </w:t>
      </w:r>
      <w:r w:rsidR="003E3036">
        <w:rPr>
          <w:rFonts w:ascii="PT Astra Serif" w:eastAsia="Times New Roman" w:hAnsi="PT Astra Serif" w:cs="Times New Roman"/>
          <w:bCs/>
          <w:szCs w:val="28"/>
          <w:lang w:eastAsia="ru-RU"/>
        </w:rPr>
        <w:t>(25-</w:t>
      </w:r>
      <w:r w:rsidRPr="00250BEC">
        <w:rPr>
          <w:rFonts w:ascii="PT Astra Serif" w:eastAsia="Times New Roman" w:hAnsi="PT Astra Serif" w:cs="Times New Roman"/>
          <w:bCs/>
          <w:szCs w:val="28"/>
          <w:lang w:eastAsia="ru-RU"/>
        </w:rPr>
        <w:t>27 ноября)</w:t>
      </w:r>
      <w:r w:rsidRPr="00250BEC">
        <w:rPr>
          <w:rFonts w:ascii="PT Astra Serif" w:eastAsia="Times New Roman" w:hAnsi="PT Astra Serif" w:cs="Times New Roman"/>
          <w:szCs w:val="28"/>
          <w:lang w:eastAsia="ru-RU"/>
        </w:rPr>
        <w:t>;</w:t>
      </w:r>
    </w:p>
    <w:p w14:paraId="567527A1" w14:textId="3CC3F328" w:rsidR="00250BEC" w:rsidRPr="00250BEC" w:rsidRDefault="00250BEC" w:rsidP="00250BEC">
      <w:pPr>
        <w:widowControl w:val="0"/>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делегации г. Ульяновска и Сурского района принимали участие</w:t>
      </w:r>
      <w:r w:rsidRPr="00250BEC">
        <w:rPr>
          <w:rFonts w:ascii="PT Astra Serif" w:eastAsia="Times New Roman" w:hAnsi="PT Astra Serif" w:cs="Times New Roman"/>
          <w:szCs w:val="28"/>
          <w:lang w:eastAsia="ru-RU"/>
        </w:rPr>
        <w:br/>
        <w:t>в торжественных мероприятиях Международного праздника традиционной культуры «</w:t>
      </w:r>
      <w:proofErr w:type="spellStart"/>
      <w:r w:rsidRPr="00250BEC">
        <w:rPr>
          <w:rFonts w:ascii="PT Astra Serif" w:eastAsia="Times New Roman" w:hAnsi="PT Astra Serif" w:cs="Times New Roman"/>
          <w:szCs w:val="28"/>
          <w:lang w:eastAsia="ru-RU"/>
        </w:rPr>
        <w:t>Браславские</w:t>
      </w:r>
      <w:proofErr w:type="spellEnd"/>
      <w:r w:rsidRPr="00250BEC">
        <w:rPr>
          <w:rFonts w:ascii="PT Astra Serif" w:eastAsia="Times New Roman" w:hAnsi="PT Astra Serif" w:cs="Times New Roman"/>
          <w:szCs w:val="28"/>
          <w:lang w:eastAsia="ru-RU"/>
        </w:rPr>
        <w:t xml:space="preserve"> зарницы» в г. Браславе Витебской области </w:t>
      </w:r>
      <w:r w:rsidR="003E3036">
        <w:rPr>
          <w:rFonts w:ascii="PT Astra Serif" w:eastAsia="Times New Roman" w:hAnsi="PT Astra Serif" w:cs="Times New Roman"/>
          <w:bCs/>
          <w:szCs w:val="28"/>
          <w:lang w:eastAsia="ru-RU"/>
        </w:rPr>
        <w:t>(23-</w:t>
      </w:r>
      <w:r w:rsidRPr="00250BEC">
        <w:rPr>
          <w:rFonts w:ascii="PT Astra Serif" w:eastAsia="Times New Roman" w:hAnsi="PT Astra Serif" w:cs="Times New Roman"/>
          <w:bCs/>
          <w:szCs w:val="28"/>
          <w:lang w:eastAsia="ru-RU"/>
        </w:rPr>
        <w:t>25 мая)</w:t>
      </w:r>
      <w:r w:rsidRPr="00250BEC">
        <w:rPr>
          <w:rFonts w:ascii="PT Astra Serif" w:eastAsia="Times New Roman" w:hAnsi="PT Astra Serif" w:cs="Times New Roman"/>
          <w:szCs w:val="28"/>
          <w:lang w:eastAsia="ru-RU"/>
        </w:rPr>
        <w:t>.</w:t>
      </w:r>
    </w:p>
    <w:p w14:paraId="677E2FF7" w14:textId="2BA71B7A"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продолжение диалога о развитии сотрудничества в сфере промышленной кооперации и социально-культурного взаимодействия </w:t>
      </w:r>
      <w:r w:rsidRPr="00250BEC">
        <w:rPr>
          <w:rFonts w:ascii="PT Astra Serif" w:eastAsia="Calibri" w:hAnsi="PT Astra Serif" w:cs="Times New Roman"/>
          <w:szCs w:val="28"/>
        </w:rPr>
        <w:br/>
        <w:t>в сентябре состоялся визит</w:t>
      </w:r>
      <w:r w:rsidRPr="00250BEC">
        <w:rPr>
          <w:rFonts w:ascii="PT Astra Serif" w:eastAsia="Calibri" w:hAnsi="PT Astra Serif" w:cs="Times New Roman"/>
          <w:b/>
          <w:szCs w:val="28"/>
        </w:rPr>
        <w:t xml:space="preserve"> </w:t>
      </w:r>
      <w:r w:rsidRPr="00250BEC">
        <w:rPr>
          <w:rFonts w:ascii="PT Astra Serif" w:eastAsia="Calibri" w:hAnsi="PT Astra Serif" w:cs="Times New Roman"/>
          <w:szCs w:val="28"/>
        </w:rPr>
        <w:t xml:space="preserve">делегации г. Гомеля в г. Ульяновск </w:t>
      </w:r>
      <w:r w:rsidR="003E3036">
        <w:rPr>
          <w:rFonts w:ascii="PT Astra Serif" w:eastAsia="Calibri" w:hAnsi="PT Astra Serif" w:cs="Times New Roman"/>
          <w:bCs/>
          <w:szCs w:val="28"/>
        </w:rPr>
        <w:t>(13-</w:t>
      </w:r>
      <w:r w:rsidRPr="00250BEC">
        <w:rPr>
          <w:rFonts w:ascii="PT Astra Serif" w:eastAsia="Calibri" w:hAnsi="PT Astra Serif" w:cs="Times New Roman"/>
          <w:bCs/>
          <w:szCs w:val="28"/>
        </w:rPr>
        <w:t>15 сентября)</w:t>
      </w:r>
      <w:r w:rsidRPr="00250BEC">
        <w:rPr>
          <w:rFonts w:ascii="PT Astra Serif" w:eastAsia="Calibri" w:hAnsi="PT Astra Serif" w:cs="Times New Roman"/>
          <w:szCs w:val="28"/>
        </w:rPr>
        <w:t>.</w:t>
      </w:r>
    </w:p>
    <w:p w14:paraId="6F0306D2" w14:textId="05667DE3"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По приглашению Генерального директора Союза российских городов Председатель Ульяновской Городской Думы И.В. </w:t>
      </w:r>
      <w:proofErr w:type="spellStart"/>
      <w:r w:rsidRPr="00250BEC">
        <w:rPr>
          <w:rFonts w:ascii="PT Astra Serif" w:eastAsia="Calibri" w:hAnsi="PT Astra Serif" w:cs="Times New Roman"/>
          <w:szCs w:val="28"/>
        </w:rPr>
        <w:t>Ножечкин</w:t>
      </w:r>
      <w:proofErr w:type="spellEnd"/>
      <w:r w:rsidRPr="00250BEC">
        <w:rPr>
          <w:rFonts w:ascii="PT Astra Serif" w:eastAsia="Calibri" w:hAnsi="PT Astra Serif" w:cs="Times New Roman"/>
          <w:szCs w:val="28"/>
        </w:rPr>
        <w:t xml:space="preserve"> принял участие</w:t>
      </w:r>
      <w:r w:rsidRPr="00250BEC">
        <w:rPr>
          <w:rFonts w:ascii="PT Astra Serif" w:eastAsia="Calibri" w:hAnsi="PT Astra Serif" w:cs="Times New Roman"/>
          <w:szCs w:val="28"/>
        </w:rPr>
        <w:br/>
        <w:t>в Форуме народной дипломатии и в Форуме городов-побратимов ШОС</w:t>
      </w:r>
      <w:r w:rsidRPr="00250BEC">
        <w:rPr>
          <w:rFonts w:ascii="PT Astra Serif" w:eastAsia="Calibri" w:hAnsi="PT Astra Serif" w:cs="Times New Roman"/>
          <w:szCs w:val="28"/>
        </w:rPr>
        <w:br/>
        <w:t xml:space="preserve">в г. </w:t>
      </w:r>
      <w:proofErr w:type="spellStart"/>
      <w:r w:rsidRPr="00250BEC">
        <w:rPr>
          <w:rFonts w:ascii="PT Astra Serif" w:eastAsia="Calibri" w:hAnsi="PT Astra Serif" w:cs="Times New Roman"/>
          <w:szCs w:val="28"/>
        </w:rPr>
        <w:t>Шэньяне</w:t>
      </w:r>
      <w:proofErr w:type="spellEnd"/>
      <w:r w:rsidRPr="00250BEC">
        <w:rPr>
          <w:rFonts w:ascii="PT Astra Serif" w:eastAsia="Calibri" w:hAnsi="PT Astra Serif" w:cs="Times New Roman"/>
          <w:szCs w:val="28"/>
        </w:rPr>
        <w:t xml:space="preserve"> </w:t>
      </w:r>
      <w:r w:rsidR="003E3036">
        <w:rPr>
          <w:rFonts w:ascii="PT Astra Serif" w:eastAsia="Calibri" w:hAnsi="PT Astra Serif" w:cs="Times New Roman"/>
          <w:bCs/>
          <w:szCs w:val="28"/>
        </w:rPr>
        <w:t>(Китай, 3-</w:t>
      </w:r>
      <w:r w:rsidRPr="00250BEC">
        <w:rPr>
          <w:rFonts w:ascii="PT Astra Serif" w:eastAsia="Calibri" w:hAnsi="PT Astra Serif" w:cs="Times New Roman"/>
          <w:bCs/>
          <w:szCs w:val="28"/>
        </w:rPr>
        <w:t>5 июля)</w:t>
      </w:r>
      <w:r w:rsidRPr="00250BEC">
        <w:rPr>
          <w:rFonts w:ascii="PT Astra Serif" w:eastAsia="Calibri" w:hAnsi="PT Astra Serif" w:cs="Times New Roman"/>
          <w:szCs w:val="28"/>
        </w:rPr>
        <w:t>. В октябре в ходе своего участия в заседании Всемирного совета Международной ассоциации «Объединённые города</w:t>
      </w:r>
      <w:r w:rsidRPr="00250BEC">
        <w:rPr>
          <w:rFonts w:ascii="PT Astra Serif" w:eastAsia="Calibri" w:hAnsi="PT Astra Serif" w:cs="Times New Roman"/>
          <w:szCs w:val="28"/>
        </w:rPr>
        <w:br/>
        <w:t xml:space="preserve">и местные власти Евразии» в г. </w:t>
      </w:r>
      <w:proofErr w:type="spellStart"/>
      <w:r w:rsidRPr="00250BEC">
        <w:rPr>
          <w:rFonts w:ascii="PT Astra Serif" w:eastAsia="Calibri" w:hAnsi="PT Astra Serif" w:cs="Times New Roman"/>
          <w:szCs w:val="28"/>
        </w:rPr>
        <w:t>Сиане</w:t>
      </w:r>
      <w:proofErr w:type="spellEnd"/>
      <w:r w:rsidRPr="00250BEC">
        <w:rPr>
          <w:rFonts w:ascii="PT Astra Serif" w:eastAsia="Calibri" w:hAnsi="PT Astra Serif" w:cs="Times New Roman"/>
          <w:szCs w:val="28"/>
        </w:rPr>
        <w:t xml:space="preserve"> (Китай) Председатель Ульяновской Городской Думы И.В. </w:t>
      </w:r>
      <w:proofErr w:type="spellStart"/>
      <w:r w:rsidRPr="00250BEC">
        <w:rPr>
          <w:rFonts w:ascii="PT Astra Serif" w:eastAsia="Calibri" w:hAnsi="PT Astra Serif" w:cs="Times New Roman"/>
          <w:szCs w:val="28"/>
        </w:rPr>
        <w:t>Ножечкин</w:t>
      </w:r>
      <w:proofErr w:type="spellEnd"/>
      <w:r w:rsidRPr="00250BEC">
        <w:rPr>
          <w:rFonts w:ascii="PT Astra Serif" w:eastAsia="Calibri" w:hAnsi="PT Astra Serif" w:cs="Times New Roman"/>
          <w:szCs w:val="28"/>
        </w:rPr>
        <w:t xml:space="preserve"> был избран в Исполнительное бюро данного Всемирного совета </w:t>
      </w:r>
      <w:r w:rsidR="003E3036">
        <w:rPr>
          <w:rFonts w:ascii="PT Astra Serif" w:eastAsia="Calibri" w:hAnsi="PT Astra Serif" w:cs="Times New Roman"/>
          <w:bCs/>
          <w:szCs w:val="28"/>
        </w:rPr>
        <w:t>(15-</w:t>
      </w:r>
      <w:r w:rsidRPr="00250BEC">
        <w:rPr>
          <w:rFonts w:ascii="PT Astra Serif" w:eastAsia="Calibri" w:hAnsi="PT Astra Serif" w:cs="Times New Roman"/>
          <w:bCs/>
          <w:szCs w:val="28"/>
        </w:rPr>
        <w:t>18 октября)</w:t>
      </w:r>
      <w:r w:rsidRPr="00250BEC">
        <w:rPr>
          <w:rFonts w:ascii="PT Astra Serif" w:eastAsia="Calibri" w:hAnsi="PT Astra Serif" w:cs="Times New Roman"/>
          <w:szCs w:val="28"/>
        </w:rPr>
        <w:t>.</w:t>
      </w:r>
    </w:p>
    <w:p w14:paraId="62299C4D" w14:textId="77777777" w:rsidR="00250BEC" w:rsidRPr="00250BEC" w:rsidRDefault="00250BEC" w:rsidP="00250BEC">
      <w:pPr>
        <w:widowControl w:val="0"/>
        <w:autoSpaceDE w:val="0"/>
        <w:autoSpaceDN w:val="0"/>
        <w:adjustRightInd w:val="0"/>
        <w:rPr>
          <w:rFonts w:ascii="PT Astra Serif" w:eastAsia="Calibri" w:hAnsi="PT Astra Serif" w:cs="Times New Roman"/>
          <w:szCs w:val="28"/>
        </w:rPr>
      </w:pPr>
      <w:r w:rsidRPr="00250BEC">
        <w:rPr>
          <w:rFonts w:ascii="PT Astra Serif" w:eastAsia="Calibri" w:hAnsi="PT Astra Serif" w:cs="Times New Roman"/>
          <w:bCs/>
          <w:szCs w:val="28"/>
        </w:rPr>
        <w:t>Таким образом,</w:t>
      </w:r>
      <w:r w:rsidRPr="00250BEC">
        <w:rPr>
          <w:rFonts w:ascii="PT Astra Serif" w:eastAsia="Calibri" w:hAnsi="PT Astra Serif" w:cs="Times New Roman"/>
          <w:szCs w:val="28"/>
        </w:rPr>
        <w:t xml:space="preserve"> несмотря на сложную ситуацию, сложившуюся вокруг нашей страны в связи с агрессивной антироссийской политикой Запада, регион сохраняет положительную динамику развития международного сотрудничества, активизирует межрегиональное взаимодействие, продолжает работу региональной команды по усилению международного диалога </w:t>
      </w:r>
      <w:r w:rsidRPr="00250BEC">
        <w:rPr>
          <w:rFonts w:ascii="PT Astra Serif" w:eastAsia="Calibri" w:hAnsi="PT Astra Serif" w:cs="Times New Roman"/>
          <w:szCs w:val="28"/>
        </w:rPr>
        <w:br/>
        <w:t xml:space="preserve">с партнёрами из стран СНГ, Азии и Ближнего Востока, в первую очередь, из стран БРИКС в обновлённом составе, по укреплению стратегического потенциала и продвижению имиджа Ульяновской области за рубежом. </w:t>
      </w:r>
    </w:p>
    <w:p w14:paraId="715E131B" w14:textId="77777777" w:rsidR="00250BEC" w:rsidRPr="00250BEC" w:rsidRDefault="00250BEC" w:rsidP="00250BEC">
      <w:pPr>
        <w:widowControl w:val="0"/>
        <w:contextualSpacing/>
        <w:rPr>
          <w:rFonts w:ascii="PT Astra Serif" w:eastAsia="Times New Roman" w:hAnsi="PT Astra Serif" w:cs="Times New Roman"/>
          <w:szCs w:val="28"/>
          <w:lang w:eastAsia="ru-RU"/>
        </w:rPr>
      </w:pPr>
    </w:p>
    <w:p w14:paraId="410FEA8B" w14:textId="77777777" w:rsidR="00250BEC" w:rsidRPr="00250BEC" w:rsidRDefault="00250BEC" w:rsidP="00250BEC">
      <w:pPr>
        <w:widowControl w:val="0"/>
        <w:ind w:firstLine="0"/>
        <w:jc w:val="center"/>
        <w:rPr>
          <w:rFonts w:ascii="PT Astra Serif" w:eastAsia="Calibri" w:hAnsi="PT Astra Serif" w:cs="Times New Roman"/>
          <w:szCs w:val="28"/>
        </w:rPr>
      </w:pPr>
      <w:r w:rsidRPr="00250BEC">
        <w:rPr>
          <w:rFonts w:ascii="PT Astra Serif" w:eastAsia="Calibri" w:hAnsi="PT Astra Serif" w:cs="Times New Roman"/>
          <w:b/>
          <w:color w:val="000000"/>
          <w:szCs w:val="28"/>
        </w:rPr>
        <w:t>Основные направления развития сотрудничества в сфере развития международных и межрегиональных связей в 2026 году</w:t>
      </w:r>
    </w:p>
    <w:p w14:paraId="1AA5BA87" w14:textId="77777777" w:rsidR="00250BEC" w:rsidRPr="00250BEC" w:rsidRDefault="00250BEC" w:rsidP="00250BEC">
      <w:pPr>
        <w:widowControl w:val="0"/>
        <w:contextualSpacing/>
        <w:rPr>
          <w:rFonts w:ascii="PT Astra Serif" w:eastAsia="Times New Roman" w:hAnsi="PT Astra Serif" w:cs="Times New Roman"/>
          <w:szCs w:val="28"/>
          <w:lang w:eastAsia="ru-RU"/>
        </w:rPr>
      </w:pPr>
    </w:p>
    <w:p w14:paraId="62F19353"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Все предложения исполнительных органов Ульяновской области, подразделений администрации Губернатора Ульяновской области </w:t>
      </w:r>
      <w:r w:rsidRPr="00250BEC">
        <w:rPr>
          <w:rFonts w:ascii="PT Astra Serif" w:eastAsia="Calibri" w:hAnsi="PT Astra Serif" w:cs="Times New Roman"/>
          <w:szCs w:val="28"/>
        </w:rPr>
        <w:br/>
        <w:t xml:space="preserve">и институтов развития Ульяновской области по активизации сотрудничества в сфере международных, межрегиональных и внешнеэкономических связей </w:t>
      </w:r>
      <w:r w:rsidRPr="00250BEC">
        <w:rPr>
          <w:rFonts w:ascii="PT Astra Serif" w:eastAsia="Calibri" w:hAnsi="PT Astra Serif" w:cs="Times New Roman"/>
          <w:szCs w:val="28"/>
        </w:rPr>
        <w:br/>
        <w:t xml:space="preserve">в 2026 году включены в </w:t>
      </w:r>
      <w:r w:rsidRPr="00250BEC">
        <w:rPr>
          <w:rFonts w:ascii="PT Astra Serif" w:eastAsia="Calibri" w:hAnsi="PT Astra Serif" w:cs="Times New Roman"/>
          <w:b/>
          <w:szCs w:val="28"/>
        </w:rPr>
        <w:t xml:space="preserve">План мероприятий в сфере развития международного и межрегионального сотрудничества Ульяновской </w:t>
      </w:r>
      <w:r w:rsidRPr="00250BEC">
        <w:rPr>
          <w:rFonts w:ascii="PT Astra Serif" w:eastAsia="Calibri" w:hAnsi="PT Astra Serif" w:cs="Times New Roman"/>
          <w:b/>
          <w:szCs w:val="28"/>
        </w:rPr>
        <w:lastRenderedPageBreak/>
        <w:t>области на 2026 год</w:t>
      </w:r>
      <w:r w:rsidRPr="00250BEC">
        <w:rPr>
          <w:rFonts w:ascii="PT Astra Serif" w:eastAsia="Calibri" w:hAnsi="PT Astra Serif" w:cs="Times New Roman"/>
          <w:szCs w:val="28"/>
        </w:rPr>
        <w:t xml:space="preserve">, </w:t>
      </w:r>
      <w:proofErr w:type="spellStart"/>
      <w:r w:rsidRPr="00250BEC">
        <w:rPr>
          <w:rFonts w:ascii="PT Astra Serif" w:eastAsia="Calibri" w:hAnsi="PT Astra Serif" w:cs="Times New Roman"/>
          <w:szCs w:val="28"/>
        </w:rPr>
        <w:t>утвеждённый</w:t>
      </w:r>
      <w:proofErr w:type="spellEnd"/>
      <w:r w:rsidRPr="00250BEC">
        <w:rPr>
          <w:rFonts w:ascii="PT Astra Serif" w:eastAsia="Calibri" w:hAnsi="PT Astra Serif" w:cs="Times New Roman"/>
          <w:szCs w:val="28"/>
        </w:rPr>
        <w:t xml:space="preserve"> Губернатором Ульяновской области А.Ю. Русских 02 февраля 2026 года (№17-ПЛ). </w:t>
      </w:r>
    </w:p>
    <w:p w14:paraId="68ADBF86" w14:textId="3519F032" w:rsidR="00250BEC" w:rsidRPr="00250BEC" w:rsidRDefault="00250BEC" w:rsidP="00250BEC">
      <w:pPr>
        <w:widowControl w:val="0"/>
        <w:rPr>
          <w:rFonts w:ascii="PT Astra Serif" w:eastAsia="Calibri" w:hAnsi="PT Astra Serif" w:cs="Times New Roman"/>
          <w:i/>
          <w:iCs/>
          <w:szCs w:val="28"/>
        </w:rPr>
      </w:pPr>
      <w:r w:rsidRPr="00250BEC">
        <w:rPr>
          <w:rFonts w:ascii="PT Astra Serif" w:eastAsia="Calibri" w:hAnsi="PT Astra Serif" w:cs="Times New Roman"/>
          <w:szCs w:val="28"/>
        </w:rPr>
        <w:t xml:space="preserve">В план традиционно включены международные мероприятия, </w:t>
      </w:r>
      <w:r w:rsidRPr="00250BEC">
        <w:rPr>
          <w:rFonts w:ascii="PT Astra Serif" w:eastAsia="Calibri" w:hAnsi="PT Astra Serif" w:cs="Times New Roman"/>
          <w:szCs w:val="28"/>
        </w:rPr>
        <w:br/>
        <w:t xml:space="preserve">в которых Правительство Ульяновской области ежегодно принимает участие, либо является организатором </w:t>
      </w:r>
      <w:r w:rsidRPr="00250BEC">
        <w:rPr>
          <w:rFonts w:ascii="PT Astra Serif" w:eastAsia="Calibri" w:hAnsi="PT Astra Serif" w:cs="Times New Roman"/>
          <w:iCs/>
          <w:szCs w:val="28"/>
        </w:rPr>
        <w:t>(Петербургский междуна</w:t>
      </w:r>
      <w:r w:rsidR="003E3036">
        <w:rPr>
          <w:rFonts w:ascii="PT Astra Serif" w:eastAsia="Calibri" w:hAnsi="PT Astra Serif" w:cs="Times New Roman"/>
          <w:iCs/>
          <w:szCs w:val="28"/>
        </w:rPr>
        <w:t>родный экономический форум (3-</w:t>
      </w:r>
      <w:r w:rsidRPr="00250BEC">
        <w:rPr>
          <w:rFonts w:ascii="PT Astra Serif" w:eastAsia="Calibri" w:hAnsi="PT Astra Serif" w:cs="Times New Roman"/>
          <w:iCs/>
          <w:szCs w:val="28"/>
        </w:rPr>
        <w:t>6 июня), Международные промышленные выставки «</w:t>
      </w:r>
      <w:proofErr w:type="spellStart"/>
      <w:r w:rsidRPr="00250BEC">
        <w:rPr>
          <w:rFonts w:ascii="PT Astra Serif" w:eastAsia="Calibri" w:hAnsi="PT Astra Serif" w:cs="Times New Roman"/>
          <w:iCs/>
          <w:szCs w:val="28"/>
        </w:rPr>
        <w:t>Иннопром</w:t>
      </w:r>
      <w:proofErr w:type="spellEnd"/>
      <w:r w:rsidRPr="00250BEC">
        <w:rPr>
          <w:rFonts w:ascii="PT Astra Serif" w:eastAsia="Calibri" w:hAnsi="PT Astra Serif" w:cs="Times New Roman"/>
          <w:iCs/>
          <w:szCs w:val="28"/>
        </w:rPr>
        <w:t xml:space="preserve">» </w:t>
      </w:r>
      <w:r w:rsidR="003E3036">
        <w:rPr>
          <w:rFonts w:ascii="PT Astra Serif" w:eastAsia="Calibri" w:hAnsi="PT Astra Serif" w:cs="Times New Roman"/>
          <w:iCs/>
          <w:szCs w:val="28"/>
        </w:rPr>
        <w:t>Эр-Рияде (Саудовская Аравия, 9-</w:t>
      </w:r>
      <w:r w:rsidRPr="00250BEC">
        <w:rPr>
          <w:rFonts w:ascii="PT Astra Serif" w:eastAsia="Calibri" w:hAnsi="PT Astra Serif" w:cs="Times New Roman"/>
          <w:iCs/>
          <w:szCs w:val="28"/>
        </w:rPr>
        <w:t xml:space="preserve">10 февраля), </w:t>
      </w:r>
      <w:r w:rsidR="003E3036">
        <w:rPr>
          <w:rFonts w:ascii="PT Astra Serif" w:eastAsia="Calibri" w:hAnsi="PT Astra Serif" w:cs="Times New Roman"/>
          <w:iCs/>
          <w:szCs w:val="28"/>
        </w:rPr>
        <w:t xml:space="preserve">в г. Ташкенте (Узбекистан, </w:t>
      </w:r>
      <w:r w:rsidR="003E3036">
        <w:rPr>
          <w:rFonts w:ascii="PT Astra Serif" w:eastAsia="Calibri" w:hAnsi="PT Astra Serif" w:cs="Times New Roman"/>
          <w:iCs/>
          <w:szCs w:val="28"/>
        </w:rPr>
        <w:br/>
        <w:t>20-</w:t>
      </w:r>
      <w:r w:rsidRPr="00250BEC">
        <w:rPr>
          <w:rFonts w:ascii="PT Astra Serif" w:eastAsia="Calibri" w:hAnsi="PT Astra Serif" w:cs="Times New Roman"/>
          <w:iCs/>
          <w:szCs w:val="28"/>
        </w:rPr>
        <w:t>22 апреля), г. Ека</w:t>
      </w:r>
      <w:r w:rsidR="003E3036">
        <w:rPr>
          <w:rFonts w:ascii="PT Astra Serif" w:eastAsia="Calibri" w:hAnsi="PT Astra Serif" w:cs="Times New Roman"/>
          <w:iCs/>
          <w:szCs w:val="28"/>
        </w:rPr>
        <w:t>теринбурге (6-</w:t>
      </w:r>
      <w:r w:rsidRPr="00250BEC">
        <w:rPr>
          <w:rFonts w:ascii="PT Astra Serif" w:eastAsia="Calibri" w:hAnsi="PT Astra Serif" w:cs="Times New Roman"/>
          <w:iCs/>
          <w:szCs w:val="28"/>
        </w:rPr>
        <w:t>9 июля) и в г. Минске (Беларусь, конец сентября), Форум регионов России и Беларуси в Минской области (Беларусь, конец июня – начало июля), Второй всероссийский форум производит</w:t>
      </w:r>
      <w:r w:rsidR="003E3036">
        <w:rPr>
          <w:rFonts w:ascii="PT Astra Serif" w:eastAsia="Calibri" w:hAnsi="PT Astra Serif" w:cs="Times New Roman"/>
          <w:iCs/>
          <w:szCs w:val="28"/>
        </w:rPr>
        <w:t>елей одежды в г. Ульяновске (24-</w:t>
      </w:r>
      <w:r w:rsidRPr="00250BEC">
        <w:rPr>
          <w:rFonts w:ascii="PT Astra Serif" w:eastAsia="Calibri" w:hAnsi="PT Astra Serif" w:cs="Times New Roman"/>
          <w:iCs/>
          <w:szCs w:val="28"/>
        </w:rPr>
        <w:t xml:space="preserve">26 апреля), выставка-форум производителей товаров и услуг «Сделано в Ульяновской области» (22 мая), Международный торгово-логистический форум «Средняя Волга - Каспий» (1 октября), Международный фестиваль кино-и телепрограмм для семейного просмотра имени В.М. Леонтьевой «От всей души» </w:t>
      </w:r>
      <w:r w:rsidR="003E3036">
        <w:rPr>
          <w:rFonts w:ascii="PT Astra Serif" w:eastAsia="Calibri" w:hAnsi="PT Astra Serif" w:cs="Times New Roman"/>
          <w:iCs/>
          <w:szCs w:val="28"/>
        </w:rPr>
        <w:t>(26-</w:t>
      </w:r>
      <w:r w:rsidRPr="00250BEC">
        <w:rPr>
          <w:rFonts w:ascii="PT Astra Serif" w:eastAsia="Calibri" w:hAnsi="PT Astra Serif" w:cs="Times New Roman"/>
          <w:iCs/>
          <w:szCs w:val="28"/>
        </w:rPr>
        <w:t>30 мая) и многие другие).</w:t>
      </w:r>
    </w:p>
    <w:p w14:paraId="6C9978DB"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В 2026 году будет </w:t>
      </w:r>
      <w:r w:rsidRPr="00250BEC">
        <w:rPr>
          <w:rFonts w:ascii="PT Astra Serif" w:eastAsia="Calibri" w:hAnsi="PT Astra Serif" w:cs="Times New Roman"/>
          <w:b/>
          <w:szCs w:val="28"/>
        </w:rPr>
        <w:t>продолжена работа по вовлечению региональных промышленных предприятий и объединений</w:t>
      </w:r>
      <w:r w:rsidRPr="00250BEC">
        <w:rPr>
          <w:rFonts w:ascii="PT Astra Serif" w:eastAsia="Calibri" w:hAnsi="PT Astra Serif" w:cs="Times New Roman"/>
          <w:szCs w:val="28"/>
        </w:rPr>
        <w:t xml:space="preserve"> в планируемые бизнес-миссии в российские регионы и зарубежные страны, к участию в В2В встречах с иностранными и российскими представителями предприятий и организаций. </w:t>
      </w:r>
    </w:p>
    <w:p w14:paraId="56BE4917"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Будет продолжено </w:t>
      </w:r>
      <w:r w:rsidRPr="00250BEC">
        <w:rPr>
          <w:rFonts w:ascii="PT Astra Serif" w:eastAsia="Calibri" w:hAnsi="PT Astra Serif" w:cs="Times New Roman"/>
          <w:b/>
          <w:szCs w:val="28"/>
        </w:rPr>
        <w:t xml:space="preserve">сотрудничество </w:t>
      </w:r>
      <w:r w:rsidRPr="00250BEC">
        <w:rPr>
          <w:rFonts w:ascii="PT Astra Serif" w:eastAsia="Calibri" w:hAnsi="PT Astra Serif" w:cs="Times New Roman"/>
          <w:szCs w:val="28"/>
        </w:rPr>
        <w:t>со всеми структурами в регионе,</w:t>
      </w:r>
      <w:r w:rsidRPr="00250BEC">
        <w:rPr>
          <w:rFonts w:ascii="PT Astra Serif" w:eastAsia="Calibri" w:hAnsi="PT Astra Serif" w:cs="Times New Roman"/>
          <w:szCs w:val="28"/>
        </w:rPr>
        <w:br/>
        <w:t xml:space="preserve">в том числе </w:t>
      </w:r>
      <w:r w:rsidRPr="00250BEC">
        <w:rPr>
          <w:rFonts w:ascii="PT Astra Serif" w:eastAsia="Calibri" w:hAnsi="PT Astra Serif" w:cs="Times New Roman"/>
          <w:iCs/>
          <w:szCs w:val="28"/>
        </w:rPr>
        <w:t>при содействии Агентства по развитию человеческого потенциала и трудовых ресурсов Ульяновской области</w:t>
      </w:r>
      <w:r w:rsidRPr="00250BEC">
        <w:rPr>
          <w:rFonts w:ascii="PT Astra Serif" w:eastAsia="Calibri" w:hAnsi="PT Astra Serif" w:cs="Times New Roman"/>
          <w:szCs w:val="28"/>
        </w:rPr>
        <w:t xml:space="preserve">, </w:t>
      </w:r>
      <w:r w:rsidRPr="00250BEC">
        <w:rPr>
          <w:rFonts w:ascii="PT Astra Serif" w:eastAsia="Calibri" w:hAnsi="PT Astra Serif" w:cs="Times New Roman"/>
          <w:b/>
          <w:szCs w:val="28"/>
        </w:rPr>
        <w:t>в направлении содействия переселению в наш регион соотечественников и привлечения трудовых мигрантов</w:t>
      </w:r>
      <w:r w:rsidRPr="00250BEC">
        <w:rPr>
          <w:rFonts w:ascii="PT Astra Serif" w:eastAsia="Calibri" w:hAnsi="PT Astra Serif" w:cs="Times New Roman"/>
          <w:szCs w:val="28"/>
        </w:rPr>
        <w:t xml:space="preserve"> в необходимом количестве и необходимой квалификации по запросам наших предприятий.</w:t>
      </w:r>
    </w:p>
    <w:p w14:paraId="5D06E7F9" w14:textId="77777777" w:rsidR="00250BEC" w:rsidRPr="00250BEC" w:rsidRDefault="00250BEC" w:rsidP="00250BEC">
      <w:pPr>
        <w:widowControl w:val="0"/>
        <w:rPr>
          <w:rFonts w:ascii="PT Astra Serif" w:eastAsia="Calibri" w:hAnsi="PT Astra Serif" w:cs="Times New Roman"/>
          <w:szCs w:val="28"/>
        </w:rPr>
      </w:pPr>
      <w:r w:rsidRPr="00250BEC">
        <w:rPr>
          <w:rFonts w:ascii="PT Astra Serif" w:eastAsia="Calibri" w:hAnsi="PT Astra Serif" w:cs="Times New Roman"/>
          <w:szCs w:val="28"/>
        </w:rPr>
        <w:t xml:space="preserve">Планируется </w:t>
      </w:r>
      <w:r w:rsidRPr="00250BEC">
        <w:rPr>
          <w:rFonts w:ascii="PT Astra Serif" w:eastAsia="Calibri" w:hAnsi="PT Astra Serif" w:cs="Times New Roman"/>
          <w:b/>
          <w:bCs/>
          <w:szCs w:val="28"/>
        </w:rPr>
        <w:t>принять на территории региона</w:t>
      </w:r>
      <w:r w:rsidRPr="00250BEC">
        <w:rPr>
          <w:rFonts w:ascii="PT Astra Serif" w:eastAsia="Calibri" w:hAnsi="PT Astra Serif" w:cs="Times New Roman"/>
          <w:szCs w:val="28"/>
        </w:rPr>
        <w:t xml:space="preserve"> бизнес миссии Ленинградской, Нижегородской, Оренбургской, Московской областей, Пермского края и Республики Мордовия и Татарстан, </w:t>
      </w:r>
      <w:r w:rsidRPr="00250BEC">
        <w:rPr>
          <w:rFonts w:ascii="PT Astra Serif" w:eastAsia="Calibri" w:hAnsi="PT Astra Serif" w:cs="Times New Roman"/>
          <w:b/>
          <w:bCs/>
          <w:szCs w:val="28"/>
        </w:rPr>
        <w:t>выехать</w:t>
      </w:r>
      <w:r w:rsidRPr="00250BEC">
        <w:rPr>
          <w:rFonts w:ascii="PT Astra Serif" w:eastAsia="Calibri" w:hAnsi="PT Astra Serif" w:cs="Times New Roman"/>
          <w:szCs w:val="28"/>
        </w:rPr>
        <w:t xml:space="preserve"> </w:t>
      </w:r>
      <w:r w:rsidRPr="00250BEC">
        <w:rPr>
          <w:rFonts w:ascii="PT Astra Serif" w:eastAsia="Calibri" w:hAnsi="PT Astra Serif" w:cs="Times New Roman"/>
          <w:szCs w:val="28"/>
        </w:rPr>
        <w:br/>
        <w:t>в Ленинградскую, Липецкую и Калужскую области.</w:t>
      </w:r>
    </w:p>
    <w:p w14:paraId="6CFE1585" w14:textId="77777777" w:rsidR="00250BEC" w:rsidRPr="00250BEC" w:rsidRDefault="00250BEC" w:rsidP="00250BEC">
      <w:pPr>
        <w:widowControl w:val="0"/>
        <w:spacing w:after="160"/>
        <w:ind w:firstLine="0"/>
        <w:jc w:val="left"/>
        <w:rPr>
          <w:color w:val="000000" w:themeColor="text1"/>
          <w:highlight w:val="yellow"/>
          <w:shd w:val="clear" w:color="auto" w:fill="FFFFFF"/>
        </w:rPr>
      </w:pPr>
      <w:r w:rsidRPr="00250BEC">
        <w:rPr>
          <w:color w:val="000000" w:themeColor="text1"/>
          <w:highlight w:val="yellow"/>
          <w:shd w:val="clear" w:color="auto" w:fill="FFFFFF"/>
        </w:rPr>
        <w:br w:type="page"/>
      </w:r>
    </w:p>
    <w:p w14:paraId="6A8C75E4" w14:textId="77777777" w:rsidR="00250BEC" w:rsidRPr="00250BEC" w:rsidRDefault="00250BEC" w:rsidP="00250BEC">
      <w:pPr>
        <w:widowControl w:val="0"/>
        <w:ind w:firstLine="0"/>
        <w:jc w:val="center"/>
        <w:outlineLvl w:val="0"/>
        <w:rPr>
          <w:rFonts w:ascii="PT Astra Serif" w:eastAsia="PT Astra Serif" w:hAnsi="PT Astra Serif" w:cstheme="majorBidi"/>
          <w:b/>
          <w:color w:val="000000" w:themeColor="text1"/>
          <w:szCs w:val="28"/>
          <w:shd w:val="clear" w:color="auto" w:fill="FFFFFF"/>
          <w:lang w:eastAsia="ru-RU"/>
        </w:rPr>
      </w:pPr>
      <w:bookmarkStart w:id="55" w:name="_Toc225327539"/>
      <w:bookmarkStart w:id="56" w:name="_Toc226016711"/>
      <w:r w:rsidRPr="00250BEC">
        <w:rPr>
          <w:rFonts w:ascii="PT Astra Serif" w:eastAsia="PT Astra Serif" w:hAnsi="PT Astra Serif" w:cstheme="majorBidi"/>
          <w:b/>
          <w:color w:val="000000" w:themeColor="text1"/>
          <w:szCs w:val="28"/>
          <w:shd w:val="clear" w:color="auto" w:fill="FFFFFF"/>
          <w:lang w:eastAsia="ru-RU"/>
        </w:rPr>
        <w:lastRenderedPageBreak/>
        <w:t>КАДРОВАЯ ПОЛИТИКА В ИСПОЛНИТЕЛЬНЫХ ОРГАНАХ УЛЬЯНОВСКОЙ ОБЛАСТИ</w:t>
      </w:r>
      <w:bookmarkEnd w:id="55"/>
      <w:bookmarkEnd w:id="56"/>
    </w:p>
    <w:p w14:paraId="29939F4B" w14:textId="77777777" w:rsidR="00250BEC" w:rsidRPr="00250BEC" w:rsidRDefault="00250BEC" w:rsidP="00250BEC">
      <w:pPr>
        <w:widowControl w:val="0"/>
        <w:contextualSpacing/>
        <w:rPr>
          <w:rFonts w:ascii="PT Astra Serif" w:hAnsi="PT Astra Serif"/>
          <w:bCs/>
          <w:iCs/>
          <w:szCs w:val="28"/>
        </w:rPr>
      </w:pPr>
    </w:p>
    <w:p w14:paraId="1F52D691" w14:textId="77777777" w:rsidR="00250BEC" w:rsidRPr="00250BEC" w:rsidRDefault="00250BEC" w:rsidP="00250BEC">
      <w:pPr>
        <w:widowControl w:val="0"/>
        <w:ind w:firstLine="0"/>
        <w:contextualSpacing/>
        <w:jc w:val="center"/>
        <w:rPr>
          <w:rFonts w:ascii="PT Astra Serif" w:hAnsi="PT Astra Serif" w:cs="Times New Roman"/>
          <w:b/>
          <w:iCs/>
          <w:szCs w:val="28"/>
        </w:rPr>
      </w:pPr>
      <w:r w:rsidRPr="00250BEC">
        <w:rPr>
          <w:rFonts w:ascii="PT Astra Serif" w:hAnsi="PT Astra Serif" w:cs="Times New Roman"/>
          <w:b/>
          <w:iCs/>
          <w:szCs w:val="28"/>
        </w:rPr>
        <w:t xml:space="preserve">Краткая характеристика отрасли. </w:t>
      </w:r>
    </w:p>
    <w:p w14:paraId="47FE35BE" w14:textId="77777777" w:rsidR="00250BEC" w:rsidRPr="00250BEC" w:rsidRDefault="00250BEC" w:rsidP="00250BEC">
      <w:pPr>
        <w:widowControl w:val="0"/>
        <w:ind w:firstLine="0"/>
        <w:contextualSpacing/>
        <w:jc w:val="center"/>
        <w:rPr>
          <w:rFonts w:ascii="PT Astra Serif" w:hAnsi="PT Astra Serif" w:cs="Times New Roman"/>
          <w:b/>
          <w:iCs/>
          <w:szCs w:val="28"/>
        </w:rPr>
      </w:pPr>
      <w:r w:rsidRPr="00250BEC">
        <w:rPr>
          <w:rFonts w:ascii="PT Astra Serif" w:hAnsi="PT Astra Serif" w:cs="Times New Roman"/>
          <w:b/>
          <w:iCs/>
          <w:szCs w:val="28"/>
        </w:rPr>
        <w:t>Задачи 2025 года</w:t>
      </w:r>
    </w:p>
    <w:p w14:paraId="7E609548" w14:textId="77777777" w:rsidR="00250BEC" w:rsidRPr="00250BEC" w:rsidRDefault="00250BEC" w:rsidP="00250BEC">
      <w:pPr>
        <w:widowControl w:val="0"/>
        <w:contextualSpacing/>
        <w:rPr>
          <w:rFonts w:ascii="PT Astra Serif" w:hAnsi="PT Astra Serif" w:cs="Times New Roman"/>
          <w:bCs/>
          <w:iCs/>
          <w:szCs w:val="28"/>
        </w:rPr>
      </w:pPr>
    </w:p>
    <w:p w14:paraId="5A4BF480" w14:textId="77777777" w:rsidR="00250BEC" w:rsidRPr="00250BEC" w:rsidRDefault="00250BEC" w:rsidP="00250BEC">
      <w:pPr>
        <w:widowControl w:val="0"/>
        <w:contextualSpacing/>
        <w:rPr>
          <w:rFonts w:ascii="PT Astra Serif" w:hAnsi="PT Astra Serif" w:cs="Times New Roman"/>
          <w:bCs/>
          <w:iCs/>
          <w:szCs w:val="28"/>
        </w:rPr>
      </w:pPr>
      <w:r w:rsidRPr="00250BEC">
        <w:rPr>
          <w:rFonts w:ascii="PT Astra Serif" w:hAnsi="PT Astra Serif" w:cs="Times New Roman"/>
          <w:bCs/>
          <w:iCs/>
          <w:szCs w:val="28"/>
        </w:rPr>
        <w:t xml:space="preserve">В настоящее время </w:t>
      </w:r>
      <w:r w:rsidRPr="00250BEC">
        <w:rPr>
          <w:rFonts w:ascii="PT Astra Serif" w:hAnsi="PT Astra Serif" w:cs="Times New Roman"/>
          <w:b/>
          <w:iCs/>
          <w:szCs w:val="28"/>
        </w:rPr>
        <w:t>численность работников системы государственного управления Ульяновской области</w:t>
      </w:r>
      <w:r w:rsidRPr="00250BEC">
        <w:rPr>
          <w:rFonts w:ascii="PT Astra Serif" w:hAnsi="PT Astra Serif" w:cs="Times New Roman"/>
          <w:bCs/>
          <w:iCs/>
          <w:szCs w:val="28"/>
        </w:rPr>
        <w:t xml:space="preserve"> составляет 2 050 единиц, из которых: 87 ед. – государственные должности, 1 532 ед. – должности государственной гражданской службы, 431 ед. – должности, не отнесённые к должностям государственной службы. </w:t>
      </w:r>
    </w:p>
    <w:p w14:paraId="2EEFAA64" w14:textId="77777777" w:rsidR="00250BEC" w:rsidRPr="00250BEC" w:rsidRDefault="00250BEC" w:rsidP="00250BEC">
      <w:pPr>
        <w:widowControl w:val="0"/>
        <w:contextualSpacing/>
        <w:rPr>
          <w:rFonts w:ascii="PT Astra Serif" w:hAnsi="PT Astra Serif" w:cs="Times New Roman"/>
          <w:bCs/>
          <w:iCs/>
          <w:szCs w:val="28"/>
        </w:rPr>
      </w:pPr>
      <w:r w:rsidRPr="00250BEC">
        <w:rPr>
          <w:rFonts w:ascii="PT Astra Serif" w:hAnsi="PT Astra Serif" w:cs="Times New Roman"/>
          <w:bCs/>
          <w:iCs/>
          <w:szCs w:val="28"/>
        </w:rPr>
        <w:t>52% государственных служащих имеют стаж работы более 15 лет,</w:t>
      </w:r>
      <w:r w:rsidRPr="00250BEC">
        <w:rPr>
          <w:rFonts w:ascii="PT Astra Serif" w:hAnsi="PT Astra Serif" w:cs="Times New Roman"/>
          <w:bCs/>
          <w:iCs/>
          <w:szCs w:val="28"/>
        </w:rPr>
        <w:br/>
        <w:t>20 человек имеют степень кандидата наук и 21% государственных гражданских служащих - два и более высших образования.</w:t>
      </w:r>
    </w:p>
    <w:p w14:paraId="3B689AA4" w14:textId="77777777" w:rsidR="00250BEC" w:rsidRPr="00250BEC" w:rsidRDefault="00250BEC" w:rsidP="00250BEC">
      <w:pPr>
        <w:widowControl w:val="0"/>
        <w:contextualSpacing/>
        <w:rPr>
          <w:rFonts w:ascii="PT Astra Serif" w:hAnsi="PT Astra Serif" w:cs="Times New Roman"/>
          <w:bCs/>
          <w:iCs/>
          <w:szCs w:val="28"/>
        </w:rPr>
      </w:pPr>
      <w:r w:rsidRPr="00250BEC">
        <w:rPr>
          <w:rFonts w:ascii="PT Astra Serif" w:hAnsi="PT Astra Serif" w:cs="Times New Roman"/>
          <w:bCs/>
          <w:iCs/>
          <w:szCs w:val="28"/>
        </w:rPr>
        <w:t xml:space="preserve">Гендерный состав распределён следующим образом: 79,4% - женщины, 20,6% - мужчины. </w:t>
      </w:r>
    </w:p>
    <w:p w14:paraId="37015707" w14:textId="77777777" w:rsidR="00250BEC" w:rsidRPr="00250BEC" w:rsidRDefault="00250BEC" w:rsidP="00250BEC">
      <w:pPr>
        <w:widowControl w:val="0"/>
        <w:contextualSpacing/>
        <w:rPr>
          <w:rFonts w:ascii="PT Astra Serif" w:hAnsi="PT Astra Serif" w:cs="Times New Roman"/>
          <w:bCs/>
          <w:iCs/>
          <w:szCs w:val="28"/>
        </w:rPr>
      </w:pPr>
      <w:r w:rsidRPr="00250BEC">
        <w:rPr>
          <w:rFonts w:ascii="PT Astra Serif" w:hAnsi="PT Astra Serif" w:cs="Times New Roman"/>
          <w:bCs/>
          <w:iCs/>
          <w:szCs w:val="28"/>
        </w:rPr>
        <w:t>66,8% возрастного состава государственных служащих приходится на лиц в возрасте от 30 до 50 лет.</w:t>
      </w:r>
    </w:p>
    <w:p w14:paraId="49746C07"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b/>
          <w:bCs/>
          <w:iCs/>
          <w:szCs w:val="28"/>
        </w:rPr>
        <w:t>Общая штатная численность сотрудников органов местного самоуправления</w:t>
      </w:r>
      <w:r w:rsidRPr="00250BEC">
        <w:rPr>
          <w:rFonts w:ascii="PT Astra Serif" w:hAnsi="PT Astra Serif" w:cs="Times New Roman"/>
          <w:iCs/>
          <w:szCs w:val="28"/>
        </w:rPr>
        <w:t xml:space="preserve"> Ульяновской области составляет 3 566 единиц, из которых численность должностей муниципальной службы – 2 028 единицы, 1538 ед. – не отнесенных к должностям муниципальной службы. По образовательному уровню 94,0% муниципальных служащих имеет высшее образование (1 679 человек), по гендерному составу 20,5% приходится на мужчин и 79,5% составляют женщины. </w:t>
      </w:r>
    </w:p>
    <w:p w14:paraId="12612322"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По состоянию на 31.12.2025 количество государственных органов Ульяновской области составляет 25.</w:t>
      </w:r>
    </w:p>
    <w:p w14:paraId="338D99FB"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bCs/>
          <w:iCs/>
          <w:szCs w:val="28"/>
        </w:rPr>
        <w:t>Цель</w:t>
      </w:r>
      <w:r w:rsidRPr="00250BEC">
        <w:rPr>
          <w:rFonts w:ascii="PT Astra Serif" w:hAnsi="PT Astra Serif" w:cs="Times New Roman"/>
          <w:iCs/>
          <w:szCs w:val="28"/>
        </w:rPr>
        <w:t xml:space="preserve">, которая стоит перед кадровыми службами в органах государственного и муниципального управления Ульяновской области, </w:t>
      </w:r>
      <w:r w:rsidRPr="00250BEC">
        <w:rPr>
          <w:rFonts w:ascii="PT Astra Serif" w:hAnsi="PT Astra Serif" w:cs="Times New Roman"/>
          <w:iCs/>
          <w:szCs w:val="28"/>
        </w:rPr>
        <w:br/>
        <w:t xml:space="preserve">по-прежнему является </w:t>
      </w:r>
      <w:r w:rsidRPr="00250BEC">
        <w:rPr>
          <w:rFonts w:ascii="PT Astra Serif" w:hAnsi="PT Astra Serif" w:cs="PT Astra Serif"/>
          <w:iCs/>
          <w:szCs w:val="28"/>
        </w:rPr>
        <w:t xml:space="preserve">проведение эффективной кадровой политики </w:t>
      </w:r>
      <w:r w:rsidRPr="00250BEC">
        <w:rPr>
          <w:rFonts w:ascii="PT Astra Serif" w:hAnsi="PT Astra Serif" w:cs="PT Astra Serif"/>
          <w:iCs/>
          <w:szCs w:val="28"/>
        </w:rPr>
        <w:br/>
        <w:t xml:space="preserve">по развитию государственной гражданской службы Ульяновской области </w:t>
      </w:r>
      <w:r w:rsidRPr="00250BEC">
        <w:rPr>
          <w:rFonts w:ascii="PT Astra Serif" w:hAnsi="PT Astra Serif" w:cs="PT Astra Serif"/>
          <w:iCs/>
          <w:szCs w:val="28"/>
        </w:rPr>
        <w:br/>
        <w:t xml:space="preserve">и муниципальной службы в Ульяновской области и </w:t>
      </w:r>
      <w:r w:rsidRPr="00250BEC">
        <w:rPr>
          <w:rFonts w:ascii="PT Astra Serif" w:hAnsi="PT Astra Serif" w:cs="Times New Roman"/>
          <w:iCs/>
          <w:szCs w:val="28"/>
        </w:rPr>
        <w:t>внедрение опережающего кадрового обеспечения в соответствии с приоритетами Ульяновской области.</w:t>
      </w:r>
    </w:p>
    <w:p w14:paraId="5A5908B9"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 xml:space="preserve">Для достижения поставленной цели перед управлением по вопросам </w:t>
      </w:r>
      <w:r w:rsidRPr="00250BEC">
        <w:rPr>
          <w:rFonts w:ascii="PT Astra Serif" w:hAnsi="PT Astra Serif" w:cs="Times New Roman"/>
          <w:iCs/>
          <w:szCs w:val="28"/>
        </w:rPr>
        <w:br/>
        <w:t xml:space="preserve">государственной службы и кадров администрации Губернатора Ульяновской области были поставлены </w:t>
      </w:r>
      <w:r w:rsidRPr="00250BEC">
        <w:rPr>
          <w:rFonts w:ascii="PT Astra Serif" w:hAnsi="PT Astra Serif" w:cs="Times New Roman"/>
          <w:bCs/>
          <w:iCs/>
          <w:szCs w:val="28"/>
        </w:rPr>
        <w:t>следующие задачи</w:t>
      </w:r>
      <w:r w:rsidRPr="00250BEC">
        <w:rPr>
          <w:rFonts w:ascii="PT Astra Serif" w:hAnsi="PT Astra Serif" w:cs="Times New Roman"/>
          <w:iCs/>
          <w:szCs w:val="28"/>
        </w:rPr>
        <w:t>:</w:t>
      </w:r>
    </w:p>
    <w:p w14:paraId="24B0998B"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PT Astra Serif"/>
          <w:iCs/>
          <w:szCs w:val="28"/>
          <w:lang w:eastAsia="ru-RU"/>
        </w:rPr>
        <w:t xml:space="preserve">развитие и совершенствование кадрового потенциала гражданской </w:t>
      </w:r>
      <w:r w:rsidRPr="00250BEC">
        <w:rPr>
          <w:rFonts w:ascii="PT Astra Serif" w:eastAsia="Times New Roman" w:hAnsi="PT Astra Serif" w:cs="PT Astra Serif"/>
          <w:iCs/>
          <w:szCs w:val="28"/>
          <w:lang w:eastAsia="ru-RU"/>
        </w:rPr>
        <w:br/>
        <w:t xml:space="preserve">и муниципальной службы и профессиональной культуры в </w:t>
      </w:r>
      <w:r w:rsidRPr="00250BEC">
        <w:rPr>
          <w:rFonts w:ascii="PT Astra Serif" w:eastAsia="Times New Roman" w:hAnsi="PT Astra Serif" w:cs="Arial"/>
          <w:iCs/>
          <w:szCs w:val="28"/>
          <w:lang w:eastAsia="ru-RU"/>
        </w:rPr>
        <w:t>органах государственного и муниципального управления Ульяновской области</w:t>
      </w:r>
      <w:r w:rsidRPr="00250BEC">
        <w:rPr>
          <w:rFonts w:ascii="PT Astra Serif" w:eastAsia="Times New Roman" w:hAnsi="PT Astra Serif" w:cs="PT Astra Serif"/>
          <w:iCs/>
          <w:szCs w:val="28"/>
          <w:lang w:eastAsia="ru-RU"/>
        </w:rPr>
        <w:t>;</w:t>
      </w:r>
      <w:r w:rsidRPr="00250BEC">
        <w:rPr>
          <w:rFonts w:ascii="PT Astra Serif" w:eastAsia="Times New Roman" w:hAnsi="PT Astra Serif" w:cs="Arial"/>
          <w:iCs/>
          <w:szCs w:val="28"/>
          <w:lang w:eastAsia="ru-RU"/>
        </w:rPr>
        <w:t xml:space="preserve"> </w:t>
      </w:r>
    </w:p>
    <w:p w14:paraId="25FF3866"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создание целостной многоуровневой системы профессионального развития гражданских служащих;</w:t>
      </w:r>
    </w:p>
    <w:p w14:paraId="4B235ECC"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создание электронной государственной службы посредством внедрения федеральной государственной информационной системы в области государственной службы в целях цифровизации кадровых подразделений государственных органов;</w:t>
      </w:r>
    </w:p>
    <w:p w14:paraId="26F8855D"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lastRenderedPageBreak/>
        <w:t>внедрение механизмов кадрового подбора, учитывающих потребности органов государственного управления;</w:t>
      </w:r>
    </w:p>
    <w:p w14:paraId="2720FEAE"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внедрение современных кадровых технологий на гражданской службе;</w:t>
      </w:r>
    </w:p>
    <w:p w14:paraId="37D70E09"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внедрение программ мотивации и обеспечения должностного роста наиболее результативных гражданских служащих;</w:t>
      </w:r>
    </w:p>
    <w:p w14:paraId="50424B48"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 xml:space="preserve">создание правового механизма сохранения профессиональных кадров, обладающих специальными и уникальными знаниями и умениями </w:t>
      </w:r>
      <w:r w:rsidRPr="00250BEC">
        <w:rPr>
          <w:rFonts w:ascii="PT Astra Serif" w:eastAsia="Times New Roman" w:hAnsi="PT Astra Serif" w:cs="Arial"/>
          <w:iCs/>
          <w:szCs w:val="28"/>
          <w:lang w:eastAsia="ru-RU"/>
        </w:rPr>
        <w:br/>
        <w:t>в конкретной области профессиональной служебной деятельности;</w:t>
      </w:r>
    </w:p>
    <w:p w14:paraId="1A4EE519"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применение в кадровой работе принципов и стандартов клиентоцентричности;</w:t>
      </w:r>
    </w:p>
    <w:p w14:paraId="5FB79EB0"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PT Astra Serif"/>
          <w:iCs/>
          <w:szCs w:val="28"/>
        </w:rPr>
        <w:t>подготовка управленческих кадров для организаций народного хозяйства Российской Федерации на территории Ульяновской области.</w:t>
      </w:r>
    </w:p>
    <w:p w14:paraId="224F9F08"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bCs/>
          <w:iCs/>
          <w:szCs w:val="28"/>
        </w:rPr>
        <w:t>Основные направления</w:t>
      </w:r>
      <w:r w:rsidRPr="00250BEC">
        <w:rPr>
          <w:rFonts w:ascii="PT Astra Serif" w:hAnsi="PT Astra Serif" w:cs="Times New Roman"/>
          <w:iCs/>
          <w:szCs w:val="28"/>
        </w:rPr>
        <w:t xml:space="preserve"> развития государственной гражданской службы на 2025 год нашли отражение в ряде федеральных и региональных </w:t>
      </w:r>
      <w:r w:rsidRPr="00250BEC">
        <w:rPr>
          <w:rFonts w:ascii="PT Astra Serif" w:hAnsi="PT Astra Serif" w:cs="Times New Roman"/>
          <w:iCs/>
          <w:szCs w:val="28"/>
        </w:rPr>
        <w:br/>
        <w:t>документов, а именно:</w:t>
      </w:r>
    </w:p>
    <w:p w14:paraId="6394A842"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1. Федеральный закон от 27.07.2004 № 79-ФЗ «О государственной гражданской службе Российской Федерации».</w:t>
      </w:r>
    </w:p>
    <w:p w14:paraId="5907C836"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 xml:space="preserve">2. Указ Президента Российской Федерации от 23.07.1997 № 774 </w:t>
      </w:r>
      <w:r w:rsidRPr="00250BEC">
        <w:rPr>
          <w:rFonts w:ascii="PT Astra Serif" w:hAnsi="PT Astra Serif" w:cs="Times New Roman"/>
          <w:iCs/>
          <w:szCs w:val="28"/>
        </w:rPr>
        <w:br/>
        <w:t>«О подготовке управленческих кадров для организаций народного хозяйства Российской Федерации».</w:t>
      </w:r>
    </w:p>
    <w:p w14:paraId="1A98B076" w14:textId="77777777" w:rsidR="00250BEC" w:rsidRPr="00250BEC" w:rsidRDefault="00250BEC" w:rsidP="00250BEC">
      <w:pPr>
        <w:widowControl w:val="0"/>
        <w:rPr>
          <w:rFonts w:ascii="PT Astra Serif" w:hAnsi="PT Astra Serif" w:cs="Times New Roman"/>
          <w:szCs w:val="28"/>
        </w:rPr>
      </w:pPr>
      <w:r w:rsidRPr="00250BEC">
        <w:rPr>
          <w:rFonts w:ascii="PT Astra Serif" w:hAnsi="PT Astra Serif" w:cs="Times New Roman"/>
          <w:szCs w:val="28"/>
        </w:rPr>
        <w:t xml:space="preserve">3. Постановление Правительства Ульяновской области от 30.11.2023 </w:t>
      </w:r>
      <w:r w:rsidRPr="00250BEC">
        <w:rPr>
          <w:rFonts w:ascii="PT Astra Serif" w:hAnsi="PT Astra Serif" w:cs="Times New Roman"/>
          <w:szCs w:val="28"/>
        </w:rPr>
        <w:br/>
        <w:t>№ 32/643-П «Об утверждении государственной программы Ульяновской области «Развитие государственного управления в Ульяновской области».</w:t>
      </w:r>
    </w:p>
    <w:p w14:paraId="6EB66778" w14:textId="77777777" w:rsidR="00250BEC" w:rsidRPr="00250BEC" w:rsidRDefault="00250BEC" w:rsidP="00250BEC">
      <w:pPr>
        <w:widowControl w:val="0"/>
        <w:rPr>
          <w:rFonts w:ascii="PT Astra Serif" w:hAnsi="PT Astra Serif" w:cs="Times New Roman"/>
          <w:iCs/>
          <w:szCs w:val="28"/>
        </w:rPr>
      </w:pPr>
      <w:r w:rsidRPr="00250BEC">
        <w:rPr>
          <w:rFonts w:ascii="PT Astra Serif" w:hAnsi="PT Astra Serif" w:cs="Times New Roman"/>
          <w:szCs w:val="28"/>
        </w:rPr>
        <w:t xml:space="preserve">4. </w:t>
      </w:r>
      <w:r w:rsidRPr="00250BEC">
        <w:rPr>
          <w:rFonts w:ascii="PT Astra Serif" w:hAnsi="PT Astra Serif" w:cs="Times New Roman"/>
          <w:iCs/>
          <w:szCs w:val="28"/>
        </w:rPr>
        <w:t>Ф</w:t>
      </w:r>
      <w:r w:rsidRPr="00250BEC">
        <w:rPr>
          <w:rFonts w:ascii="PT Astra Serif" w:hAnsi="PT Astra Serif" w:cs="Times New Roman"/>
          <w:szCs w:val="28"/>
        </w:rPr>
        <w:t>едеральный</w:t>
      </w:r>
      <w:r w:rsidRPr="00250BEC">
        <w:rPr>
          <w:rFonts w:ascii="PT Astra Serif" w:hAnsi="PT Astra Serif" w:cs="Times New Roman"/>
          <w:iCs/>
          <w:szCs w:val="28"/>
        </w:rPr>
        <w:t xml:space="preserve"> проект «Государство для людей».</w:t>
      </w:r>
    </w:p>
    <w:p w14:paraId="66AC672B" w14:textId="77777777" w:rsidR="00250BEC" w:rsidRPr="00250BEC" w:rsidRDefault="00250BEC" w:rsidP="00250BEC">
      <w:pPr>
        <w:widowControl w:val="0"/>
        <w:rPr>
          <w:rFonts w:ascii="PT Astra Serif" w:hAnsi="PT Astra Serif" w:cs="Times New Roman"/>
          <w:iCs/>
          <w:szCs w:val="28"/>
        </w:rPr>
      </w:pPr>
      <w:r w:rsidRPr="00250BEC">
        <w:rPr>
          <w:rFonts w:ascii="PT Astra Serif" w:hAnsi="PT Astra Serif" w:cs="Times New Roman"/>
          <w:iCs/>
          <w:szCs w:val="28"/>
        </w:rPr>
        <w:t>5. Распоряжение Правительства РФ от 06.10.2021 № 2816-р «Об утверждении перечня инициатив социально-экономического развития Российской Федерации до 2030 года».</w:t>
      </w:r>
    </w:p>
    <w:p w14:paraId="7EFED122"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 xml:space="preserve">6. Распоряжение Губернатора Ульяновской области от 01.08.2019 </w:t>
      </w:r>
      <w:r w:rsidRPr="00250BEC">
        <w:rPr>
          <w:rFonts w:ascii="PT Astra Serif" w:hAnsi="PT Astra Serif" w:cs="Times New Roman"/>
          <w:iCs/>
          <w:szCs w:val="28"/>
        </w:rPr>
        <w:br/>
        <w:t xml:space="preserve">№ 876-р «Об утверждении Стратегии развития инновационных кадровых </w:t>
      </w:r>
      <w:r w:rsidRPr="00250BEC">
        <w:rPr>
          <w:rFonts w:ascii="PT Astra Serif" w:hAnsi="PT Astra Serif" w:cs="Times New Roman"/>
          <w:iCs/>
          <w:szCs w:val="28"/>
        </w:rPr>
        <w:br/>
        <w:t xml:space="preserve">технологий и корпоративной культуры в системе государственной гражданской службы Ульяновской области и муниципальной службы </w:t>
      </w:r>
      <w:r w:rsidRPr="00250BEC">
        <w:rPr>
          <w:rFonts w:ascii="PT Astra Serif" w:hAnsi="PT Astra Serif" w:cs="Times New Roman"/>
          <w:iCs/>
          <w:szCs w:val="28"/>
        </w:rPr>
        <w:br/>
        <w:t>в Ульяновской области до 2030 года».</w:t>
      </w:r>
    </w:p>
    <w:p w14:paraId="10A9F081"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 xml:space="preserve">7. Декларация ценностей клиентоцентричности. </w:t>
      </w:r>
    </w:p>
    <w:p w14:paraId="627C2EBF" w14:textId="77777777" w:rsidR="00250BEC" w:rsidRPr="00250BEC" w:rsidRDefault="00250BEC" w:rsidP="00250BEC">
      <w:pPr>
        <w:widowControl w:val="0"/>
        <w:contextualSpacing/>
        <w:rPr>
          <w:rFonts w:ascii="PT Astra Serif" w:hAnsi="PT Astra Serif" w:cs="Times New Roman"/>
          <w:bCs/>
          <w:iCs/>
          <w:szCs w:val="28"/>
        </w:rPr>
      </w:pPr>
      <w:r w:rsidRPr="00250BEC">
        <w:rPr>
          <w:rFonts w:ascii="PT Astra Serif" w:hAnsi="PT Astra Serif" w:cs="Times New Roman"/>
          <w:iCs/>
          <w:szCs w:val="28"/>
        </w:rPr>
        <w:t xml:space="preserve">8. </w:t>
      </w:r>
      <w:bookmarkStart w:id="57" w:name="_Hlk98927961"/>
      <w:r w:rsidRPr="00250BEC">
        <w:rPr>
          <w:rFonts w:ascii="PT Astra Serif" w:hAnsi="PT Astra Serif" w:cs="Times New Roman"/>
          <w:iCs/>
          <w:szCs w:val="28"/>
        </w:rPr>
        <w:t>Распоряжение Губернатора Ульяновской области от 13.12.2022 № 1275-р «</w:t>
      </w:r>
      <w:r w:rsidRPr="00250BEC">
        <w:rPr>
          <w:rFonts w:ascii="PT Astra Serif" w:hAnsi="PT Astra Serif" w:cs="Times New Roman"/>
          <w:bCs/>
          <w:iCs/>
          <w:szCs w:val="28"/>
        </w:rPr>
        <w:t>О формировании и развитии профессиональной культуры</w:t>
      </w:r>
      <w:bookmarkEnd w:id="57"/>
      <w:r w:rsidRPr="00250BEC">
        <w:rPr>
          <w:rFonts w:ascii="PT Astra Serif" w:hAnsi="PT Astra Serif" w:cs="Times New Roman"/>
          <w:bCs/>
          <w:iCs/>
          <w:szCs w:val="28"/>
        </w:rPr>
        <w:t xml:space="preserve"> </w:t>
      </w:r>
      <w:r w:rsidRPr="00250BEC">
        <w:rPr>
          <w:rFonts w:ascii="PT Astra Serif" w:hAnsi="PT Astra Serif" w:cs="Times New Roman"/>
          <w:bCs/>
          <w:iCs/>
          <w:szCs w:val="28"/>
        </w:rPr>
        <w:br/>
        <w:t>в Правительстве Ульяновской области, возглавляемых им исполнительных органах Ульяновской области и подведомственных им организациях».</w:t>
      </w:r>
    </w:p>
    <w:p w14:paraId="511A43D5" w14:textId="77777777" w:rsidR="00250BEC" w:rsidRPr="00250BEC" w:rsidRDefault="00250BEC" w:rsidP="00250BEC">
      <w:pPr>
        <w:widowControl w:val="0"/>
        <w:contextualSpacing/>
        <w:rPr>
          <w:rFonts w:ascii="PT Astra Serif" w:hAnsi="PT Astra Serif" w:cs="Times New Roman"/>
          <w:iCs/>
          <w:szCs w:val="28"/>
        </w:rPr>
      </w:pPr>
      <w:r w:rsidRPr="00250BEC">
        <w:rPr>
          <w:rFonts w:ascii="PT Astra Serif" w:hAnsi="PT Astra Serif" w:cs="Times New Roman"/>
          <w:iCs/>
          <w:szCs w:val="28"/>
        </w:rPr>
        <w:t xml:space="preserve">В целях реализации обозначенных направлений в рамках государственной программы Ульяновской области «Развитие государственного управления в Ульяновской области», утверждённой постановлением Правительства Ульяновской области от 30.11.2023 </w:t>
      </w:r>
      <w:r w:rsidRPr="00250BEC">
        <w:rPr>
          <w:rFonts w:ascii="PT Astra Serif" w:hAnsi="PT Astra Serif" w:cs="Times New Roman"/>
          <w:iCs/>
          <w:szCs w:val="28"/>
        </w:rPr>
        <w:br/>
        <w:t xml:space="preserve">№ 32/643-П «Об утверждении государственной программы Ульяновской области «Развитие государственного управления в Ульяновской области», </w:t>
      </w:r>
      <w:r w:rsidRPr="00250BEC">
        <w:rPr>
          <w:rFonts w:ascii="PT Astra Serif" w:hAnsi="PT Astra Serif" w:cs="Times New Roman"/>
          <w:iCs/>
          <w:szCs w:val="28"/>
        </w:rPr>
        <w:br/>
        <w:t xml:space="preserve">в 2025 году общий </w:t>
      </w:r>
      <w:r w:rsidRPr="00250BEC">
        <w:rPr>
          <w:rFonts w:ascii="PT Astra Serif" w:hAnsi="PT Astra Serif" w:cs="Times New Roman"/>
          <w:b/>
          <w:bCs/>
          <w:iCs/>
          <w:szCs w:val="28"/>
        </w:rPr>
        <w:t>объём бюджетных ассигнований на финансовое обеспечение</w:t>
      </w:r>
      <w:r w:rsidRPr="00250BEC">
        <w:rPr>
          <w:rFonts w:ascii="PT Astra Serif" w:hAnsi="PT Astra Serif" w:cs="Times New Roman"/>
          <w:iCs/>
          <w:szCs w:val="28"/>
        </w:rPr>
        <w:t xml:space="preserve"> государственной программы составил:</w:t>
      </w:r>
    </w:p>
    <w:p w14:paraId="77A9122D" w14:textId="77777777" w:rsidR="00250BEC" w:rsidRPr="00250BEC" w:rsidRDefault="00250BEC" w:rsidP="00250BEC">
      <w:pPr>
        <w:widowControl w:val="0"/>
        <w:contextualSpacing/>
        <w:rPr>
          <w:rFonts w:ascii="PT Astra Serif" w:hAnsi="PT Astra Serif" w:cs="PT Astra Serif"/>
          <w:iCs/>
          <w:szCs w:val="28"/>
        </w:rPr>
      </w:pPr>
      <w:r w:rsidRPr="00250BEC">
        <w:rPr>
          <w:rFonts w:ascii="PT Astra Serif" w:hAnsi="PT Astra Serif" w:cs="PT Astra Serif"/>
          <w:iCs/>
          <w:szCs w:val="28"/>
        </w:rPr>
        <w:lastRenderedPageBreak/>
        <w:t xml:space="preserve">1 117,08087 тыс. рублей – </w:t>
      </w:r>
      <w:r w:rsidRPr="00250BEC">
        <w:rPr>
          <w:rFonts w:ascii="PT Astra Serif" w:hAnsi="PT Astra Serif" w:cs="Times New Roman"/>
          <w:iCs/>
          <w:szCs w:val="28"/>
        </w:rPr>
        <w:t>по разделу «С</w:t>
      </w:r>
      <w:r w:rsidRPr="00250BEC">
        <w:rPr>
          <w:rFonts w:ascii="PT Astra Serif" w:hAnsi="PT Astra Serif" w:cs="PT Astra Serif"/>
          <w:iCs/>
          <w:szCs w:val="28"/>
        </w:rPr>
        <w:t xml:space="preserve">овершенствование кадровой работы в системе государственного и муниципального управления </w:t>
      </w:r>
      <w:r w:rsidRPr="00250BEC">
        <w:rPr>
          <w:rFonts w:ascii="PT Astra Serif" w:hAnsi="PT Astra Serif" w:cs="PT Astra Serif"/>
          <w:iCs/>
          <w:szCs w:val="28"/>
        </w:rPr>
        <w:br/>
        <w:t>в Ульяновской области»;</w:t>
      </w:r>
    </w:p>
    <w:p w14:paraId="2C2B3359" w14:textId="77777777" w:rsidR="00250BEC" w:rsidRPr="00250BEC" w:rsidRDefault="00250BEC" w:rsidP="00250BEC">
      <w:pPr>
        <w:widowControl w:val="0"/>
        <w:contextualSpacing/>
        <w:rPr>
          <w:rFonts w:ascii="PT Astra Serif" w:hAnsi="PT Astra Serif" w:cs="PT Astra Serif"/>
          <w:iCs/>
          <w:szCs w:val="28"/>
        </w:rPr>
      </w:pPr>
      <w:r w:rsidRPr="00250BEC">
        <w:rPr>
          <w:rFonts w:ascii="PT Astra Serif" w:hAnsi="PT Astra Serif" w:cs="PT Astra Serif"/>
          <w:iCs/>
          <w:szCs w:val="28"/>
        </w:rPr>
        <w:t>2 144,34 тыс. рублей – по разделу «Реализация государственного плана подготовки управленческих кадров для организаций народного хозяйства Российской Федерации на территории Ульяновской области» (в том числе: ассигнования областного бюджета – 1 016,34 тыс. рублей, ассигнования федерального бюджета – 1 128,0 тыс. рублей).</w:t>
      </w:r>
    </w:p>
    <w:p w14:paraId="105D9F7F" w14:textId="77777777" w:rsidR="00250BEC" w:rsidRPr="00250BEC" w:rsidRDefault="00250BEC" w:rsidP="00250BEC">
      <w:pPr>
        <w:widowControl w:val="0"/>
        <w:contextualSpacing/>
        <w:rPr>
          <w:rFonts w:ascii="PT Astra Serif" w:hAnsi="PT Astra Serif" w:cs="Times New Roman"/>
          <w:iCs/>
          <w:szCs w:val="28"/>
        </w:rPr>
      </w:pPr>
    </w:p>
    <w:p w14:paraId="72BC8D85" w14:textId="77777777" w:rsidR="00250BEC" w:rsidRPr="00250BEC" w:rsidRDefault="00250BEC" w:rsidP="00250BEC">
      <w:pPr>
        <w:widowControl w:val="0"/>
        <w:ind w:firstLine="0"/>
        <w:contextualSpacing/>
        <w:jc w:val="center"/>
        <w:rPr>
          <w:rFonts w:ascii="PT Astra Serif" w:hAnsi="PT Astra Serif" w:cs="Times New Roman"/>
          <w:b/>
          <w:bCs/>
          <w:iCs/>
          <w:szCs w:val="28"/>
        </w:rPr>
      </w:pPr>
      <w:r w:rsidRPr="00250BEC">
        <w:rPr>
          <w:rFonts w:ascii="PT Astra Serif" w:hAnsi="PT Astra Serif" w:cs="Times New Roman"/>
          <w:b/>
          <w:bCs/>
          <w:iCs/>
          <w:szCs w:val="28"/>
        </w:rPr>
        <w:t>Достигнутые результаты в рамках решения задач</w:t>
      </w:r>
    </w:p>
    <w:p w14:paraId="468E24F9" w14:textId="77777777" w:rsidR="00250BEC" w:rsidRPr="00250BEC" w:rsidRDefault="00250BEC" w:rsidP="00250BEC">
      <w:pPr>
        <w:widowControl w:val="0"/>
        <w:autoSpaceDE w:val="0"/>
        <w:autoSpaceDN w:val="0"/>
        <w:adjustRightInd w:val="0"/>
        <w:contextualSpacing/>
        <w:rPr>
          <w:rFonts w:ascii="PT Astra Serif" w:eastAsia="Times New Roman" w:hAnsi="PT Astra Serif" w:cs="PT Astra Serif"/>
          <w:b/>
          <w:bCs/>
          <w:iCs/>
          <w:szCs w:val="28"/>
          <w:lang w:eastAsia="ru-RU"/>
        </w:rPr>
      </w:pPr>
    </w:p>
    <w:p w14:paraId="562D2F76"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PT Astra Serif"/>
          <w:b/>
          <w:bCs/>
          <w:iCs/>
          <w:szCs w:val="28"/>
          <w:lang w:eastAsia="ru-RU"/>
        </w:rPr>
        <w:t>Развитие и совершенствование кадрового потенциала гражданской и муниципальной службы;</w:t>
      </w:r>
      <w:r w:rsidRPr="00250BEC">
        <w:rPr>
          <w:rFonts w:ascii="PT Astra Serif" w:eastAsia="Times New Roman" w:hAnsi="PT Astra Serif" w:cs="Arial"/>
          <w:b/>
          <w:bCs/>
          <w:iCs/>
          <w:szCs w:val="28"/>
          <w:lang w:eastAsia="ru-RU"/>
        </w:rPr>
        <w:t xml:space="preserve"> создание целостной многоуровневой системы профессионального развития гражданских служащих</w:t>
      </w:r>
      <w:r w:rsidRPr="00250BEC">
        <w:rPr>
          <w:rFonts w:ascii="PT Astra Serif" w:eastAsia="Times New Roman" w:hAnsi="PT Astra Serif" w:cs="Arial"/>
          <w:iCs/>
          <w:szCs w:val="28"/>
          <w:lang w:eastAsia="ru-RU"/>
        </w:rPr>
        <w:t>.</w:t>
      </w:r>
    </w:p>
    <w:p w14:paraId="1E8294E4" w14:textId="77777777" w:rsidR="00250BEC" w:rsidRPr="00250BEC" w:rsidRDefault="00250BEC" w:rsidP="00250BEC">
      <w:pPr>
        <w:widowControl w:val="0"/>
        <w:shd w:val="clear" w:color="auto" w:fill="FFFFFF"/>
        <w:tabs>
          <w:tab w:val="left" w:pos="1175"/>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В 2025 году компетенции в рамках профессионального развития повысили 5 701 работник системы государственного и муниципального управления, из них:</w:t>
      </w:r>
    </w:p>
    <w:p w14:paraId="1296AC33" w14:textId="77777777" w:rsidR="00250BEC" w:rsidRPr="00250BEC" w:rsidRDefault="00250BEC" w:rsidP="00250BEC">
      <w:pPr>
        <w:widowControl w:val="0"/>
        <w:shd w:val="clear" w:color="auto" w:fill="FFFFFF"/>
        <w:tabs>
          <w:tab w:val="left" w:pos="720"/>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355 государственных гражданских служащих прошли курсы повышения квалификации и 18 – профессиональную переподготовку;</w:t>
      </w:r>
    </w:p>
    <w:p w14:paraId="3958CAF0" w14:textId="77777777" w:rsidR="00250BEC" w:rsidRPr="00250BEC" w:rsidRDefault="00250BEC" w:rsidP="00250BEC">
      <w:pPr>
        <w:widowControl w:val="0"/>
        <w:shd w:val="clear" w:color="auto" w:fill="FFFFFF"/>
        <w:tabs>
          <w:tab w:val="left" w:pos="720"/>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2029 государственных гражданских служащих и работников органов власти – прошли краткосрочное обучение;</w:t>
      </w:r>
    </w:p>
    <w:p w14:paraId="1E6E2BB0" w14:textId="77777777" w:rsidR="00250BEC" w:rsidRPr="00250BEC" w:rsidRDefault="00250BEC" w:rsidP="00250BEC">
      <w:pPr>
        <w:widowControl w:val="0"/>
        <w:shd w:val="clear" w:color="auto" w:fill="FFFFFF"/>
        <w:tabs>
          <w:tab w:val="left" w:pos="0"/>
          <w:tab w:val="left" w:pos="720"/>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 xml:space="preserve">431 муниципальных служащих прошли курсы повышения квалификации; </w:t>
      </w:r>
    </w:p>
    <w:p w14:paraId="038EB1E5" w14:textId="77777777" w:rsidR="00250BEC" w:rsidRPr="00250BEC" w:rsidRDefault="00250BEC" w:rsidP="00250BEC">
      <w:pPr>
        <w:widowControl w:val="0"/>
        <w:shd w:val="clear" w:color="auto" w:fill="FFFFFF"/>
        <w:tabs>
          <w:tab w:val="left" w:pos="0"/>
          <w:tab w:val="left" w:pos="720"/>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28 муниципальных служащих профессиональную переподготовку;</w:t>
      </w:r>
    </w:p>
    <w:p w14:paraId="144B3F17" w14:textId="77777777" w:rsidR="00250BEC" w:rsidRPr="00250BEC" w:rsidRDefault="00250BEC" w:rsidP="00250BEC">
      <w:pPr>
        <w:widowControl w:val="0"/>
        <w:shd w:val="clear" w:color="auto" w:fill="FFFFFF"/>
        <w:tabs>
          <w:tab w:val="left" w:pos="0"/>
          <w:tab w:val="left" w:pos="720"/>
          <w:tab w:val="left" w:pos="993"/>
        </w:tabs>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2 840 муниципальных служащих (работников) – краткосрочное обучение.</w:t>
      </w:r>
    </w:p>
    <w:p w14:paraId="25BFFEDE" w14:textId="77777777" w:rsidR="00250BEC" w:rsidRPr="00250BEC" w:rsidRDefault="00250BEC" w:rsidP="00250BEC">
      <w:pPr>
        <w:widowControl w:val="0"/>
        <w:shd w:val="clear" w:color="auto" w:fill="FFFFFF"/>
        <w:tabs>
          <w:tab w:val="left" w:pos="709"/>
        </w:tabs>
        <w:contextualSpacing/>
        <w:rPr>
          <w:rFonts w:ascii="PT Astra Serif" w:hAnsi="PT Astra Serif" w:cs="Times New Roman"/>
          <w:iCs/>
          <w:color w:val="000000"/>
          <w:szCs w:val="28"/>
        </w:rPr>
      </w:pPr>
      <w:r w:rsidRPr="00250BEC">
        <w:rPr>
          <w:rFonts w:ascii="PT Astra Serif" w:eastAsia="Times New Roman" w:hAnsi="PT Astra Serif" w:cs="Times New Roman"/>
          <w:szCs w:val="28"/>
          <w:lang w:eastAsia="ru-RU"/>
        </w:rPr>
        <w:t xml:space="preserve">Объём бюджетных средств, израсходованных за 2025 год на мероприятия по профессиональному развитию государственных гражданских служащих в рамках Госпрограммы, </w:t>
      </w:r>
      <w:r w:rsidRPr="00250BEC">
        <w:rPr>
          <w:rFonts w:ascii="PT Astra Serif" w:hAnsi="PT Astra Serif" w:cs="Times New Roman"/>
          <w:iCs/>
          <w:color w:val="000000"/>
          <w:szCs w:val="28"/>
        </w:rPr>
        <w:t>составил 850520 рублей.</w:t>
      </w:r>
    </w:p>
    <w:p w14:paraId="51A15640"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b/>
          <w:bCs/>
          <w:iCs/>
          <w:szCs w:val="28"/>
          <w:lang w:eastAsia="ru-RU"/>
        </w:rPr>
      </w:pPr>
      <w:r w:rsidRPr="00250BEC">
        <w:rPr>
          <w:rFonts w:ascii="PT Astra Serif" w:eastAsia="Times New Roman" w:hAnsi="PT Astra Serif" w:cs="Arial"/>
          <w:b/>
          <w:bCs/>
          <w:iCs/>
          <w:szCs w:val="28"/>
          <w:lang w:eastAsia="ru-RU"/>
        </w:rPr>
        <w:t xml:space="preserve">Создание электронной государственной службы посредством внедрения федеральной государственной информационной системы </w:t>
      </w:r>
      <w:r w:rsidRPr="00250BEC">
        <w:rPr>
          <w:rFonts w:ascii="PT Astra Serif" w:eastAsia="Times New Roman" w:hAnsi="PT Astra Serif" w:cs="Arial"/>
          <w:b/>
          <w:bCs/>
          <w:iCs/>
          <w:szCs w:val="28"/>
          <w:lang w:eastAsia="ru-RU"/>
        </w:rPr>
        <w:br/>
        <w:t>в области государственной службы в целях цифровизации кадровых подразделений государственных органов, формирования интерактивной аналитики по вопросам государственной службы.</w:t>
      </w:r>
    </w:p>
    <w:p w14:paraId="3576B9A8" w14:textId="77777777" w:rsidR="00250BEC" w:rsidRPr="00250BEC" w:rsidRDefault="00250BEC" w:rsidP="00250BEC">
      <w:pPr>
        <w:widowControl w:val="0"/>
        <w:autoSpaceDE w:val="0"/>
        <w:autoSpaceDN w:val="0"/>
        <w:adjustRightInd w:val="0"/>
        <w:contextualSpacing/>
        <w:rPr>
          <w:rFonts w:ascii="PT Astra Serif" w:hAnsi="PT Astra Serif" w:cs="PT Astra Serif"/>
          <w:iCs/>
          <w:szCs w:val="28"/>
        </w:rPr>
      </w:pPr>
      <w:r w:rsidRPr="00250BEC">
        <w:rPr>
          <w:rFonts w:ascii="PT Astra Serif" w:hAnsi="PT Astra Serif" w:cs="Times New Roman"/>
          <w:iCs/>
          <w:spacing w:val="-4"/>
          <w:szCs w:val="28"/>
        </w:rPr>
        <w:t>В настоящее время основной формой внедрения современных технологий, направленных на развитие кадровой работы, является использование</w:t>
      </w:r>
      <w:r w:rsidRPr="00250BEC">
        <w:rPr>
          <w:rFonts w:ascii="PT Astra Serif" w:hAnsi="PT Astra Serif" w:cs="Times New Roman"/>
          <w:iCs/>
          <w:szCs w:val="28"/>
        </w:rPr>
        <w:t xml:space="preserve"> </w:t>
      </w:r>
      <w:r w:rsidRPr="00250BEC">
        <w:rPr>
          <w:rFonts w:ascii="PT Astra Serif" w:hAnsi="PT Astra Serif" w:cs="PT Astra Serif"/>
          <w:iCs/>
          <w:szCs w:val="28"/>
        </w:rPr>
        <w:t>федеральной государственной информационной системы в области государственной гражданской службы.</w:t>
      </w:r>
    </w:p>
    <w:p w14:paraId="26BD24CB" w14:textId="77777777" w:rsidR="00250BEC" w:rsidRPr="00250BEC" w:rsidRDefault="00250BEC" w:rsidP="00250BEC">
      <w:pPr>
        <w:widowControl w:val="0"/>
        <w:shd w:val="clear" w:color="auto" w:fill="FFFFFF"/>
        <w:contextualSpacing/>
        <w:rPr>
          <w:rFonts w:ascii="PT Astra Serif" w:hAnsi="PT Astra Serif" w:cs="Times New Roman"/>
          <w:iCs/>
          <w:szCs w:val="28"/>
        </w:rPr>
      </w:pPr>
      <w:r w:rsidRPr="00250BEC">
        <w:rPr>
          <w:rFonts w:ascii="PT Astra Serif" w:hAnsi="PT Astra Serif" w:cs="Times New Roman"/>
          <w:iCs/>
          <w:szCs w:val="28"/>
        </w:rPr>
        <w:t xml:space="preserve">Единая федеральная государственная информационная система «Федеральный портал государственной службы и управленческих кадров» используется с целью обеспечения доступа к информации о деятельности государственных органов и органов местного самоуправления. В данной системе размещается информация о кадровом обеспечении органов власти: сведения о вакантных должностях муниципальной службы, квалификационные требования к кандидатам, условия и результаты </w:t>
      </w:r>
      <w:r w:rsidRPr="00250BEC">
        <w:rPr>
          <w:rFonts w:ascii="PT Astra Serif" w:hAnsi="PT Astra Serif" w:cs="Times New Roman"/>
          <w:iCs/>
          <w:szCs w:val="28"/>
        </w:rPr>
        <w:lastRenderedPageBreak/>
        <w:t>конкурсов, номера телефонов, по которым можно получить информацию по вопросу замещения вакантных должностей и др.</w:t>
      </w:r>
    </w:p>
    <w:p w14:paraId="41395384"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В 2025 году размещено сведений о вакантных должностях в базе данных федеральной государственной информационной системы «Единая информационная система управления кадровым составом»:</w:t>
      </w:r>
    </w:p>
    <w:p w14:paraId="4F45CBA4"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количество открытых вакансий – 76 (2024 год – 91, 2023 год – 103, 2022 год – 91);</w:t>
      </w:r>
    </w:p>
    <w:p w14:paraId="43A22081"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количество открытых конкурсов на включение в кадровый резерв – 44 (2024 год – 74, 2023 год – 73, 2022 год – 77);</w:t>
      </w:r>
    </w:p>
    <w:p w14:paraId="3DC5CB1B"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Количество откликов – 3 чел., (2024 год – 24 чел., 2023 год – 29 чел., 2022 год – 30 чел.).</w:t>
      </w:r>
    </w:p>
    <w:p w14:paraId="680DA745" w14:textId="77777777" w:rsidR="00250BEC" w:rsidRPr="00250BEC" w:rsidRDefault="00250BEC" w:rsidP="00250BEC">
      <w:pPr>
        <w:widowControl w:val="0"/>
        <w:shd w:val="clear" w:color="auto" w:fill="FFFFFF"/>
        <w:contextualSpacing/>
        <w:rPr>
          <w:rFonts w:ascii="PT Astra Serif" w:hAnsi="PT Astra Serif" w:cs="Times New Roman"/>
          <w:iCs/>
          <w:szCs w:val="28"/>
        </w:rPr>
      </w:pPr>
      <w:r w:rsidRPr="00250BEC">
        <w:rPr>
          <w:rFonts w:ascii="PT Astra Serif" w:hAnsi="PT Astra Serif" w:cs="Times New Roman"/>
          <w:iCs/>
          <w:szCs w:val="28"/>
        </w:rPr>
        <w:t>Дополнительно в базу данных федеральной государственной информационной системы внесена информация о независимых экспертах, которые входят в составы конкурсные и аттестационные комиссии исполнительных органов государственной власти Ульяновской области.</w:t>
      </w:r>
    </w:p>
    <w:p w14:paraId="6ED6E173" w14:textId="77777777" w:rsidR="00250BEC" w:rsidRPr="00250BEC" w:rsidRDefault="00250BEC" w:rsidP="00250BEC">
      <w:pPr>
        <w:widowControl w:val="0"/>
        <w:autoSpaceDE w:val="0"/>
        <w:autoSpaceDN w:val="0"/>
        <w:adjustRightInd w:val="0"/>
        <w:contextualSpacing/>
        <w:rPr>
          <w:rFonts w:ascii="PT Astra Serif" w:hAnsi="PT Astra Serif" w:cs="Times New Roman"/>
          <w:iCs/>
          <w:szCs w:val="28"/>
        </w:rPr>
      </w:pPr>
      <w:r w:rsidRPr="00250BEC">
        <w:rPr>
          <w:rFonts w:ascii="PT Astra Serif" w:hAnsi="PT Astra Serif" w:cs="Times New Roman"/>
          <w:iCs/>
          <w:szCs w:val="28"/>
        </w:rPr>
        <w:t>Вместе с тем отмечается, что в Ульяновской области в течение длительного времени реализуются иные направления цифровой трансформации в области организации кадровой работы.</w:t>
      </w:r>
    </w:p>
    <w:p w14:paraId="4493DB62" w14:textId="77777777" w:rsidR="00250BEC" w:rsidRPr="00250BEC" w:rsidRDefault="00250BEC" w:rsidP="00250BEC">
      <w:pPr>
        <w:widowControl w:val="0"/>
        <w:autoSpaceDE w:val="0"/>
        <w:autoSpaceDN w:val="0"/>
        <w:adjustRightInd w:val="0"/>
        <w:contextualSpacing/>
        <w:rPr>
          <w:rFonts w:ascii="PT Astra Serif" w:hAnsi="PT Astra Serif" w:cs="Times New Roman"/>
          <w:iCs/>
          <w:szCs w:val="28"/>
        </w:rPr>
      </w:pPr>
      <w:r w:rsidRPr="00250BEC">
        <w:rPr>
          <w:rFonts w:ascii="PT Astra Serif" w:hAnsi="PT Astra Serif" w:cs="Times New Roman"/>
          <w:iCs/>
          <w:szCs w:val="28"/>
        </w:rPr>
        <w:t xml:space="preserve">Так, ещё в 2014 году было принято решение о создании корпоративного портала государственных гражданских служащих Правительства Ульяновской области, исполнительных органов государственной власти Ульяновской области и муниципальных служащих. Первоначально предполагалось, что Корпоративный портал будет являться средством формирования единого информационного пространства для государственных гражданских служащих и муниципальных служащих, однако в дальнейшем, получив значительное развитие, он стал не только способом коммуникации государственных гражданских и муниципальных служащих, но и средством проведения мероприятий, организуемых для профессионального </w:t>
      </w:r>
      <w:r w:rsidRPr="00250BEC">
        <w:rPr>
          <w:rFonts w:ascii="PT Astra Serif" w:hAnsi="PT Astra Serif" w:cs="Times New Roman"/>
          <w:iCs/>
          <w:szCs w:val="28"/>
        </w:rPr>
        <w:br/>
        <w:t>и личностного развития пользователей.</w:t>
      </w:r>
    </w:p>
    <w:p w14:paraId="775419F0" w14:textId="77777777" w:rsidR="00250BEC" w:rsidRPr="00250BEC" w:rsidRDefault="00250BEC" w:rsidP="00250BEC">
      <w:pPr>
        <w:widowControl w:val="0"/>
        <w:autoSpaceDE w:val="0"/>
        <w:autoSpaceDN w:val="0"/>
        <w:adjustRightInd w:val="0"/>
        <w:contextualSpacing/>
        <w:rPr>
          <w:rFonts w:ascii="PT Astra Serif" w:hAnsi="PT Astra Serif" w:cs="PT Astra Serif"/>
          <w:iCs/>
          <w:szCs w:val="28"/>
        </w:rPr>
      </w:pPr>
      <w:r w:rsidRPr="00250BEC">
        <w:rPr>
          <w:rFonts w:ascii="PT Astra Serif" w:hAnsi="PT Astra Serif" w:cs="Times New Roman"/>
          <w:iCs/>
          <w:szCs w:val="28"/>
        </w:rPr>
        <w:t xml:space="preserve">В 2025 году посредством Корпоративного портала проводились тестирование кандидатов на участие в конкурсах на замещение вакантных должностей и на включение в кадровый резерв, анкетирование государственных гражданских служащих и муниципальных служащих </w:t>
      </w:r>
      <w:r w:rsidRPr="00250BEC">
        <w:rPr>
          <w:rFonts w:ascii="PT Astra Serif" w:hAnsi="PT Astra Serif" w:cs="Times New Roman"/>
          <w:iCs/>
          <w:szCs w:val="28"/>
        </w:rPr>
        <w:br/>
        <w:t xml:space="preserve">в рамках развития профессиональной культуры, оценочные мероприятия государственных </w:t>
      </w:r>
      <w:r w:rsidRPr="00250BEC">
        <w:rPr>
          <w:rFonts w:ascii="PT Astra Serif" w:hAnsi="PT Astra Serif" w:cs="PT Astra Serif"/>
          <w:iCs/>
          <w:szCs w:val="28"/>
        </w:rPr>
        <w:t xml:space="preserve">служащих на предмет знания законодательства </w:t>
      </w:r>
      <w:r w:rsidRPr="00250BEC">
        <w:rPr>
          <w:rFonts w:ascii="PT Astra Serif" w:hAnsi="PT Astra Serif" w:cs="PT Astra Serif"/>
          <w:iCs/>
          <w:szCs w:val="28"/>
        </w:rPr>
        <w:br/>
        <w:t>о контрактной системе в сфере закупок товаров, работ, услуг для обеспечения государственных и муниципальных нужд.</w:t>
      </w:r>
    </w:p>
    <w:p w14:paraId="7073F622" w14:textId="77777777" w:rsidR="00250BEC" w:rsidRPr="00250BEC" w:rsidRDefault="00250BEC" w:rsidP="00250BEC">
      <w:pPr>
        <w:widowControl w:val="0"/>
        <w:autoSpaceDE w:val="0"/>
        <w:autoSpaceDN w:val="0"/>
        <w:adjustRightInd w:val="0"/>
        <w:contextualSpacing/>
        <w:rPr>
          <w:rFonts w:ascii="PT Astra Serif" w:hAnsi="PT Astra Serif" w:cs="Times New Roman"/>
          <w:iCs/>
          <w:szCs w:val="28"/>
        </w:rPr>
      </w:pPr>
      <w:r w:rsidRPr="00250BEC">
        <w:rPr>
          <w:rFonts w:ascii="PT Astra Serif" w:hAnsi="PT Astra Serif" w:cs="PT Astra Serif"/>
          <w:iCs/>
          <w:szCs w:val="28"/>
        </w:rPr>
        <w:t xml:space="preserve">Кроме того, отдельные модули Корпоративного портала используются для ведения баз данных, в частности, для формирования списков участников </w:t>
      </w:r>
      <w:r w:rsidRPr="00250BEC">
        <w:rPr>
          <w:rFonts w:ascii="PT Astra Serif" w:hAnsi="PT Astra Serif" w:cs="PT Astra Serif"/>
          <w:iCs/>
          <w:szCs w:val="28"/>
        </w:rPr>
        <w:br/>
        <w:t xml:space="preserve">и победителей различных областных конкурсов, а также лиц, находящихся </w:t>
      </w:r>
      <w:r w:rsidRPr="00250BEC">
        <w:rPr>
          <w:rFonts w:ascii="PT Astra Serif" w:hAnsi="PT Astra Serif" w:cs="PT Astra Serif"/>
          <w:iCs/>
          <w:szCs w:val="28"/>
        </w:rPr>
        <w:br/>
        <w:t>в кадровом резерве и резерве управленческих кадров Ульяновской области.</w:t>
      </w:r>
    </w:p>
    <w:p w14:paraId="2BB67090" w14:textId="77777777" w:rsidR="00250BEC" w:rsidRPr="00250BEC" w:rsidRDefault="00250BEC" w:rsidP="00250BEC">
      <w:pPr>
        <w:widowControl w:val="0"/>
        <w:autoSpaceDE w:val="0"/>
        <w:autoSpaceDN w:val="0"/>
        <w:adjustRightInd w:val="0"/>
        <w:contextualSpacing/>
        <w:rPr>
          <w:rFonts w:ascii="PT Astra Serif" w:hAnsi="PT Astra Serif" w:cs="Helvetica"/>
          <w:iCs/>
          <w:kern w:val="36"/>
          <w:szCs w:val="28"/>
        </w:rPr>
      </w:pPr>
      <w:r w:rsidRPr="00250BEC">
        <w:rPr>
          <w:rFonts w:ascii="PT Astra Serif" w:hAnsi="PT Astra Serif" w:cs="Times New Roman"/>
          <w:iCs/>
          <w:szCs w:val="28"/>
        </w:rPr>
        <w:t xml:space="preserve">Также большое значение для информационного обеспечения </w:t>
      </w:r>
      <w:r w:rsidRPr="00250BEC">
        <w:rPr>
          <w:rFonts w:ascii="PT Astra Serif" w:hAnsi="PT Astra Serif" w:cs="Times New Roman"/>
          <w:iCs/>
          <w:szCs w:val="28"/>
        </w:rPr>
        <w:br/>
        <w:t xml:space="preserve">и организации кадровой работы в Правительстве и исполнительных органах имеет </w:t>
      </w:r>
      <w:r w:rsidRPr="00250BEC">
        <w:rPr>
          <w:rFonts w:ascii="PT Astra Serif" w:hAnsi="PT Astra Serif" w:cs="Helvetica"/>
          <w:iCs/>
          <w:kern w:val="36"/>
          <w:szCs w:val="28"/>
        </w:rPr>
        <w:t xml:space="preserve">информационная система персональных данных «БОСС-Кадровик», которая позволяет обрабатывать персональные данные не только </w:t>
      </w:r>
      <w:r w:rsidRPr="00250BEC">
        <w:rPr>
          <w:rFonts w:ascii="PT Astra Serif" w:hAnsi="PT Astra Serif" w:cs="Helvetica"/>
          <w:iCs/>
          <w:kern w:val="36"/>
          <w:szCs w:val="28"/>
        </w:rPr>
        <w:lastRenderedPageBreak/>
        <w:t>государственных гражданских служащих, но и лиц, замещающих государственные должности Ульяновской области, а также технических работников.</w:t>
      </w:r>
    </w:p>
    <w:p w14:paraId="110901AF"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b/>
          <w:bCs/>
          <w:iCs/>
          <w:szCs w:val="28"/>
          <w:lang w:eastAsia="ru-RU"/>
        </w:rPr>
      </w:pPr>
      <w:r w:rsidRPr="00250BEC">
        <w:rPr>
          <w:rFonts w:ascii="PT Astra Serif" w:eastAsia="Times New Roman" w:hAnsi="PT Astra Serif" w:cs="Arial"/>
          <w:b/>
          <w:bCs/>
          <w:iCs/>
          <w:szCs w:val="28"/>
          <w:lang w:eastAsia="ru-RU"/>
        </w:rPr>
        <w:t>Внедрение механизмов кадрового подбора, учитывающих потребности органов государственного управления, по результатам оценки претендентов на основе единого комплекса квалификационных требований к профессиональным и личностным качествам кандидатов.</w:t>
      </w:r>
    </w:p>
    <w:p w14:paraId="219240FC" w14:textId="77777777" w:rsidR="00250BEC" w:rsidRPr="00250BEC" w:rsidRDefault="00250BEC" w:rsidP="00250BEC">
      <w:pPr>
        <w:widowControl w:val="0"/>
        <w:shd w:val="clear" w:color="auto" w:fill="FFFFFF"/>
        <w:contextualSpacing/>
        <w:rPr>
          <w:rFonts w:ascii="PT Astra Serif" w:hAnsi="PT Astra Serif" w:cs="Times New Roman"/>
          <w:bCs/>
          <w:iCs/>
          <w:color w:val="000000"/>
          <w:szCs w:val="28"/>
        </w:rPr>
      </w:pPr>
      <w:r w:rsidRPr="00250BEC">
        <w:rPr>
          <w:rFonts w:ascii="PT Astra Serif" w:hAnsi="PT Astra Serif" w:cs="Times New Roman"/>
          <w:bCs/>
          <w:iCs/>
          <w:color w:val="000000"/>
          <w:szCs w:val="28"/>
        </w:rPr>
        <w:t>При формировании кадрового состава</w:t>
      </w:r>
      <w:r w:rsidRPr="00250BEC">
        <w:rPr>
          <w:rFonts w:ascii="PT Astra Serif" w:hAnsi="PT Astra Serif" w:cs="Times New Roman"/>
          <w:iCs/>
          <w:color w:val="000000"/>
          <w:szCs w:val="28"/>
        </w:rPr>
        <w:t xml:space="preserve"> исполнительных органов </w:t>
      </w:r>
      <w:r w:rsidRPr="00250BEC">
        <w:rPr>
          <w:rFonts w:ascii="PT Astra Serif" w:hAnsi="PT Astra Serif" w:cs="Times New Roman"/>
          <w:bCs/>
          <w:iCs/>
          <w:color w:val="000000"/>
          <w:szCs w:val="28"/>
        </w:rPr>
        <w:t>применяются предусмотренные законодательством кадровые технологии: конкурс на замещение вакансий, включение в кадровые резервы, выявление перспективных кадров по результатам аттестации. Одним из основных инструментов обновления кадров являются конкурсы на замещение вакантных должностей и в кадровый резерв исполнительных органов.</w:t>
      </w:r>
    </w:p>
    <w:p w14:paraId="02D3D60C" w14:textId="77777777" w:rsidR="00250BEC" w:rsidRPr="00250BEC" w:rsidRDefault="00250BEC" w:rsidP="00250BEC">
      <w:pPr>
        <w:widowControl w:val="0"/>
        <w:shd w:val="clear" w:color="auto" w:fill="FFFFFF"/>
        <w:contextualSpacing/>
        <w:rPr>
          <w:rFonts w:ascii="PT Astra Serif" w:eastAsia="Calibri" w:hAnsi="PT Astra Serif" w:cs="PT Astra Serif"/>
          <w:iCs/>
          <w:color w:val="000000"/>
          <w:szCs w:val="28"/>
        </w:rPr>
      </w:pPr>
      <w:r w:rsidRPr="00250BEC">
        <w:rPr>
          <w:rFonts w:ascii="PT Astra Serif" w:eastAsia="Calibri" w:hAnsi="PT Astra Serif" w:cs="Times New Roman"/>
          <w:iCs/>
          <w:color w:val="000000"/>
          <w:szCs w:val="28"/>
        </w:rPr>
        <w:t xml:space="preserve">В качестве конкурсных процедур проводятся мероприятия по оценке профессиональных знаний и умений, в том числе тестирование, личностно-профессиональная диагностика, кейс-интервью, итоговое интервью </w:t>
      </w:r>
      <w:r w:rsidRPr="00250BEC">
        <w:rPr>
          <w:rFonts w:ascii="PT Astra Serif" w:eastAsia="Calibri" w:hAnsi="PT Astra Serif" w:cs="Times New Roman"/>
          <w:iCs/>
          <w:color w:val="000000"/>
          <w:szCs w:val="28"/>
        </w:rPr>
        <w:br/>
        <w:t xml:space="preserve">с конкурсной комиссией, </w:t>
      </w:r>
      <w:r w:rsidRPr="00250BEC">
        <w:rPr>
          <w:rFonts w:ascii="PT Astra Serif" w:eastAsia="Calibri" w:hAnsi="PT Astra Serif" w:cs="Times New Roman"/>
          <w:bCs/>
          <w:iCs/>
          <w:color w:val="000000"/>
          <w:szCs w:val="28"/>
        </w:rPr>
        <w:t xml:space="preserve">подготовка проекта документа, написание реферата или иной письменной работы, анкетирование, проведение групповых дискуссий, </w:t>
      </w:r>
      <w:r w:rsidRPr="00250BEC">
        <w:rPr>
          <w:rFonts w:ascii="PT Astra Serif" w:eastAsia="Calibri" w:hAnsi="PT Astra Serif" w:cs="Times New Roman"/>
          <w:iCs/>
          <w:color w:val="000000"/>
          <w:szCs w:val="28"/>
        </w:rPr>
        <w:t xml:space="preserve">проводится </w:t>
      </w:r>
      <w:r w:rsidRPr="00250BEC">
        <w:rPr>
          <w:rFonts w:ascii="PT Astra Serif" w:eastAsia="Calibri" w:hAnsi="PT Astra Serif" w:cs="PT Astra Serif"/>
          <w:iCs/>
          <w:color w:val="000000"/>
          <w:szCs w:val="28"/>
        </w:rPr>
        <w:t xml:space="preserve">психофизиологическое тестирование кандидатов </w:t>
      </w:r>
      <w:r w:rsidRPr="00250BEC">
        <w:rPr>
          <w:rFonts w:ascii="PT Astra Serif" w:eastAsia="Calibri" w:hAnsi="PT Astra Serif" w:cs="PT Astra Serif"/>
          <w:iCs/>
          <w:color w:val="000000"/>
          <w:szCs w:val="28"/>
        </w:rPr>
        <w:br/>
        <w:t>с применением полиграфа.</w:t>
      </w:r>
    </w:p>
    <w:p w14:paraId="13C73D50" w14:textId="77777777" w:rsidR="00250BEC" w:rsidRPr="00250BEC" w:rsidRDefault="00250BEC" w:rsidP="00250BEC">
      <w:pPr>
        <w:widowControl w:val="0"/>
        <w:shd w:val="clear" w:color="auto" w:fill="FFFFFF"/>
        <w:suppressAutoHyphens/>
        <w:autoSpaceDE w:val="0"/>
        <w:autoSpaceDN w:val="0"/>
        <w:adjustRightInd w:val="0"/>
        <w:contextualSpacing/>
        <w:rPr>
          <w:rFonts w:ascii="PT Astra Serif" w:eastAsia="Times New Roman" w:hAnsi="PT Astra Serif" w:cs="Arial"/>
          <w:iCs/>
          <w:color w:val="000000"/>
          <w:szCs w:val="28"/>
          <w:lang w:eastAsia="ru-RU"/>
        </w:rPr>
      </w:pPr>
      <w:r w:rsidRPr="00250BEC">
        <w:rPr>
          <w:rFonts w:ascii="PT Astra Serif" w:eastAsia="Times New Roman" w:hAnsi="PT Astra Serif" w:cs="Arial"/>
          <w:iCs/>
          <w:color w:val="000000"/>
          <w:szCs w:val="28"/>
          <w:lang w:eastAsia="ru-RU"/>
        </w:rPr>
        <w:t xml:space="preserve">Таким образом, усовершенствование конкурсных процедур позволило повысить эффективность порядка отбора и назначения на должности гражданской службы. Разработанные методы оценки применяются </w:t>
      </w:r>
      <w:r w:rsidRPr="00250BEC">
        <w:rPr>
          <w:rFonts w:ascii="PT Astra Serif" w:eastAsia="Times New Roman" w:hAnsi="PT Astra Serif" w:cs="Arial"/>
          <w:iCs/>
          <w:color w:val="000000"/>
          <w:szCs w:val="28"/>
          <w:lang w:eastAsia="ru-RU"/>
        </w:rPr>
        <w:br/>
        <w:t xml:space="preserve">по каждому кандидату, что является большим плюсом и помогает избежать конфликтных ситуаций с претендентами, а также позволяет более детально </w:t>
      </w:r>
      <w:r w:rsidRPr="00250BEC">
        <w:rPr>
          <w:rFonts w:ascii="PT Astra Serif" w:eastAsia="Times New Roman" w:hAnsi="PT Astra Serif" w:cs="Arial"/>
          <w:iCs/>
          <w:color w:val="000000"/>
          <w:szCs w:val="28"/>
          <w:lang w:eastAsia="ru-RU"/>
        </w:rPr>
        <w:br/>
        <w:t>и рационально оценить каждого претендента. Данный комплекс оценочных мероприятий обеспечивает объективность и способствует повышению уровня открытости, доступности, а также объективности проведения конкурсных процедур при поступлении на гражданскую службу.</w:t>
      </w:r>
    </w:p>
    <w:p w14:paraId="5D87ED52"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 xml:space="preserve">Так, за 2025 год в Правительстве и исполнительных органах государственной власти Ульяновской области общее количество конкурсов составило 158 (2024 год – 165, 2023 год– 184, 2022 год – 259), из них несостоявшихся в связи с наличием менее двух кандидатов, либо отсутствия победителя конкурса – 53 (2024 год – 34, 2023 год – 64, 2022 год – 77). </w:t>
      </w:r>
    </w:p>
    <w:p w14:paraId="42A849AA"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iCs/>
          <w:szCs w:val="28"/>
          <w:lang w:eastAsia="ru-RU"/>
        </w:rPr>
        <w:t xml:space="preserve">В целях оценки претендентов на замещение должностей государственной гражданской службы Ульяновской области в 2025 году были заключены договоры с 7 независимыми экспертами на их участие </w:t>
      </w:r>
      <w:r w:rsidRPr="00250BEC">
        <w:rPr>
          <w:rFonts w:ascii="PT Astra Serif" w:eastAsia="Times New Roman" w:hAnsi="PT Astra Serif" w:cs="Arial"/>
          <w:iCs/>
          <w:szCs w:val="28"/>
          <w:lang w:eastAsia="ru-RU"/>
        </w:rPr>
        <w:br/>
        <w:t>в составах конкурсных (аттестационных) комиссий; оплата услуг составила 14 191,0 рублей.</w:t>
      </w:r>
    </w:p>
    <w:p w14:paraId="4D1EE7A8" w14:textId="77777777" w:rsidR="00250BEC" w:rsidRPr="00250BEC" w:rsidRDefault="00250BEC" w:rsidP="00250BEC">
      <w:pPr>
        <w:widowControl w:val="0"/>
        <w:contextualSpacing/>
        <w:rPr>
          <w:rFonts w:ascii="PT Astra Serif" w:hAnsi="PT Astra Serif" w:cs="Times New Roman"/>
          <w:i/>
          <w:iCs/>
          <w:szCs w:val="28"/>
        </w:rPr>
      </w:pPr>
      <w:r w:rsidRPr="00250BEC">
        <w:rPr>
          <w:rFonts w:ascii="PT Astra Serif" w:hAnsi="PT Astra Serif" w:cs="Times New Roman"/>
          <w:szCs w:val="28"/>
        </w:rPr>
        <w:t xml:space="preserve">В 2025 году практику в исполнительных органах государственной власти Ульяновской области и подведомственных учреждений прошли </w:t>
      </w:r>
      <w:r w:rsidRPr="00250BEC">
        <w:rPr>
          <w:rFonts w:ascii="PT Astra Serif" w:hAnsi="PT Astra Serif" w:cs="Times New Roman"/>
          <w:szCs w:val="28"/>
        </w:rPr>
        <w:br/>
        <w:t>130 человек. Подробная информация о прохождении практики студентов региональных ВУЗов представлена в таблице (</w:t>
      </w:r>
      <w:r w:rsidRPr="00250BEC">
        <w:rPr>
          <w:rFonts w:ascii="PT Astra Serif" w:hAnsi="PT Astra Serif" w:cs="Times New Roman"/>
          <w:i/>
          <w:iCs/>
          <w:szCs w:val="28"/>
        </w:rPr>
        <w:t>без учета подведомственных организаций):</w:t>
      </w:r>
    </w:p>
    <w:p w14:paraId="35A9FD43" w14:textId="77777777" w:rsidR="00250BEC" w:rsidRPr="00250BEC" w:rsidRDefault="00250BEC" w:rsidP="00250BEC">
      <w:pPr>
        <w:widowControl w:val="0"/>
        <w:contextualSpacing/>
        <w:rPr>
          <w:rFonts w:ascii="PT Astra Serif" w:hAnsi="PT Astra Serif" w:cs="Times New Roman"/>
          <w:i/>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134"/>
        <w:gridCol w:w="993"/>
        <w:gridCol w:w="993"/>
        <w:gridCol w:w="993"/>
        <w:gridCol w:w="993"/>
        <w:gridCol w:w="993"/>
      </w:tblGrid>
      <w:tr w:rsidR="00250BEC" w:rsidRPr="00250BEC" w14:paraId="23FBCB38" w14:textId="77777777" w:rsidTr="00250BEC">
        <w:tc>
          <w:tcPr>
            <w:tcW w:w="3227" w:type="dxa"/>
            <w:shd w:val="clear" w:color="auto" w:fill="auto"/>
          </w:tcPr>
          <w:p w14:paraId="5565B606" w14:textId="77777777" w:rsidR="00250BEC" w:rsidRPr="00250BEC" w:rsidRDefault="00250BEC" w:rsidP="00250BEC">
            <w:pPr>
              <w:widowControl w:val="0"/>
              <w:ind w:firstLine="0"/>
              <w:contextualSpacing/>
              <w:jc w:val="center"/>
              <w:rPr>
                <w:rFonts w:ascii="PT Astra Serif" w:hAnsi="PT Astra Serif" w:cs="Times New Roman"/>
                <w:b/>
                <w:bCs/>
                <w:szCs w:val="28"/>
              </w:rPr>
            </w:pPr>
            <w:r w:rsidRPr="00250BEC">
              <w:rPr>
                <w:rFonts w:ascii="PT Astra Serif" w:hAnsi="PT Astra Serif" w:cs="Times New Roman"/>
                <w:b/>
                <w:bCs/>
                <w:sz w:val="20"/>
                <w:szCs w:val="20"/>
              </w:rPr>
              <w:lastRenderedPageBreak/>
              <w:t>ВУЗ</w:t>
            </w:r>
          </w:p>
        </w:tc>
        <w:tc>
          <w:tcPr>
            <w:tcW w:w="1134" w:type="dxa"/>
            <w:shd w:val="clear" w:color="auto" w:fill="auto"/>
          </w:tcPr>
          <w:p w14:paraId="3A04F758"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2020 г.</w:t>
            </w:r>
          </w:p>
        </w:tc>
        <w:tc>
          <w:tcPr>
            <w:tcW w:w="993" w:type="dxa"/>
            <w:shd w:val="clear" w:color="auto" w:fill="auto"/>
          </w:tcPr>
          <w:p w14:paraId="6B91CBC6"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2021 г.</w:t>
            </w:r>
          </w:p>
        </w:tc>
        <w:tc>
          <w:tcPr>
            <w:tcW w:w="993" w:type="dxa"/>
            <w:shd w:val="clear" w:color="auto" w:fill="auto"/>
          </w:tcPr>
          <w:p w14:paraId="53435ED8"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2022 г.</w:t>
            </w:r>
          </w:p>
        </w:tc>
        <w:tc>
          <w:tcPr>
            <w:tcW w:w="993" w:type="dxa"/>
            <w:shd w:val="clear" w:color="auto" w:fill="auto"/>
          </w:tcPr>
          <w:p w14:paraId="5A9A5E4E"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2023 г.</w:t>
            </w:r>
          </w:p>
        </w:tc>
        <w:tc>
          <w:tcPr>
            <w:tcW w:w="993" w:type="dxa"/>
            <w:shd w:val="clear" w:color="auto" w:fill="auto"/>
          </w:tcPr>
          <w:p w14:paraId="6F20CE5E"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2024 г.</w:t>
            </w:r>
          </w:p>
        </w:tc>
        <w:tc>
          <w:tcPr>
            <w:tcW w:w="993" w:type="dxa"/>
            <w:shd w:val="clear" w:color="auto" w:fill="auto"/>
          </w:tcPr>
          <w:p w14:paraId="5899EBE6"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2025 г.</w:t>
            </w:r>
          </w:p>
        </w:tc>
      </w:tr>
      <w:tr w:rsidR="00250BEC" w:rsidRPr="00250BEC" w14:paraId="0C3047B8" w14:textId="77777777" w:rsidTr="00250BEC">
        <w:tc>
          <w:tcPr>
            <w:tcW w:w="3227" w:type="dxa"/>
            <w:shd w:val="clear" w:color="auto" w:fill="auto"/>
          </w:tcPr>
          <w:p w14:paraId="0DAFF611"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УлГУ</w:t>
            </w:r>
            <w:proofErr w:type="spellEnd"/>
          </w:p>
        </w:tc>
        <w:tc>
          <w:tcPr>
            <w:tcW w:w="1134" w:type="dxa"/>
            <w:shd w:val="clear" w:color="auto" w:fill="auto"/>
            <w:vAlign w:val="center"/>
          </w:tcPr>
          <w:p w14:paraId="327FB208"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43</w:t>
            </w:r>
          </w:p>
        </w:tc>
        <w:tc>
          <w:tcPr>
            <w:tcW w:w="993" w:type="dxa"/>
            <w:shd w:val="clear" w:color="auto" w:fill="auto"/>
            <w:vAlign w:val="center"/>
          </w:tcPr>
          <w:p w14:paraId="67DDBE2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66</w:t>
            </w:r>
          </w:p>
        </w:tc>
        <w:tc>
          <w:tcPr>
            <w:tcW w:w="993" w:type="dxa"/>
            <w:shd w:val="clear" w:color="auto" w:fill="auto"/>
            <w:vAlign w:val="center"/>
          </w:tcPr>
          <w:p w14:paraId="40D52241"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86</w:t>
            </w:r>
          </w:p>
        </w:tc>
        <w:tc>
          <w:tcPr>
            <w:tcW w:w="993" w:type="dxa"/>
            <w:shd w:val="clear" w:color="auto" w:fill="auto"/>
            <w:vAlign w:val="center"/>
          </w:tcPr>
          <w:p w14:paraId="4B8FFF0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93</w:t>
            </w:r>
          </w:p>
        </w:tc>
        <w:tc>
          <w:tcPr>
            <w:tcW w:w="993" w:type="dxa"/>
            <w:shd w:val="clear" w:color="auto" w:fill="auto"/>
            <w:vAlign w:val="center"/>
          </w:tcPr>
          <w:p w14:paraId="6E37096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105</w:t>
            </w:r>
          </w:p>
        </w:tc>
        <w:tc>
          <w:tcPr>
            <w:tcW w:w="993" w:type="dxa"/>
            <w:shd w:val="clear" w:color="auto" w:fill="auto"/>
            <w:vAlign w:val="center"/>
          </w:tcPr>
          <w:p w14:paraId="5070A32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72</w:t>
            </w:r>
          </w:p>
        </w:tc>
      </w:tr>
      <w:tr w:rsidR="00250BEC" w:rsidRPr="00250BEC" w14:paraId="1272EF58" w14:textId="77777777" w:rsidTr="00250BEC">
        <w:tc>
          <w:tcPr>
            <w:tcW w:w="3227" w:type="dxa"/>
            <w:shd w:val="clear" w:color="auto" w:fill="auto"/>
          </w:tcPr>
          <w:p w14:paraId="333C1FEE"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РАНХиГС</w:t>
            </w:r>
            <w:proofErr w:type="spellEnd"/>
            <w:r w:rsidRPr="00250BEC">
              <w:rPr>
                <w:rFonts w:ascii="PT Astra Serif" w:hAnsi="PT Astra Serif" w:cs="Times New Roman"/>
                <w:sz w:val="20"/>
                <w:szCs w:val="20"/>
              </w:rPr>
              <w:t xml:space="preserve"> (Ульяновский филиал)</w:t>
            </w:r>
          </w:p>
        </w:tc>
        <w:tc>
          <w:tcPr>
            <w:tcW w:w="1134" w:type="dxa"/>
            <w:shd w:val="clear" w:color="auto" w:fill="auto"/>
            <w:vAlign w:val="center"/>
          </w:tcPr>
          <w:p w14:paraId="24A1CF3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10</w:t>
            </w:r>
          </w:p>
        </w:tc>
        <w:tc>
          <w:tcPr>
            <w:tcW w:w="993" w:type="dxa"/>
            <w:shd w:val="clear" w:color="auto" w:fill="auto"/>
            <w:vAlign w:val="center"/>
          </w:tcPr>
          <w:p w14:paraId="6E9858E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26</w:t>
            </w:r>
          </w:p>
        </w:tc>
        <w:tc>
          <w:tcPr>
            <w:tcW w:w="993" w:type="dxa"/>
            <w:shd w:val="clear" w:color="auto" w:fill="auto"/>
            <w:vAlign w:val="center"/>
          </w:tcPr>
          <w:p w14:paraId="6598B9BD"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32</w:t>
            </w:r>
          </w:p>
        </w:tc>
        <w:tc>
          <w:tcPr>
            <w:tcW w:w="993" w:type="dxa"/>
            <w:shd w:val="clear" w:color="auto" w:fill="auto"/>
            <w:vAlign w:val="center"/>
          </w:tcPr>
          <w:p w14:paraId="2F1A7DA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31</w:t>
            </w:r>
          </w:p>
        </w:tc>
        <w:tc>
          <w:tcPr>
            <w:tcW w:w="993" w:type="dxa"/>
            <w:shd w:val="clear" w:color="auto" w:fill="auto"/>
            <w:vAlign w:val="center"/>
          </w:tcPr>
          <w:p w14:paraId="26540C8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23</w:t>
            </w:r>
          </w:p>
        </w:tc>
        <w:tc>
          <w:tcPr>
            <w:tcW w:w="993" w:type="dxa"/>
            <w:shd w:val="clear" w:color="auto" w:fill="auto"/>
            <w:vAlign w:val="center"/>
          </w:tcPr>
          <w:p w14:paraId="0172214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21</w:t>
            </w:r>
          </w:p>
        </w:tc>
      </w:tr>
      <w:tr w:rsidR="00250BEC" w:rsidRPr="00250BEC" w14:paraId="5327CFAE" w14:textId="77777777" w:rsidTr="00250BEC">
        <w:tc>
          <w:tcPr>
            <w:tcW w:w="3227" w:type="dxa"/>
            <w:shd w:val="clear" w:color="auto" w:fill="auto"/>
          </w:tcPr>
          <w:p w14:paraId="5E54BAF1"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РАНХиГС</w:t>
            </w:r>
            <w:proofErr w:type="spellEnd"/>
            <w:r w:rsidRPr="00250BEC">
              <w:rPr>
                <w:rFonts w:ascii="PT Astra Serif" w:hAnsi="PT Astra Serif" w:cs="Times New Roman"/>
                <w:sz w:val="20"/>
                <w:szCs w:val="20"/>
              </w:rPr>
              <w:t xml:space="preserve"> (г. Москва)</w:t>
            </w:r>
          </w:p>
        </w:tc>
        <w:tc>
          <w:tcPr>
            <w:tcW w:w="1134" w:type="dxa"/>
            <w:shd w:val="clear" w:color="auto" w:fill="auto"/>
            <w:vAlign w:val="center"/>
          </w:tcPr>
          <w:p w14:paraId="739488D3"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245203E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796DB64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00F67C1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0B033E1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672F4D8"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r>
      <w:tr w:rsidR="00250BEC" w:rsidRPr="00250BEC" w14:paraId="445F1081" w14:textId="77777777" w:rsidTr="00250BEC">
        <w:tc>
          <w:tcPr>
            <w:tcW w:w="3227" w:type="dxa"/>
            <w:shd w:val="clear" w:color="auto" w:fill="auto"/>
          </w:tcPr>
          <w:p w14:paraId="39573A2A"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УлГТУ</w:t>
            </w:r>
            <w:proofErr w:type="spellEnd"/>
          </w:p>
        </w:tc>
        <w:tc>
          <w:tcPr>
            <w:tcW w:w="1134" w:type="dxa"/>
            <w:shd w:val="clear" w:color="auto" w:fill="auto"/>
            <w:vAlign w:val="center"/>
          </w:tcPr>
          <w:p w14:paraId="625F274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33</w:t>
            </w:r>
          </w:p>
        </w:tc>
        <w:tc>
          <w:tcPr>
            <w:tcW w:w="993" w:type="dxa"/>
            <w:shd w:val="clear" w:color="auto" w:fill="auto"/>
            <w:vAlign w:val="center"/>
          </w:tcPr>
          <w:p w14:paraId="7773070A"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20</w:t>
            </w:r>
          </w:p>
        </w:tc>
        <w:tc>
          <w:tcPr>
            <w:tcW w:w="993" w:type="dxa"/>
            <w:shd w:val="clear" w:color="auto" w:fill="auto"/>
            <w:vAlign w:val="center"/>
          </w:tcPr>
          <w:p w14:paraId="12E1FD93"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26</w:t>
            </w:r>
          </w:p>
        </w:tc>
        <w:tc>
          <w:tcPr>
            <w:tcW w:w="993" w:type="dxa"/>
            <w:shd w:val="clear" w:color="auto" w:fill="auto"/>
            <w:vAlign w:val="center"/>
          </w:tcPr>
          <w:p w14:paraId="02C9BC7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35</w:t>
            </w:r>
          </w:p>
        </w:tc>
        <w:tc>
          <w:tcPr>
            <w:tcW w:w="993" w:type="dxa"/>
            <w:shd w:val="clear" w:color="auto" w:fill="auto"/>
            <w:vAlign w:val="center"/>
          </w:tcPr>
          <w:p w14:paraId="104F95F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48</w:t>
            </w:r>
          </w:p>
        </w:tc>
        <w:tc>
          <w:tcPr>
            <w:tcW w:w="993" w:type="dxa"/>
            <w:shd w:val="clear" w:color="auto" w:fill="auto"/>
            <w:vAlign w:val="center"/>
          </w:tcPr>
          <w:p w14:paraId="583A01A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33</w:t>
            </w:r>
          </w:p>
        </w:tc>
      </w:tr>
      <w:tr w:rsidR="00250BEC" w:rsidRPr="00250BEC" w14:paraId="0F46E9DF" w14:textId="77777777" w:rsidTr="00250BEC">
        <w:tc>
          <w:tcPr>
            <w:tcW w:w="3227" w:type="dxa"/>
            <w:shd w:val="clear" w:color="auto" w:fill="auto"/>
          </w:tcPr>
          <w:p w14:paraId="0E0909B8"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УлГПУ</w:t>
            </w:r>
            <w:proofErr w:type="spellEnd"/>
          </w:p>
        </w:tc>
        <w:tc>
          <w:tcPr>
            <w:tcW w:w="1134" w:type="dxa"/>
            <w:shd w:val="clear" w:color="auto" w:fill="auto"/>
            <w:vAlign w:val="center"/>
          </w:tcPr>
          <w:p w14:paraId="0BC69E0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5DAA3A21"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w:t>
            </w:r>
          </w:p>
        </w:tc>
        <w:tc>
          <w:tcPr>
            <w:tcW w:w="993" w:type="dxa"/>
            <w:shd w:val="clear" w:color="auto" w:fill="auto"/>
            <w:vAlign w:val="center"/>
          </w:tcPr>
          <w:p w14:paraId="6684E2E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20</w:t>
            </w:r>
          </w:p>
        </w:tc>
        <w:tc>
          <w:tcPr>
            <w:tcW w:w="993" w:type="dxa"/>
            <w:shd w:val="clear" w:color="auto" w:fill="auto"/>
            <w:vAlign w:val="center"/>
          </w:tcPr>
          <w:p w14:paraId="130256E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8</w:t>
            </w:r>
          </w:p>
        </w:tc>
        <w:tc>
          <w:tcPr>
            <w:tcW w:w="993" w:type="dxa"/>
            <w:shd w:val="clear" w:color="auto" w:fill="auto"/>
            <w:vAlign w:val="center"/>
          </w:tcPr>
          <w:p w14:paraId="5BCC5CE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15</w:t>
            </w:r>
          </w:p>
        </w:tc>
        <w:tc>
          <w:tcPr>
            <w:tcW w:w="993" w:type="dxa"/>
            <w:shd w:val="clear" w:color="auto" w:fill="auto"/>
            <w:vAlign w:val="center"/>
          </w:tcPr>
          <w:p w14:paraId="4A147E8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w:t>
            </w:r>
          </w:p>
        </w:tc>
      </w:tr>
      <w:tr w:rsidR="00250BEC" w:rsidRPr="00250BEC" w14:paraId="516EA41F" w14:textId="77777777" w:rsidTr="00250BEC">
        <w:tc>
          <w:tcPr>
            <w:tcW w:w="3227" w:type="dxa"/>
            <w:shd w:val="clear" w:color="auto" w:fill="auto"/>
          </w:tcPr>
          <w:p w14:paraId="2E86C7E9"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УТЭП</w:t>
            </w:r>
          </w:p>
        </w:tc>
        <w:tc>
          <w:tcPr>
            <w:tcW w:w="1134" w:type="dxa"/>
            <w:shd w:val="clear" w:color="auto" w:fill="auto"/>
            <w:vAlign w:val="center"/>
          </w:tcPr>
          <w:p w14:paraId="03AFFC75" w14:textId="77777777" w:rsidR="00250BEC" w:rsidRPr="00250BEC" w:rsidRDefault="00250BEC" w:rsidP="00250BEC">
            <w:pPr>
              <w:ind w:right="-47" w:firstLine="0"/>
              <w:contextualSpacing/>
              <w:jc w:val="center"/>
              <w:rPr>
                <w:rFonts w:ascii="PT Astra Serif" w:hAnsi="PT Astra Serif" w:cs="Times New Roman"/>
                <w:sz w:val="20"/>
                <w:szCs w:val="20"/>
              </w:rPr>
            </w:pPr>
          </w:p>
        </w:tc>
        <w:tc>
          <w:tcPr>
            <w:tcW w:w="993" w:type="dxa"/>
            <w:shd w:val="clear" w:color="auto" w:fill="auto"/>
            <w:vAlign w:val="center"/>
          </w:tcPr>
          <w:p w14:paraId="1174BA92" w14:textId="77777777" w:rsidR="00250BEC" w:rsidRPr="00250BEC" w:rsidRDefault="00250BEC" w:rsidP="00250BEC">
            <w:pPr>
              <w:ind w:right="-47" w:firstLine="0"/>
              <w:contextualSpacing/>
              <w:jc w:val="center"/>
              <w:rPr>
                <w:rFonts w:ascii="PT Astra Serif" w:hAnsi="PT Astra Serif" w:cs="Times New Roman"/>
                <w:sz w:val="20"/>
                <w:szCs w:val="20"/>
              </w:rPr>
            </w:pPr>
          </w:p>
        </w:tc>
        <w:tc>
          <w:tcPr>
            <w:tcW w:w="993" w:type="dxa"/>
            <w:shd w:val="clear" w:color="auto" w:fill="auto"/>
            <w:vAlign w:val="center"/>
          </w:tcPr>
          <w:p w14:paraId="46263101" w14:textId="77777777" w:rsidR="00250BEC" w:rsidRPr="00250BEC" w:rsidRDefault="00250BEC" w:rsidP="00250BEC">
            <w:pPr>
              <w:ind w:right="-47" w:firstLine="0"/>
              <w:contextualSpacing/>
              <w:jc w:val="center"/>
              <w:rPr>
                <w:rFonts w:ascii="PT Astra Serif" w:hAnsi="PT Astra Serif" w:cs="Times New Roman"/>
                <w:sz w:val="20"/>
                <w:szCs w:val="20"/>
              </w:rPr>
            </w:pPr>
          </w:p>
        </w:tc>
        <w:tc>
          <w:tcPr>
            <w:tcW w:w="993" w:type="dxa"/>
            <w:shd w:val="clear" w:color="auto" w:fill="auto"/>
            <w:vAlign w:val="center"/>
          </w:tcPr>
          <w:p w14:paraId="4232D585" w14:textId="77777777" w:rsidR="00250BEC" w:rsidRPr="00250BEC" w:rsidRDefault="00250BEC" w:rsidP="00250BEC">
            <w:pPr>
              <w:ind w:right="-47" w:firstLine="0"/>
              <w:contextualSpacing/>
              <w:jc w:val="center"/>
              <w:rPr>
                <w:rFonts w:ascii="PT Astra Serif" w:hAnsi="PT Astra Serif" w:cs="Times New Roman"/>
                <w:sz w:val="20"/>
                <w:szCs w:val="20"/>
              </w:rPr>
            </w:pPr>
          </w:p>
        </w:tc>
        <w:tc>
          <w:tcPr>
            <w:tcW w:w="993" w:type="dxa"/>
            <w:shd w:val="clear" w:color="auto" w:fill="auto"/>
            <w:vAlign w:val="center"/>
          </w:tcPr>
          <w:p w14:paraId="3336273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c>
          <w:tcPr>
            <w:tcW w:w="993" w:type="dxa"/>
            <w:shd w:val="clear" w:color="auto" w:fill="auto"/>
            <w:vAlign w:val="center"/>
          </w:tcPr>
          <w:p w14:paraId="3F8AF891"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3000EDDE" w14:textId="77777777" w:rsidTr="00250BEC">
        <w:tc>
          <w:tcPr>
            <w:tcW w:w="3227" w:type="dxa"/>
            <w:shd w:val="clear" w:color="auto" w:fill="auto"/>
          </w:tcPr>
          <w:p w14:paraId="1C9B241D"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МАГУ</w:t>
            </w:r>
          </w:p>
        </w:tc>
        <w:tc>
          <w:tcPr>
            <w:tcW w:w="1134" w:type="dxa"/>
            <w:shd w:val="clear" w:color="auto" w:fill="auto"/>
            <w:vAlign w:val="center"/>
          </w:tcPr>
          <w:p w14:paraId="06C520C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5386A378"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6F3A0922"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207D55B0"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034D0FF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3E6B289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05C079F8" w14:textId="77777777" w:rsidTr="00250BEC">
        <w:tc>
          <w:tcPr>
            <w:tcW w:w="3227" w:type="dxa"/>
            <w:shd w:val="clear" w:color="auto" w:fill="auto"/>
          </w:tcPr>
          <w:p w14:paraId="2EB2334B"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УлГАУ</w:t>
            </w:r>
            <w:proofErr w:type="spellEnd"/>
          </w:p>
        </w:tc>
        <w:tc>
          <w:tcPr>
            <w:tcW w:w="1134" w:type="dxa"/>
            <w:shd w:val="clear" w:color="auto" w:fill="auto"/>
            <w:vAlign w:val="center"/>
          </w:tcPr>
          <w:p w14:paraId="05668F5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4A953D2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5A576DA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6717CA1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6B07CF8"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0BB6FAC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715CC64E" w14:textId="77777777" w:rsidTr="00250BEC">
        <w:tc>
          <w:tcPr>
            <w:tcW w:w="3227" w:type="dxa"/>
            <w:shd w:val="clear" w:color="auto" w:fill="auto"/>
          </w:tcPr>
          <w:p w14:paraId="4413DD5C"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УВАУГА</w:t>
            </w:r>
          </w:p>
        </w:tc>
        <w:tc>
          <w:tcPr>
            <w:tcW w:w="1134" w:type="dxa"/>
            <w:shd w:val="clear" w:color="auto" w:fill="auto"/>
            <w:vAlign w:val="center"/>
          </w:tcPr>
          <w:p w14:paraId="491FEA16"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68643BC3"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685585A6"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33F51B08"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5D1AC0B2"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665F4EB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4151F61D" w14:textId="77777777" w:rsidTr="00250BEC">
        <w:tc>
          <w:tcPr>
            <w:tcW w:w="3227" w:type="dxa"/>
            <w:shd w:val="clear" w:color="auto" w:fill="auto"/>
          </w:tcPr>
          <w:p w14:paraId="0F30A523"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Колледжи</w:t>
            </w:r>
          </w:p>
        </w:tc>
        <w:tc>
          <w:tcPr>
            <w:tcW w:w="1134" w:type="dxa"/>
            <w:shd w:val="clear" w:color="auto" w:fill="auto"/>
            <w:vAlign w:val="center"/>
          </w:tcPr>
          <w:p w14:paraId="583BDA7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w:t>
            </w:r>
          </w:p>
        </w:tc>
        <w:tc>
          <w:tcPr>
            <w:tcW w:w="993" w:type="dxa"/>
            <w:shd w:val="clear" w:color="auto" w:fill="auto"/>
            <w:vAlign w:val="center"/>
          </w:tcPr>
          <w:p w14:paraId="0B3A2F7A"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c>
          <w:tcPr>
            <w:tcW w:w="993" w:type="dxa"/>
            <w:shd w:val="clear" w:color="auto" w:fill="auto"/>
            <w:vAlign w:val="center"/>
          </w:tcPr>
          <w:p w14:paraId="523C200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c>
          <w:tcPr>
            <w:tcW w:w="993" w:type="dxa"/>
            <w:shd w:val="clear" w:color="auto" w:fill="auto"/>
            <w:vAlign w:val="center"/>
          </w:tcPr>
          <w:p w14:paraId="67A59C0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575FE9E6"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59CF43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35E0F90E" w14:textId="77777777" w:rsidTr="00250BEC">
        <w:tc>
          <w:tcPr>
            <w:tcW w:w="3227" w:type="dxa"/>
            <w:shd w:val="clear" w:color="auto" w:fill="auto"/>
          </w:tcPr>
          <w:p w14:paraId="005B9459"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Финансовый университет при Правительстве РФ</w:t>
            </w:r>
          </w:p>
        </w:tc>
        <w:tc>
          <w:tcPr>
            <w:tcW w:w="1134" w:type="dxa"/>
            <w:shd w:val="clear" w:color="auto" w:fill="auto"/>
            <w:vAlign w:val="center"/>
          </w:tcPr>
          <w:p w14:paraId="5456DDB1"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c>
          <w:tcPr>
            <w:tcW w:w="993" w:type="dxa"/>
            <w:shd w:val="clear" w:color="auto" w:fill="auto"/>
            <w:vAlign w:val="center"/>
          </w:tcPr>
          <w:p w14:paraId="2383B475"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0EAEB69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w:t>
            </w:r>
          </w:p>
        </w:tc>
        <w:tc>
          <w:tcPr>
            <w:tcW w:w="993" w:type="dxa"/>
            <w:shd w:val="clear" w:color="auto" w:fill="auto"/>
            <w:vAlign w:val="center"/>
          </w:tcPr>
          <w:p w14:paraId="5FA04AC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236262E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07A10BE"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0D64463A" w14:textId="77777777" w:rsidTr="00250BEC">
        <w:tc>
          <w:tcPr>
            <w:tcW w:w="3227" w:type="dxa"/>
            <w:shd w:val="clear" w:color="auto" w:fill="auto"/>
          </w:tcPr>
          <w:p w14:paraId="12BF5220"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КФУ</w:t>
            </w:r>
          </w:p>
        </w:tc>
        <w:tc>
          <w:tcPr>
            <w:tcW w:w="1134" w:type="dxa"/>
            <w:shd w:val="clear" w:color="auto" w:fill="auto"/>
            <w:vAlign w:val="center"/>
          </w:tcPr>
          <w:p w14:paraId="50BE466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2E9FC0C6"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41B34039"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4B3B1D0"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4CB929A4"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767F5171"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49F865AA" w14:textId="77777777" w:rsidTr="00250BEC">
        <w:tc>
          <w:tcPr>
            <w:tcW w:w="3227" w:type="dxa"/>
            <w:shd w:val="clear" w:color="auto" w:fill="auto"/>
          </w:tcPr>
          <w:p w14:paraId="5AE6E161" w14:textId="77777777" w:rsidR="00250BEC" w:rsidRPr="00250BEC" w:rsidRDefault="00250BEC" w:rsidP="00250BEC">
            <w:pPr>
              <w:spacing w:line="216" w:lineRule="auto"/>
              <w:ind w:right="352" w:firstLine="0"/>
              <w:contextualSpacing/>
              <w:rPr>
                <w:rFonts w:ascii="PT Astra Serif" w:hAnsi="PT Astra Serif" w:cs="Times New Roman"/>
                <w:sz w:val="20"/>
                <w:szCs w:val="20"/>
              </w:rPr>
            </w:pPr>
            <w:r w:rsidRPr="00250BEC">
              <w:rPr>
                <w:rFonts w:ascii="PT Astra Serif" w:hAnsi="PT Astra Serif" w:cs="Times New Roman"/>
                <w:sz w:val="20"/>
                <w:szCs w:val="20"/>
              </w:rPr>
              <w:t xml:space="preserve">Другие образовательные организации </w:t>
            </w:r>
          </w:p>
        </w:tc>
        <w:tc>
          <w:tcPr>
            <w:tcW w:w="1134" w:type="dxa"/>
            <w:shd w:val="clear" w:color="auto" w:fill="auto"/>
            <w:vAlign w:val="center"/>
          </w:tcPr>
          <w:p w14:paraId="66613CE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3B6B1F26"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1796C07C"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w:t>
            </w:r>
          </w:p>
        </w:tc>
        <w:tc>
          <w:tcPr>
            <w:tcW w:w="993" w:type="dxa"/>
            <w:shd w:val="clear" w:color="auto" w:fill="auto"/>
            <w:vAlign w:val="center"/>
          </w:tcPr>
          <w:p w14:paraId="0D631A0F"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c>
          <w:tcPr>
            <w:tcW w:w="993" w:type="dxa"/>
            <w:shd w:val="clear" w:color="auto" w:fill="auto"/>
            <w:vAlign w:val="center"/>
          </w:tcPr>
          <w:p w14:paraId="2DEB7017"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c>
          <w:tcPr>
            <w:tcW w:w="993" w:type="dxa"/>
            <w:shd w:val="clear" w:color="auto" w:fill="auto"/>
            <w:vAlign w:val="center"/>
          </w:tcPr>
          <w:p w14:paraId="3C37F680" w14:textId="77777777" w:rsidR="00250BEC" w:rsidRPr="00250BEC" w:rsidRDefault="00250BEC" w:rsidP="00250BEC">
            <w:pPr>
              <w:ind w:right="-47"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w:t>
            </w:r>
          </w:p>
        </w:tc>
      </w:tr>
      <w:tr w:rsidR="00250BEC" w:rsidRPr="00250BEC" w14:paraId="52384C54" w14:textId="77777777" w:rsidTr="00250BEC">
        <w:tc>
          <w:tcPr>
            <w:tcW w:w="3227" w:type="dxa"/>
            <w:shd w:val="clear" w:color="auto" w:fill="auto"/>
          </w:tcPr>
          <w:p w14:paraId="59610A71" w14:textId="77777777" w:rsidR="00250BEC" w:rsidRPr="00250BEC" w:rsidRDefault="00250BEC" w:rsidP="00250BEC">
            <w:pPr>
              <w:spacing w:line="216" w:lineRule="auto"/>
              <w:ind w:right="352"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Всего:</w:t>
            </w:r>
          </w:p>
        </w:tc>
        <w:tc>
          <w:tcPr>
            <w:tcW w:w="1134" w:type="dxa"/>
            <w:shd w:val="clear" w:color="auto" w:fill="auto"/>
            <w:vAlign w:val="center"/>
          </w:tcPr>
          <w:p w14:paraId="7ADA692A"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89</w:t>
            </w:r>
          </w:p>
        </w:tc>
        <w:tc>
          <w:tcPr>
            <w:tcW w:w="993" w:type="dxa"/>
            <w:shd w:val="clear" w:color="auto" w:fill="auto"/>
            <w:vAlign w:val="center"/>
          </w:tcPr>
          <w:p w14:paraId="2801617A"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115</w:t>
            </w:r>
          </w:p>
        </w:tc>
        <w:tc>
          <w:tcPr>
            <w:tcW w:w="993" w:type="dxa"/>
            <w:shd w:val="clear" w:color="auto" w:fill="auto"/>
            <w:vAlign w:val="center"/>
          </w:tcPr>
          <w:p w14:paraId="58054A7A"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170</w:t>
            </w:r>
          </w:p>
        </w:tc>
        <w:tc>
          <w:tcPr>
            <w:tcW w:w="993" w:type="dxa"/>
            <w:shd w:val="clear" w:color="auto" w:fill="auto"/>
          </w:tcPr>
          <w:p w14:paraId="5E071D42"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168</w:t>
            </w:r>
          </w:p>
        </w:tc>
        <w:tc>
          <w:tcPr>
            <w:tcW w:w="993" w:type="dxa"/>
            <w:shd w:val="clear" w:color="auto" w:fill="auto"/>
          </w:tcPr>
          <w:p w14:paraId="51FA5F3E"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192</w:t>
            </w:r>
          </w:p>
        </w:tc>
        <w:tc>
          <w:tcPr>
            <w:tcW w:w="993" w:type="dxa"/>
            <w:shd w:val="clear" w:color="auto" w:fill="auto"/>
          </w:tcPr>
          <w:p w14:paraId="0D24A771" w14:textId="77777777" w:rsidR="00250BEC" w:rsidRPr="00250BEC" w:rsidRDefault="00250BEC" w:rsidP="00250BEC">
            <w:pPr>
              <w:ind w:right="-47"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130</w:t>
            </w:r>
          </w:p>
        </w:tc>
      </w:tr>
    </w:tbl>
    <w:p w14:paraId="54D507C8" w14:textId="77777777" w:rsidR="00250BEC" w:rsidRPr="00250BEC" w:rsidRDefault="00250BEC" w:rsidP="00005A38">
      <w:pPr>
        <w:ind w:left="709" w:firstLine="0"/>
        <w:jc w:val="center"/>
        <w:rPr>
          <w:rFonts w:ascii="PT Astra Serif" w:eastAsia="Times New Roman" w:hAnsi="PT Astra Serif" w:cs="Times New Roman"/>
          <w:szCs w:val="28"/>
          <w:lang w:eastAsia="ru-RU"/>
        </w:rPr>
      </w:pPr>
      <w:r w:rsidRPr="00250BEC">
        <w:rPr>
          <w:rFonts w:cs="Times New Roman"/>
          <w:noProof/>
          <w:lang w:eastAsia="ru-RU"/>
        </w:rPr>
        <w:drawing>
          <wp:anchor distT="0" distB="0" distL="114300" distR="114300" simplePos="0" relativeHeight="251674624" behindDoc="0" locked="0" layoutInCell="1" allowOverlap="1" wp14:anchorId="2E00CC1B" wp14:editId="4925A3AF">
            <wp:simplePos x="0" y="0"/>
            <wp:positionH relativeFrom="column">
              <wp:posOffset>334728</wp:posOffset>
            </wp:positionH>
            <wp:positionV relativeFrom="paragraph">
              <wp:posOffset>87630</wp:posOffset>
            </wp:positionV>
            <wp:extent cx="5088890" cy="2878455"/>
            <wp:effectExtent l="0" t="0" r="16510" b="17145"/>
            <wp:wrapSquare wrapText="bothSides"/>
            <wp:docPr id="90" name="Диаграмма 9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margin">
              <wp14:pctWidth>0</wp14:pctWidth>
            </wp14:sizeRelH>
            <wp14:sizeRelV relativeFrom="margin">
              <wp14:pctHeight>0</wp14:pctHeight>
            </wp14:sizeRelV>
          </wp:anchor>
        </w:drawing>
      </w:r>
    </w:p>
    <w:p w14:paraId="0B98789F" w14:textId="77777777" w:rsidR="00250BEC" w:rsidRPr="00250BEC" w:rsidRDefault="00250BEC" w:rsidP="00250BEC">
      <w:pPr>
        <w:widowControl w:val="0"/>
        <w:contextualSpacing/>
        <w:rPr>
          <w:rFonts w:ascii="PT Astra Serif" w:eastAsia="Times New Roman" w:hAnsi="PT Astra Serif" w:cs="Arial"/>
          <w:szCs w:val="28"/>
          <w:lang w:eastAsia="ru-RU"/>
        </w:rPr>
      </w:pPr>
      <w:r w:rsidRPr="00250BEC">
        <w:rPr>
          <w:rFonts w:ascii="PT Astra Serif" w:eastAsia="Times New Roman" w:hAnsi="PT Astra Serif" w:cs="Times New Roman"/>
          <w:szCs w:val="28"/>
          <w:lang w:eastAsia="ru-RU"/>
        </w:rPr>
        <w:t xml:space="preserve">С целью выявления талантливых, профессионально подготовленных студентов и выпускников, привлечения их на государственную гражданскую </w:t>
      </w:r>
      <w:r w:rsidRPr="00250BEC">
        <w:rPr>
          <w:rFonts w:ascii="PT Astra Serif" w:eastAsia="Times New Roman" w:hAnsi="PT Astra Serif" w:cs="Times New Roman"/>
          <w:szCs w:val="28"/>
          <w:lang w:eastAsia="ru-RU"/>
        </w:rPr>
        <w:br/>
        <w:t>и муниципальную службу в Ульяновской области</w:t>
      </w:r>
      <w:r w:rsidRPr="00250BEC">
        <w:rPr>
          <w:rFonts w:ascii="PT Astra Serif" w:eastAsia="Times New Roman" w:hAnsi="PT Astra Serif" w:cs="Arial"/>
          <w:szCs w:val="28"/>
          <w:lang w:eastAsia="ru-RU"/>
        </w:rPr>
        <w:t xml:space="preserve"> и в рамках системной работы, направленной на поиск и привлечение молодых управленцев, </w:t>
      </w:r>
      <w:r w:rsidRPr="00250BEC">
        <w:rPr>
          <w:rFonts w:ascii="PT Astra Serif" w:eastAsia="Times New Roman" w:hAnsi="PT Astra Serif" w:cs="Arial"/>
          <w:szCs w:val="28"/>
          <w:lang w:eastAsia="ru-RU"/>
        </w:rPr>
        <w:br/>
        <w:t>был проведен ряд следующих мероприятий:</w:t>
      </w:r>
    </w:p>
    <w:p w14:paraId="735833FD" w14:textId="77777777" w:rsidR="00250BEC" w:rsidRPr="00250BEC" w:rsidRDefault="00250BEC" w:rsidP="00250BEC">
      <w:pPr>
        <w:widowControl w:val="0"/>
        <w:shd w:val="clear" w:color="auto" w:fill="FFFFFF"/>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«День открытых дверей» в 4 органах государственной власти, ставший для 81 студента прекрасной возможностью познакомиться с работой на государственной гражданский службе;</w:t>
      </w:r>
    </w:p>
    <w:p w14:paraId="19CF7503" w14:textId="77777777" w:rsidR="00250BEC" w:rsidRPr="00250BEC" w:rsidRDefault="00250BEC" w:rsidP="00250BEC">
      <w:pPr>
        <w:widowControl w:val="0"/>
        <w:shd w:val="clear" w:color="auto" w:fill="FFFFFF"/>
        <w:contextualSpacing/>
        <w:rPr>
          <w:rFonts w:ascii="PT Astra Serif" w:eastAsia="Times New Roman" w:hAnsi="PT Astra Serif" w:cs="Times New Roman"/>
          <w:szCs w:val="28"/>
          <w:lang w:eastAsia="ru-RU"/>
        </w:rPr>
      </w:pPr>
      <w:r w:rsidRPr="00250BEC">
        <w:rPr>
          <w:rFonts w:ascii="PT Astra Serif" w:eastAsia="Times New Roman" w:hAnsi="PT Astra Serif" w:cs="Times New Roman"/>
          <w:szCs w:val="28"/>
          <w:lang w:eastAsia="ru-RU"/>
        </w:rPr>
        <w:t>конкурс «Лучшая студенческая инициатива», в рамках которого с</w:t>
      </w:r>
      <w:r w:rsidRPr="00250BEC">
        <w:rPr>
          <w:rFonts w:ascii="PT Astra Serif" w:hAnsi="PT Astra Serif" w:cs="Times New Roman"/>
          <w:szCs w:val="28"/>
        </w:rPr>
        <w:t>туденты представили интересные проекты, направленные на развитие региона, науки и социальной активности молодёжи;</w:t>
      </w:r>
    </w:p>
    <w:p w14:paraId="46C8B08F" w14:textId="77777777" w:rsidR="00250BEC" w:rsidRPr="00250BEC" w:rsidRDefault="00250BEC" w:rsidP="00250BEC">
      <w:pPr>
        <w:widowControl w:val="0"/>
        <w:shd w:val="clear" w:color="auto" w:fill="FFFFFF"/>
        <w:contextualSpacing/>
        <w:rPr>
          <w:rFonts w:ascii="PT Astra Serif" w:eastAsia="Times New Roman" w:hAnsi="PT Astra Serif" w:cs="Times New Roman"/>
          <w:szCs w:val="28"/>
          <w:lang w:eastAsia="ru-RU"/>
        </w:rPr>
      </w:pPr>
      <w:r w:rsidRPr="00250BEC">
        <w:rPr>
          <w:rFonts w:ascii="PT Astra Serif" w:hAnsi="PT Astra Serif" w:cs="Times New Roman"/>
          <w:szCs w:val="28"/>
        </w:rPr>
        <w:t>интеллектуальным поединком — игрой «Что? Где? Когда?».</w:t>
      </w:r>
    </w:p>
    <w:p w14:paraId="1C2A27D5" w14:textId="77777777" w:rsidR="00250BEC" w:rsidRPr="00250BEC" w:rsidRDefault="00250BEC" w:rsidP="00250BEC">
      <w:pPr>
        <w:widowControl w:val="0"/>
        <w:autoSpaceDE w:val="0"/>
        <w:autoSpaceDN w:val="0"/>
        <w:adjustRightInd w:val="0"/>
        <w:rPr>
          <w:rFonts w:ascii="PT Astra Serif" w:hAnsi="PT Astra Serif" w:cs="Times New Roman"/>
          <w:szCs w:val="28"/>
        </w:rPr>
      </w:pPr>
      <w:r w:rsidRPr="00250BEC">
        <w:rPr>
          <w:rFonts w:ascii="PT Astra Serif" w:hAnsi="PT Astra Serif" w:cs="Times New Roman"/>
          <w:szCs w:val="28"/>
        </w:rPr>
        <w:t xml:space="preserve">Дополнительным механизмом </w:t>
      </w:r>
      <w:r w:rsidRPr="00250BEC">
        <w:rPr>
          <w:rFonts w:ascii="PT Astra Serif" w:hAnsi="PT Astra Serif" w:cs="Times New Roman"/>
          <w:iCs/>
          <w:szCs w:val="28"/>
        </w:rPr>
        <w:t>кадрового подбора исходя из потребностей органов государственного управления</w:t>
      </w:r>
      <w:r w:rsidRPr="00250BEC">
        <w:rPr>
          <w:rFonts w:ascii="PT Astra Serif" w:hAnsi="PT Astra Serif" w:cs="Times New Roman"/>
          <w:szCs w:val="28"/>
        </w:rPr>
        <w:t xml:space="preserve"> является кадровый резерв. Так, в 2025 году кадровый резерв сформирован в 25 органах государственной власти Ульяновской области (100 % от общего числа органов государственной власти). </w:t>
      </w:r>
    </w:p>
    <w:p w14:paraId="1846CD9B" w14:textId="77777777" w:rsidR="00250BEC" w:rsidRPr="00250BEC" w:rsidRDefault="00250BEC" w:rsidP="00250BEC">
      <w:pPr>
        <w:widowControl w:val="0"/>
        <w:autoSpaceDE w:val="0"/>
        <w:autoSpaceDN w:val="0"/>
        <w:adjustRightInd w:val="0"/>
        <w:contextualSpacing/>
        <w:rPr>
          <w:rFonts w:ascii="PT Astra Serif" w:hAnsi="PT Astra Serif" w:cs="Times New Roman"/>
          <w:szCs w:val="28"/>
        </w:rPr>
      </w:pPr>
      <w:r w:rsidRPr="00250BEC">
        <w:rPr>
          <w:rFonts w:ascii="PT Astra Serif" w:hAnsi="PT Astra Serif" w:cs="Times New Roman"/>
          <w:szCs w:val="28"/>
        </w:rPr>
        <w:lastRenderedPageBreak/>
        <w:t xml:space="preserve">Количество лиц, зачисленных в кадровый резерв – 505 чел. (2024 год – 665 чел., 2023 год – 546 чел., 2022 год – 559 чел.), из них: 124 – гражданина </w:t>
      </w:r>
      <w:r w:rsidRPr="00250BEC">
        <w:rPr>
          <w:rFonts w:ascii="PT Astra Serif" w:hAnsi="PT Astra Serif" w:cs="Times New Roman"/>
          <w:szCs w:val="28"/>
        </w:rPr>
        <w:br/>
        <w:t>и 381 – государственный служащий.</w:t>
      </w:r>
    </w:p>
    <w:p w14:paraId="6F4A61C3" w14:textId="77777777" w:rsidR="00250BEC" w:rsidRPr="00250BEC" w:rsidRDefault="00250BEC" w:rsidP="00250BEC">
      <w:pPr>
        <w:widowControl w:val="0"/>
        <w:autoSpaceDE w:val="0"/>
        <w:autoSpaceDN w:val="0"/>
        <w:adjustRightInd w:val="0"/>
        <w:contextualSpacing/>
        <w:rPr>
          <w:rFonts w:ascii="PT Astra Serif" w:hAnsi="PT Astra Serif" w:cs="Times New Roman"/>
          <w:sz w:val="20"/>
          <w:szCs w:val="20"/>
        </w:rPr>
      </w:pPr>
    </w:p>
    <w:p w14:paraId="1395675C" w14:textId="77777777" w:rsidR="00250BEC" w:rsidRPr="00250BEC" w:rsidRDefault="00250BEC" w:rsidP="00250BEC">
      <w:pPr>
        <w:widowControl w:val="0"/>
        <w:autoSpaceDE w:val="0"/>
        <w:autoSpaceDN w:val="0"/>
        <w:adjustRightInd w:val="0"/>
        <w:ind w:firstLine="0"/>
        <w:contextualSpacing/>
        <w:jc w:val="center"/>
        <w:rPr>
          <w:rFonts w:ascii="PT Astra Serif" w:hAnsi="PT Astra Serif" w:cs="Times New Roman"/>
          <w:szCs w:val="28"/>
        </w:rPr>
      </w:pPr>
      <w:r w:rsidRPr="00250BEC">
        <w:rPr>
          <w:rFonts w:ascii="PT Astra Serif" w:hAnsi="PT Astra Serif" w:cs="Times New Roman"/>
          <w:noProof/>
          <w:lang w:eastAsia="ru-RU"/>
        </w:rPr>
        <w:drawing>
          <wp:inline distT="0" distB="0" distL="0" distR="0" wp14:anchorId="58331520" wp14:editId="3ABE608A">
            <wp:extent cx="4413250" cy="2298065"/>
            <wp:effectExtent l="0" t="0" r="6350" b="698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8">
                      <a:extLst>
                        <a:ext uri="{28A0092B-C50C-407E-A947-70E740481C1C}">
                          <a14:useLocalDpi xmlns:a14="http://schemas.microsoft.com/office/drawing/2010/main" val="0"/>
                        </a:ext>
                      </a:extLst>
                    </a:blip>
                    <a:srcRect l="28220" t="26859" r="36505" b="46886"/>
                    <a:stretch>
                      <a:fillRect/>
                    </a:stretch>
                  </pic:blipFill>
                  <pic:spPr bwMode="auto">
                    <a:xfrm>
                      <a:off x="0" y="0"/>
                      <a:ext cx="4413250" cy="2298065"/>
                    </a:xfrm>
                    <a:prstGeom prst="rect">
                      <a:avLst/>
                    </a:prstGeom>
                    <a:noFill/>
                    <a:ln>
                      <a:noFill/>
                    </a:ln>
                  </pic:spPr>
                </pic:pic>
              </a:graphicData>
            </a:graphic>
          </wp:inline>
        </w:drawing>
      </w:r>
    </w:p>
    <w:p w14:paraId="65AAEF17" w14:textId="77777777" w:rsidR="00250BEC" w:rsidRPr="00C72F5D" w:rsidRDefault="00250BEC" w:rsidP="00250BEC">
      <w:pPr>
        <w:widowControl w:val="0"/>
        <w:autoSpaceDE w:val="0"/>
        <w:autoSpaceDN w:val="0"/>
        <w:adjustRightInd w:val="0"/>
        <w:contextualSpacing/>
        <w:rPr>
          <w:rFonts w:ascii="PT Astra Serif" w:hAnsi="PT Astra Serif" w:cs="Times New Roman"/>
          <w:sz w:val="20"/>
          <w:szCs w:val="20"/>
        </w:rPr>
      </w:pPr>
    </w:p>
    <w:p w14:paraId="69A327CF" w14:textId="77777777" w:rsidR="00250BEC" w:rsidRPr="00250BEC" w:rsidRDefault="00250BEC" w:rsidP="00250BEC">
      <w:pPr>
        <w:widowControl w:val="0"/>
        <w:autoSpaceDE w:val="0"/>
        <w:autoSpaceDN w:val="0"/>
        <w:adjustRightInd w:val="0"/>
        <w:rPr>
          <w:rFonts w:ascii="PT Astra Serif" w:hAnsi="PT Astra Serif" w:cs="Times New Roman"/>
          <w:szCs w:val="28"/>
        </w:rPr>
      </w:pPr>
      <w:r w:rsidRPr="00250BEC">
        <w:rPr>
          <w:rFonts w:ascii="PT Astra Serif" w:hAnsi="PT Astra Serif" w:cs="Times New Roman"/>
          <w:szCs w:val="28"/>
        </w:rPr>
        <w:t xml:space="preserve">В 2025 году из кадрового резерва назначено </w:t>
      </w:r>
      <w:r w:rsidRPr="00250BEC">
        <w:rPr>
          <w:rFonts w:ascii="PT Astra Serif" w:hAnsi="PT Astra Serif" w:cs="Times New Roman"/>
          <w:bCs/>
          <w:szCs w:val="28"/>
        </w:rPr>
        <w:t xml:space="preserve">132 чел. </w:t>
      </w:r>
      <w:r w:rsidRPr="00250BEC">
        <w:rPr>
          <w:rFonts w:ascii="PT Astra Serif" w:hAnsi="PT Astra Serif" w:cs="Times New Roman"/>
          <w:bCs/>
          <w:szCs w:val="28"/>
        </w:rPr>
        <w:br/>
        <w:t>(2024 год – 165 чел., 2023 год – 81 чел., 2022 год 135 чел.</w:t>
      </w:r>
      <w:r w:rsidRPr="00250BEC">
        <w:rPr>
          <w:rFonts w:ascii="PT Astra Serif" w:hAnsi="PT Astra Serif" w:cs="Times New Roman"/>
          <w:szCs w:val="28"/>
        </w:rPr>
        <w:t>), что составляет 27,2 (в 2024 году - 11,7%) от общего количества назначений на должности государственной службы.</w:t>
      </w:r>
    </w:p>
    <w:p w14:paraId="333B23F7" w14:textId="77777777" w:rsidR="00250BEC" w:rsidRPr="00250BEC" w:rsidRDefault="00250BEC" w:rsidP="00250BEC">
      <w:pPr>
        <w:widowControl w:val="0"/>
        <w:autoSpaceDE w:val="0"/>
        <w:autoSpaceDN w:val="0"/>
        <w:adjustRightInd w:val="0"/>
        <w:rPr>
          <w:rFonts w:ascii="PT Astra Serif" w:hAnsi="PT Astra Serif" w:cs="Times New Roman"/>
          <w:sz w:val="20"/>
          <w:szCs w:val="20"/>
        </w:rPr>
      </w:pPr>
    </w:p>
    <w:p w14:paraId="7EDF868E" w14:textId="77777777" w:rsidR="00250BEC" w:rsidRPr="00250BEC" w:rsidRDefault="00250BEC" w:rsidP="00250BEC">
      <w:pPr>
        <w:widowControl w:val="0"/>
        <w:autoSpaceDE w:val="0"/>
        <w:autoSpaceDN w:val="0"/>
        <w:adjustRightInd w:val="0"/>
        <w:ind w:firstLine="0"/>
        <w:jc w:val="center"/>
        <w:rPr>
          <w:rFonts w:ascii="PT Astra Serif" w:hAnsi="PT Astra Serif" w:cs="Times New Roman"/>
          <w:noProof/>
          <w:szCs w:val="28"/>
          <w:lang w:eastAsia="ru-RU"/>
        </w:rPr>
      </w:pPr>
      <w:r w:rsidRPr="00250BEC">
        <w:rPr>
          <w:rFonts w:ascii="PT Astra Serif" w:hAnsi="PT Astra Serif" w:cs="Times New Roman"/>
          <w:noProof/>
          <w:lang w:eastAsia="ru-RU"/>
        </w:rPr>
        <w:drawing>
          <wp:inline distT="0" distB="0" distL="0" distR="0" wp14:anchorId="348A67E6" wp14:editId="3CC0AD42">
            <wp:extent cx="4874260" cy="2456815"/>
            <wp:effectExtent l="0" t="0" r="2540" b="63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9">
                      <a:extLst>
                        <a:ext uri="{28A0092B-C50C-407E-A947-70E740481C1C}">
                          <a14:useLocalDpi xmlns:a14="http://schemas.microsoft.com/office/drawing/2010/main" val="0"/>
                        </a:ext>
                      </a:extLst>
                    </a:blip>
                    <a:srcRect l="27579" t="46300" r="32497" b="24438"/>
                    <a:stretch>
                      <a:fillRect/>
                    </a:stretch>
                  </pic:blipFill>
                  <pic:spPr bwMode="auto">
                    <a:xfrm>
                      <a:off x="0" y="0"/>
                      <a:ext cx="4874260" cy="2456815"/>
                    </a:xfrm>
                    <a:prstGeom prst="rect">
                      <a:avLst/>
                    </a:prstGeom>
                    <a:noFill/>
                    <a:ln>
                      <a:noFill/>
                    </a:ln>
                  </pic:spPr>
                </pic:pic>
              </a:graphicData>
            </a:graphic>
          </wp:inline>
        </w:drawing>
      </w:r>
    </w:p>
    <w:p w14:paraId="6039EEE5" w14:textId="77777777" w:rsidR="00250BEC" w:rsidRPr="00250BEC" w:rsidRDefault="00250BEC" w:rsidP="00250BEC">
      <w:pPr>
        <w:widowControl w:val="0"/>
        <w:autoSpaceDE w:val="0"/>
        <w:autoSpaceDN w:val="0"/>
        <w:adjustRightInd w:val="0"/>
        <w:rPr>
          <w:rFonts w:ascii="PT Astra Serif" w:hAnsi="PT Astra Serif" w:cs="Times New Roman"/>
          <w:noProof/>
          <w:szCs w:val="28"/>
          <w:lang w:eastAsia="ru-RU"/>
        </w:rPr>
      </w:pPr>
    </w:p>
    <w:p w14:paraId="298EA407" w14:textId="77777777" w:rsidR="00250BEC" w:rsidRPr="00250BEC" w:rsidRDefault="00250BEC" w:rsidP="00250BEC">
      <w:pPr>
        <w:widowControl w:val="0"/>
        <w:autoSpaceDE w:val="0"/>
        <w:autoSpaceDN w:val="0"/>
        <w:adjustRightInd w:val="0"/>
        <w:ind w:firstLine="0"/>
        <w:contextualSpacing/>
        <w:jc w:val="center"/>
        <w:rPr>
          <w:rFonts w:ascii="PT Astra Serif" w:eastAsia="Times New Roman" w:hAnsi="PT Astra Serif" w:cs="Arial"/>
          <w:b/>
          <w:bCs/>
          <w:iCs/>
          <w:szCs w:val="28"/>
          <w:lang w:eastAsia="ru-RU"/>
        </w:rPr>
      </w:pPr>
      <w:r w:rsidRPr="00250BEC">
        <w:rPr>
          <w:rFonts w:ascii="PT Astra Serif" w:eastAsia="Times New Roman" w:hAnsi="PT Astra Serif" w:cs="Arial"/>
          <w:b/>
          <w:bCs/>
          <w:iCs/>
          <w:szCs w:val="28"/>
          <w:lang w:eastAsia="ru-RU"/>
        </w:rPr>
        <w:t>Внедрение современных кадровых технологий на гражданской службе</w:t>
      </w:r>
    </w:p>
    <w:p w14:paraId="60377C67" w14:textId="77777777" w:rsidR="00250BEC" w:rsidRPr="00250BEC" w:rsidRDefault="00250BEC" w:rsidP="00250BEC">
      <w:pPr>
        <w:widowControl w:val="0"/>
        <w:autoSpaceDE w:val="0"/>
        <w:autoSpaceDN w:val="0"/>
        <w:adjustRightInd w:val="0"/>
        <w:ind w:firstLine="0"/>
        <w:contextualSpacing/>
        <w:jc w:val="center"/>
        <w:rPr>
          <w:rFonts w:ascii="PT Astra Serif" w:eastAsia="Times New Roman" w:hAnsi="PT Astra Serif" w:cs="Arial"/>
          <w:b/>
          <w:bCs/>
          <w:iCs/>
          <w:szCs w:val="28"/>
          <w:lang w:eastAsia="ru-RU"/>
        </w:rPr>
      </w:pPr>
    </w:p>
    <w:p w14:paraId="4BAC6FC8" w14:textId="77777777" w:rsidR="00250BEC" w:rsidRPr="00250BEC" w:rsidRDefault="00250BEC" w:rsidP="00250BEC">
      <w:pPr>
        <w:widowControl w:val="0"/>
        <w:shd w:val="clear" w:color="auto" w:fill="FFFFFF"/>
        <w:suppressAutoHyphens/>
        <w:rPr>
          <w:rFonts w:ascii="PT Astra Serif" w:hAnsi="PT Astra Serif" w:cs="Times New Roman"/>
          <w:szCs w:val="28"/>
        </w:rPr>
      </w:pPr>
      <w:r w:rsidRPr="00250BEC">
        <w:rPr>
          <w:rFonts w:ascii="PT Astra Serif" w:hAnsi="PT Astra Serif" w:cs="Times New Roman"/>
          <w:szCs w:val="28"/>
        </w:rPr>
        <w:t xml:space="preserve">В целях эффективного использования имеющегося кадрового потенциала на государственной гражданской службе Ульяновской области </w:t>
      </w:r>
      <w:r w:rsidRPr="00250BEC">
        <w:rPr>
          <w:rFonts w:ascii="PT Astra Serif" w:hAnsi="PT Astra Serif" w:cs="Times New Roman"/>
          <w:szCs w:val="28"/>
        </w:rPr>
        <w:br/>
        <w:t xml:space="preserve">в исполнительных органах введен и эффективно действует </w:t>
      </w:r>
      <w:r w:rsidRPr="00250BEC">
        <w:rPr>
          <w:rFonts w:ascii="PT Astra Serif" w:hAnsi="PT Astra Serif" w:cs="Times New Roman"/>
          <w:bCs/>
          <w:szCs w:val="28"/>
        </w:rPr>
        <w:t>Институт наставничества</w:t>
      </w:r>
      <w:r w:rsidRPr="00250BEC">
        <w:rPr>
          <w:rFonts w:ascii="PT Astra Serif" w:hAnsi="PT Astra Serif" w:cs="Times New Roman"/>
          <w:szCs w:val="28"/>
        </w:rPr>
        <w:t xml:space="preserve">, целью которого является оказание помощи лицам, поступающим на службу, в приобретении ими необходимых профессиональных навыков и опыта работы. </w:t>
      </w:r>
    </w:p>
    <w:p w14:paraId="314928DE" w14:textId="77777777" w:rsidR="00250BEC" w:rsidRPr="00250BEC" w:rsidRDefault="00250BEC" w:rsidP="00250BEC">
      <w:pPr>
        <w:widowControl w:val="0"/>
        <w:shd w:val="clear" w:color="auto" w:fill="FFFFFF"/>
        <w:suppressAutoHyphens/>
        <w:contextualSpacing/>
        <w:rPr>
          <w:rFonts w:ascii="PT Astra Serif" w:hAnsi="PT Astra Serif" w:cs="Times New Roman"/>
          <w:szCs w:val="28"/>
        </w:rPr>
      </w:pPr>
      <w:r w:rsidRPr="00250BEC">
        <w:rPr>
          <w:rFonts w:ascii="PT Astra Serif" w:hAnsi="PT Astra Serif" w:cs="Times New Roman"/>
          <w:szCs w:val="28"/>
        </w:rPr>
        <w:t>За этот период за 2102 лицами, принятыми на государственную гражданскую службу, было закреплено 2 334 наставника.</w:t>
      </w:r>
    </w:p>
    <w:p w14:paraId="5EB1A4FD" w14:textId="77777777" w:rsidR="00250BEC" w:rsidRPr="00250BEC" w:rsidRDefault="00250BEC" w:rsidP="00250BEC">
      <w:pPr>
        <w:widowControl w:val="0"/>
        <w:shd w:val="clear" w:color="auto" w:fill="FFFFFF"/>
        <w:suppressAutoHyphens/>
        <w:contextualSpacing/>
        <w:rPr>
          <w:rFonts w:ascii="PT Astra Serif" w:hAnsi="PT Astra Serif" w:cs="Times New Roman"/>
          <w:sz w:val="20"/>
          <w:szCs w:val="20"/>
        </w:rPr>
      </w:pPr>
    </w:p>
    <w:p w14:paraId="60135DAB" w14:textId="77777777" w:rsidR="00250BEC" w:rsidRPr="00250BEC" w:rsidRDefault="00250BEC" w:rsidP="00250BEC">
      <w:pPr>
        <w:widowControl w:val="0"/>
        <w:suppressAutoHyphens/>
        <w:ind w:firstLine="142"/>
        <w:contextualSpacing/>
        <w:jc w:val="center"/>
        <w:rPr>
          <w:rFonts w:ascii="PT Astra Serif" w:hAnsi="PT Astra Serif" w:cs="Times New Roman"/>
          <w:szCs w:val="28"/>
        </w:rPr>
      </w:pPr>
      <w:r w:rsidRPr="00250BEC">
        <w:rPr>
          <w:rFonts w:ascii="PT Astra Serif" w:hAnsi="PT Astra Serif" w:cs="Times New Roman"/>
          <w:noProof/>
          <w:szCs w:val="28"/>
          <w:lang w:eastAsia="ru-RU"/>
        </w:rPr>
        <w:lastRenderedPageBreak/>
        <w:drawing>
          <wp:inline distT="0" distB="0" distL="0" distR="0" wp14:anchorId="46C39A7D" wp14:editId="590A7B42">
            <wp:extent cx="5446395" cy="3204210"/>
            <wp:effectExtent l="0" t="0" r="0" b="0"/>
            <wp:docPr id="93" name="Диаграмма 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1FD4834" w14:textId="77777777" w:rsidR="00250BEC" w:rsidRPr="00C72F5D" w:rsidRDefault="00250BEC" w:rsidP="00250BEC">
      <w:pPr>
        <w:widowControl w:val="0"/>
        <w:rPr>
          <w:rFonts w:ascii="PT Astra Serif" w:hAnsi="PT Astra Serif" w:cs="Times New Roman"/>
          <w:sz w:val="20"/>
          <w:szCs w:val="20"/>
        </w:rPr>
      </w:pPr>
    </w:p>
    <w:p w14:paraId="4CC7DFFC" w14:textId="77777777" w:rsidR="00250BEC" w:rsidRPr="00250BEC" w:rsidRDefault="00250BEC" w:rsidP="00250BEC">
      <w:pPr>
        <w:widowControl w:val="0"/>
        <w:rPr>
          <w:rFonts w:ascii="PT Astra Serif" w:hAnsi="PT Astra Serif" w:cs="Times New Roman"/>
          <w:i/>
          <w:szCs w:val="28"/>
        </w:rPr>
      </w:pPr>
      <w:r w:rsidRPr="00250BEC">
        <w:rPr>
          <w:rFonts w:ascii="PT Astra Serif" w:hAnsi="PT Astra Serif" w:cs="Times New Roman"/>
          <w:szCs w:val="28"/>
        </w:rPr>
        <w:t xml:space="preserve">Дополнительным ресурсом в профессиональном становлении и более быстрой адаптации для новичков стал обучающий проект </w:t>
      </w:r>
      <w:r w:rsidRPr="00250BEC">
        <w:rPr>
          <w:rFonts w:ascii="PT Astra Serif" w:hAnsi="PT Astra Serif" w:cs="Times New Roman"/>
          <w:bCs/>
          <w:szCs w:val="28"/>
        </w:rPr>
        <w:t>«Курс молодого бойца»</w:t>
      </w:r>
      <w:r w:rsidRPr="00250BEC">
        <w:rPr>
          <w:rFonts w:ascii="PT Astra Serif" w:hAnsi="PT Astra Serif" w:cs="Times New Roman"/>
          <w:szCs w:val="28"/>
        </w:rPr>
        <w:t xml:space="preserve">, представляющий собой очные встречи вновь принятых сотрудников </w:t>
      </w:r>
      <w:r w:rsidRPr="00250BEC">
        <w:rPr>
          <w:rFonts w:ascii="PT Astra Serif" w:hAnsi="PT Astra Serif" w:cs="Times New Roman"/>
          <w:szCs w:val="28"/>
        </w:rPr>
        <w:br/>
        <w:t>с более опытными сотрудниками, в рамках которых проводились обучающие занятия по основным вопросам прохождения государственной гражданской службы, технологиям подготовки нормативных правовых актов; организационно-протокольного обеспечения, экспертно-аналитического обеспечения и др.</w:t>
      </w:r>
    </w:p>
    <w:p w14:paraId="2AE8B25F" w14:textId="77777777" w:rsidR="00250BEC" w:rsidRPr="00250BEC" w:rsidRDefault="00250BEC" w:rsidP="00250BEC">
      <w:pPr>
        <w:widowControl w:val="0"/>
        <w:contextualSpacing/>
        <w:rPr>
          <w:rFonts w:ascii="PT Astra Serif" w:hAnsi="PT Astra Serif" w:cs="Times New Roman"/>
          <w:szCs w:val="28"/>
        </w:rPr>
      </w:pPr>
      <w:r w:rsidRPr="00250BEC">
        <w:rPr>
          <w:rFonts w:ascii="PT Astra Serif" w:hAnsi="PT Astra Serif" w:cs="Times New Roman"/>
          <w:szCs w:val="28"/>
        </w:rPr>
        <w:t xml:space="preserve">За период организации «Курса молодого бойца» обучение прошли </w:t>
      </w:r>
      <w:r w:rsidRPr="00250BEC">
        <w:rPr>
          <w:rFonts w:ascii="PT Astra Serif" w:hAnsi="PT Astra Serif" w:cs="Times New Roman"/>
          <w:szCs w:val="28"/>
        </w:rPr>
        <w:br/>
        <w:t>1 176 работника исполнительных органов Ульяновской области (в 2025 году - 77 работника, в 2024 году - 122 работника), из них:</w:t>
      </w:r>
    </w:p>
    <w:p w14:paraId="3C0FA899" w14:textId="77777777" w:rsidR="00250BEC" w:rsidRPr="00250BEC" w:rsidRDefault="00250BEC" w:rsidP="00250BEC">
      <w:pPr>
        <w:widowControl w:val="0"/>
        <w:ind w:firstLine="0"/>
        <w:jc w:val="center"/>
        <w:rPr>
          <w:rFonts w:ascii="PT Astra Serif" w:hAnsi="PT Astra Serif" w:cs="Times New Roman"/>
          <w:szCs w:val="28"/>
        </w:rPr>
      </w:pPr>
      <w:r w:rsidRPr="00250BEC">
        <w:rPr>
          <w:rFonts w:ascii="PT Astra Serif" w:hAnsi="PT Astra Serif" w:cs="Times New Roman"/>
          <w:noProof/>
          <w:szCs w:val="28"/>
          <w:lang w:eastAsia="ru-RU"/>
        </w:rPr>
        <w:drawing>
          <wp:inline distT="0" distB="0" distL="0" distR="0" wp14:anchorId="0227889E" wp14:editId="41B0CF9E">
            <wp:extent cx="5391150" cy="3077210"/>
            <wp:effectExtent l="0" t="0" r="0" b="8890"/>
            <wp:docPr id="94" name="Диаграмма 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4C1D83F" w14:textId="77777777" w:rsidR="00005A38" w:rsidRPr="00C72F5D" w:rsidRDefault="00005A38" w:rsidP="00250BEC">
      <w:pPr>
        <w:widowControl w:val="0"/>
        <w:autoSpaceDE w:val="0"/>
        <w:autoSpaceDN w:val="0"/>
        <w:rPr>
          <w:rFonts w:ascii="PT Astra Serif" w:hAnsi="PT Astra Serif" w:cs="Times New Roman"/>
          <w:sz w:val="20"/>
          <w:szCs w:val="20"/>
        </w:rPr>
      </w:pPr>
    </w:p>
    <w:p w14:paraId="3FC3D75D" w14:textId="3CB0C6A7" w:rsidR="00250BEC" w:rsidRPr="00250BEC" w:rsidRDefault="00250BEC" w:rsidP="00250BEC">
      <w:pPr>
        <w:widowControl w:val="0"/>
        <w:autoSpaceDE w:val="0"/>
        <w:autoSpaceDN w:val="0"/>
        <w:rPr>
          <w:rFonts w:ascii="PT Astra Serif" w:hAnsi="PT Astra Serif" w:cs="Times New Roman"/>
          <w:szCs w:val="28"/>
        </w:rPr>
      </w:pPr>
      <w:r w:rsidRPr="00250BEC">
        <w:rPr>
          <w:rFonts w:ascii="PT Astra Serif" w:hAnsi="PT Astra Serif" w:cs="Times New Roman"/>
          <w:szCs w:val="28"/>
        </w:rPr>
        <w:t xml:space="preserve">В 2025 году в целях возрождения и развития в Ульяновской области традиций наставничества, привлечения внимания руководителей организаций </w:t>
      </w:r>
      <w:r w:rsidRPr="00250BEC">
        <w:rPr>
          <w:rFonts w:ascii="PT Astra Serif" w:hAnsi="PT Astra Serif" w:cs="Times New Roman"/>
          <w:szCs w:val="28"/>
        </w:rPr>
        <w:lastRenderedPageBreak/>
        <w:t xml:space="preserve">и предприятий Ульяновской области к подготовке молодых кадров через систему наставничества, популяризации наставнической деятельности </w:t>
      </w:r>
      <w:r w:rsidRPr="00250BEC">
        <w:rPr>
          <w:rFonts w:ascii="PT Astra Serif" w:hAnsi="PT Astra Serif" w:cs="Times New Roman"/>
          <w:szCs w:val="28"/>
        </w:rPr>
        <w:br/>
        <w:t xml:space="preserve">и обобщения опыта по реализации программ наставничества в организациях </w:t>
      </w:r>
      <w:r w:rsidRPr="00250BEC">
        <w:rPr>
          <w:rFonts w:ascii="PT Astra Serif" w:hAnsi="PT Astra Serif" w:cs="Times New Roman"/>
          <w:szCs w:val="28"/>
        </w:rPr>
        <w:br/>
        <w:t>и предприятиях Ульяновской области проведён ряд значимых мероприятий:</w:t>
      </w:r>
    </w:p>
    <w:p w14:paraId="5729E632" w14:textId="77777777" w:rsidR="00250BEC" w:rsidRPr="00250BEC" w:rsidRDefault="00250BEC" w:rsidP="00250BEC">
      <w:pPr>
        <w:widowControl w:val="0"/>
        <w:autoSpaceDE w:val="0"/>
        <w:autoSpaceDN w:val="0"/>
        <w:contextualSpacing/>
        <w:rPr>
          <w:rFonts w:ascii="PT Astra Serif" w:hAnsi="PT Astra Serif" w:cs="Times New Roman"/>
          <w:szCs w:val="28"/>
        </w:rPr>
      </w:pPr>
      <w:r w:rsidRPr="00250BEC">
        <w:rPr>
          <w:rFonts w:ascii="PT Astra Serif" w:hAnsi="PT Astra Serif" w:cs="Times New Roman"/>
          <w:szCs w:val="28"/>
        </w:rPr>
        <w:t>Областной конкурс «Лучший наставник Ульяновской области», участие в котором приняли 28 человек, признаны победителями 10 человек.</w:t>
      </w:r>
    </w:p>
    <w:p w14:paraId="7D70FD14" w14:textId="77777777" w:rsidR="00250BEC" w:rsidRPr="00FD65E0" w:rsidRDefault="00250BEC" w:rsidP="00250BEC">
      <w:pPr>
        <w:widowControl w:val="0"/>
        <w:autoSpaceDE w:val="0"/>
        <w:autoSpaceDN w:val="0"/>
        <w:contextualSpacing/>
        <w:rPr>
          <w:rFonts w:ascii="PT Astra Serif" w:hAnsi="PT Astra Serif" w:cs="Times New Roman"/>
          <w:sz w:val="20"/>
          <w:szCs w:val="20"/>
        </w:rPr>
      </w:pPr>
    </w:p>
    <w:p w14:paraId="72A9DE33" w14:textId="77777777" w:rsidR="00250BEC" w:rsidRPr="00250BEC" w:rsidRDefault="00250BEC" w:rsidP="00250BEC">
      <w:pPr>
        <w:widowControl w:val="0"/>
        <w:autoSpaceDE w:val="0"/>
        <w:autoSpaceDN w:val="0"/>
        <w:contextualSpacing/>
        <w:rPr>
          <w:rFonts w:ascii="PT Astra Serif" w:hAnsi="PT Astra Serif" w:cs="Times New Roman"/>
          <w:szCs w:val="28"/>
        </w:rPr>
      </w:pPr>
      <w:r w:rsidRPr="00250BEC">
        <w:rPr>
          <w:rFonts w:ascii="PT Astra Serif" w:hAnsi="PT Astra Serif" w:cs="Times New Roman"/>
          <w:noProof/>
          <w:szCs w:val="28"/>
          <w:lang w:eastAsia="ru-RU"/>
        </w:rPr>
        <w:drawing>
          <wp:inline distT="0" distB="0" distL="0" distR="0" wp14:anchorId="3719BF69" wp14:editId="29B8055C">
            <wp:extent cx="4786961" cy="2592125"/>
            <wp:effectExtent l="0" t="0" r="13970" b="17780"/>
            <wp:docPr id="95" name="Диаграмма 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9BE4721" w14:textId="77777777" w:rsidR="00250BEC" w:rsidRPr="00C72F5D" w:rsidRDefault="00250BEC" w:rsidP="00250BEC">
      <w:pPr>
        <w:widowControl w:val="0"/>
        <w:autoSpaceDE w:val="0"/>
        <w:autoSpaceDN w:val="0"/>
        <w:contextualSpacing/>
        <w:rPr>
          <w:rFonts w:ascii="PT Astra Serif" w:hAnsi="PT Astra Serif" w:cs="Times New Roman"/>
          <w:sz w:val="20"/>
          <w:szCs w:val="20"/>
        </w:rPr>
      </w:pPr>
    </w:p>
    <w:p w14:paraId="13BBBFE4" w14:textId="77777777" w:rsidR="00250BEC" w:rsidRPr="00250BEC" w:rsidRDefault="00250BEC" w:rsidP="00250BEC">
      <w:pPr>
        <w:widowControl w:val="0"/>
        <w:rPr>
          <w:rFonts w:ascii="PT Astra Serif" w:hAnsi="PT Astra Serif" w:cs="Times New Roman"/>
          <w:szCs w:val="28"/>
        </w:rPr>
      </w:pPr>
      <w:r w:rsidRPr="00250BEC">
        <w:rPr>
          <w:rFonts w:ascii="PT Astra Serif" w:hAnsi="PT Astra Serif" w:cs="Times New Roman"/>
          <w:szCs w:val="28"/>
        </w:rPr>
        <w:t xml:space="preserve">Ко Дню наставника в Ульяновской области – 28 сентября, и Дню памяти Михаила Ивановича </w:t>
      </w:r>
      <w:proofErr w:type="spellStart"/>
      <w:r w:rsidRPr="00250BEC">
        <w:rPr>
          <w:rFonts w:ascii="PT Astra Serif" w:hAnsi="PT Astra Serif" w:cs="Times New Roman"/>
          <w:szCs w:val="28"/>
        </w:rPr>
        <w:t>Лимасова</w:t>
      </w:r>
      <w:proofErr w:type="spellEnd"/>
      <w:r w:rsidRPr="00250BEC">
        <w:rPr>
          <w:rFonts w:ascii="PT Astra Serif" w:hAnsi="PT Astra Serif" w:cs="Times New Roman"/>
          <w:szCs w:val="28"/>
        </w:rPr>
        <w:t xml:space="preserve">, старейшего токаря на земле, делегация из числа представителей управления по вопросам государственной службы </w:t>
      </w:r>
      <w:r w:rsidRPr="00250BEC">
        <w:rPr>
          <w:rFonts w:ascii="PT Astra Serif" w:hAnsi="PT Astra Serif" w:cs="Times New Roman"/>
          <w:szCs w:val="28"/>
        </w:rPr>
        <w:br/>
        <w:t xml:space="preserve">и кадров администрации Губернатора Ульяновской области почтили память НАСТАВНИКА, возложили цветы на его могилу (Аллея Славы </w:t>
      </w:r>
      <w:r w:rsidRPr="00250BEC">
        <w:rPr>
          <w:rFonts w:ascii="PT Astra Serif" w:hAnsi="PT Astra Serif" w:cs="Times New Roman"/>
          <w:szCs w:val="28"/>
        </w:rPr>
        <w:br/>
        <w:t>на Архангельском кладбище в Заволжском районе города Ульяновска).</w:t>
      </w:r>
    </w:p>
    <w:p w14:paraId="24BD4DE5" w14:textId="77777777" w:rsidR="00250BEC" w:rsidRPr="00250BEC" w:rsidRDefault="00250BEC" w:rsidP="00250BEC">
      <w:pPr>
        <w:widowControl w:val="0"/>
        <w:rPr>
          <w:rFonts w:ascii="PT Astra Serif" w:hAnsi="PT Astra Serif" w:cs="Times New Roman"/>
          <w:bCs/>
          <w:szCs w:val="28"/>
        </w:rPr>
      </w:pPr>
      <w:r w:rsidRPr="00250BEC">
        <w:rPr>
          <w:rFonts w:ascii="PT Astra Serif" w:hAnsi="PT Astra Serif" w:cs="Times New Roman"/>
          <w:bCs/>
          <w:szCs w:val="28"/>
        </w:rPr>
        <w:t xml:space="preserve">Продолжает функционировать сайт «Наставник73», представляющий собой базу наставников региона, лучшие практики наставничества </w:t>
      </w:r>
      <w:r w:rsidRPr="00250BEC">
        <w:rPr>
          <w:rFonts w:ascii="PT Astra Serif" w:hAnsi="PT Astra Serif" w:cs="Times New Roman"/>
          <w:bCs/>
          <w:szCs w:val="28"/>
        </w:rPr>
        <w:br/>
        <w:t>на предприятиях, банк обучающих программ для наставников всех отраслей экономики, государственного и муниципального управления, актуальные региональные новости и т.д. Данный и</w:t>
      </w:r>
      <w:r w:rsidRPr="00250BEC">
        <w:rPr>
          <w:rFonts w:ascii="PT Astra Serif" w:hAnsi="PT Astra Serif" w:cs="Times New Roman"/>
          <w:szCs w:val="28"/>
        </w:rPr>
        <w:t xml:space="preserve">нформационный ресурс обеспечивает доступность системы наставничества для работодателей, лидеров профсоюзного движения, лиц, осуществляющих функции наставничества; создает условия для открытых коммуникаций между наставниками </w:t>
      </w:r>
      <w:r w:rsidRPr="00250BEC">
        <w:rPr>
          <w:rFonts w:ascii="PT Astra Serif" w:hAnsi="PT Astra Serif" w:cs="Times New Roman"/>
          <w:szCs w:val="28"/>
        </w:rPr>
        <w:br/>
        <w:t>и «наставляемыми».</w:t>
      </w:r>
    </w:p>
    <w:p w14:paraId="0D620949" w14:textId="77777777" w:rsidR="00250BEC" w:rsidRPr="00250BEC" w:rsidRDefault="00250BEC" w:rsidP="00250BEC">
      <w:pPr>
        <w:widowControl w:val="0"/>
        <w:rPr>
          <w:rFonts w:ascii="PT Astra Serif" w:hAnsi="PT Astra Serif" w:cs="Times New Roman"/>
          <w:szCs w:val="28"/>
        </w:rPr>
      </w:pPr>
      <w:bookmarkStart w:id="58" w:name="_Hlk163049615"/>
      <w:r w:rsidRPr="00250BEC">
        <w:rPr>
          <w:rFonts w:ascii="PT Astra Serif" w:hAnsi="PT Astra Serif" w:cs="Times New Roman"/>
          <w:szCs w:val="28"/>
        </w:rPr>
        <w:t>133</w:t>
      </w:r>
      <w:bookmarkEnd w:id="58"/>
      <w:r w:rsidRPr="00250BEC">
        <w:rPr>
          <w:rFonts w:ascii="PT Astra Serif" w:hAnsi="PT Astra Serif" w:cs="Times New Roman"/>
          <w:szCs w:val="28"/>
        </w:rPr>
        <w:t xml:space="preserve"> наставника были поощрены материальной выплатой за эффективную наставническую деятельность. Реализация данного метода поощрения наставников способствует повышению места в рейтинге Ульяновской области относительно субъектов Приволжского федерального округа и заинтересованности работников в осуществлении наставнической деятельности. </w:t>
      </w:r>
    </w:p>
    <w:p w14:paraId="050AE6C0"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b/>
          <w:bCs/>
          <w:iCs/>
          <w:szCs w:val="28"/>
          <w:lang w:eastAsia="ru-RU"/>
        </w:rPr>
      </w:pPr>
      <w:r w:rsidRPr="00250BEC">
        <w:rPr>
          <w:rFonts w:ascii="PT Astra Serif" w:eastAsia="Times New Roman" w:hAnsi="PT Astra Serif" w:cs="Arial"/>
          <w:b/>
          <w:bCs/>
          <w:iCs/>
          <w:szCs w:val="28"/>
          <w:lang w:eastAsia="ru-RU"/>
        </w:rPr>
        <w:t>Внедрение программ мотивации и обеспечения должностного роста наиболее результативных гражданских служащих, расширение практики служебных стажировок.</w:t>
      </w:r>
    </w:p>
    <w:p w14:paraId="0E431431" w14:textId="77777777" w:rsidR="00250BEC" w:rsidRPr="00250BEC" w:rsidRDefault="00250BEC" w:rsidP="00250BEC">
      <w:pPr>
        <w:widowControl w:val="0"/>
        <w:shd w:val="clear" w:color="auto" w:fill="FFFFFF"/>
        <w:suppressAutoHyphens/>
        <w:autoSpaceDE w:val="0"/>
        <w:autoSpaceDN w:val="0"/>
        <w:adjustRightInd w:val="0"/>
        <w:contextualSpacing/>
        <w:rPr>
          <w:rFonts w:ascii="PT Astra Serif" w:eastAsia="Times New Roman" w:hAnsi="PT Astra Serif" w:cs="Arial"/>
          <w:bCs/>
          <w:iCs/>
          <w:color w:val="000000"/>
          <w:szCs w:val="28"/>
          <w:lang w:eastAsia="ru-RU"/>
        </w:rPr>
      </w:pPr>
      <w:r w:rsidRPr="00250BEC">
        <w:rPr>
          <w:rFonts w:ascii="PT Astra Serif" w:eastAsia="Times New Roman" w:hAnsi="PT Astra Serif" w:cs="Arial"/>
          <w:bCs/>
          <w:iCs/>
          <w:color w:val="000000"/>
          <w:szCs w:val="28"/>
          <w:lang w:eastAsia="ru-RU"/>
        </w:rPr>
        <w:t xml:space="preserve">Помимо основных гарантий, предусмотренных законодательством </w:t>
      </w:r>
      <w:r w:rsidRPr="00250BEC">
        <w:rPr>
          <w:rFonts w:ascii="PT Astra Serif" w:eastAsia="Times New Roman" w:hAnsi="PT Astra Serif" w:cs="Arial"/>
          <w:bCs/>
          <w:iCs/>
          <w:color w:val="000000"/>
          <w:szCs w:val="28"/>
          <w:lang w:eastAsia="ru-RU"/>
        </w:rPr>
        <w:br/>
      </w:r>
      <w:r w:rsidRPr="00250BEC">
        <w:rPr>
          <w:rFonts w:ascii="PT Astra Serif" w:eastAsia="Times New Roman" w:hAnsi="PT Astra Serif" w:cs="Arial"/>
          <w:bCs/>
          <w:iCs/>
          <w:color w:val="000000"/>
          <w:szCs w:val="28"/>
          <w:lang w:eastAsia="ru-RU"/>
        </w:rPr>
        <w:lastRenderedPageBreak/>
        <w:t>о государственной гражданской службе, на региональном уровне развивается система дополнительных социальных гарантий для гражданских служащих.</w:t>
      </w:r>
    </w:p>
    <w:p w14:paraId="3E6A575F" w14:textId="77777777" w:rsidR="00250BEC" w:rsidRPr="00250BEC" w:rsidRDefault="00250BEC" w:rsidP="00250BEC">
      <w:pPr>
        <w:widowControl w:val="0"/>
        <w:shd w:val="clear" w:color="auto" w:fill="FFFFFF"/>
        <w:suppressAutoHyphens/>
        <w:autoSpaceDE w:val="0"/>
        <w:autoSpaceDN w:val="0"/>
        <w:adjustRightInd w:val="0"/>
        <w:contextualSpacing/>
        <w:rPr>
          <w:rFonts w:ascii="PT Astra Serif" w:eastAsia="Times New Roman" w:hAnsi="PT Astra Serif" w:cs="Arial"/>
          <w:bCs/>
          <w:iCs/>
          <w:color w:val="000000"/>
          <w:szCs w:val="28"/>
          <w:lang w:eastAsia="ru-RU"/>
        </w:rPr>
      </w:pPr>
      <w:r w:rsidRPr="00250BEC">
        <w:rPr>
          <w:rFonts w:ascii="PT Astra Serif" w:eastAsia="Times New Roman" w:hAnsi="PT Astra Serif" w:cs="Arial"/>
          <w:bCs/>
          <w:iCs/>
          <w:color w:val="000000"/>
          <w:szCs w:val="28"/>
          <w:lang w:eastAsia="ru-RU"/>
        </w:rPr>
        <w:t>Большое значение придаётся развитию мер социальной и материальной поддержки лиц, воспитывающих детей:</w:t>
      </w:r>
    </w:p>
    <w:p w14:paraId="10A69A80"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выплачивается дополнительная ежемесячная выплата в размере месячного должностного оклада работникам, находящимся в отпуске по уходу за ребёнком;</w:t>
      </w:r>
    </w:p>
    <w:p w14:paraId="6281E2CF"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производится выплата материальной помощи в связи с рождением ребёнка в размере оклада месячного денежного содержания;</w:t>
      </w:r>
    </w:p>
    <w:p w14:paraId="2BE715E3"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 xml:space="preserve">производится выплата материальной помощи гражданским служащим, являющимся родителями (опекунами, попечителями) одного или более детей, обучающихся в образовательных организациях начального общего </w:t>
      </w:r>
      <w:r w:rsidRPr="00250BEC">
        <w:rPr>
          <w:rFonts w:ascii="PT Astra Serif" w:hAnsi="PT Astra Serif" w:cs="Times New Roman"/>
          <w:iCs/>
          <w:color w:val="000000"/>
          <w:szCs w:val="28"/>
        </w:rPr>
        <w:br/>
        <w:t>и среднего общего образования, в размере 5000 рублей (1 раз в год);</w:t>
      </w:r>
    </w:p>
    <w:p w14:paraId="5B3F7483"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предоставляются дополнительные оплачиваемые дни отдыха беременным женщинам.</w:t>
      </w:r>
    </w:p>
    <w:p w14:paraId="2C65B7A2"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В целях стимулирования гражданских служащих к повышению эффективности своей профессиональной деятельности предусмотрены следующие меры:</w:t>
      </w:r>
    </w:p>
    <w:p w14:paraId="554286DC"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установлена выплата единовременного поощрения в связи с 15-летием выслуги на гражданской службе.</w:t>
      </w:r>
    </w:p>
    <w:p w14:paraId="743C8AEC" w14:textId="77777777" w:rsidR="00250BEC" w:rsidRPr="00250BEC" w:rsidRDefault="00250BEC" w:rsidP="00250BEC">
      <w:pPr>
        <w:widowControl w:val="0"/>
        <w:shd w:val="clear" w:color="auto" w:fill="FFFFFF"/>
        <w:contextualSpacing/>
        <w:rPr>
          <w:rFonts w:ascii="PT Astra Serif" w:hAnsi="PT Astra Serif" w:cs="Times New Roman"/>
          <w:iCs/>
          <w:color w:val="000000"/>
          <w:szCs w:val="28"/>
        </w:rPr>
      </w:pPr>
      <w:r w:rsidRPr="00250BEC">
        <w:rPr>
          <w:rFonts w:ascii="PT Astra Serif" w:hAnsi="PT Astra Serif" w:cs="Times New Roman"/>
          <w:iCs/>
          <w:color w:val="000000"/>
          <w:szCs w:val="28"/>
        </w:rPr>
        <w:t xml:space="preserve">Для повышения мотивации и обеспечения должностного роста работников системы государственного и муниципального управления на региональном уровне организуется проведение конкурсов профессионального мастерства («Кадровик года», «Лучший наставник </w:t>
      </w:r>
      <w:r w:rsidRPr="00250BEC">
        <w:rPr>
          <w:rFonts w:ascii="PT Astra Serif" w:hAnsi="PT Astra Serif" w:cs="Times New Roman"/>
          <w:iCs/>
          <w:color w:val="000000"/>
          <w:szCs w:val="28"/>
        </w:rPr>
        <w:br/>
        <w:t xml:space="preserve">в Ульяновской области», «Лучшие во власти»), в которых активное участие принимают гражданские служащие Правительства Ульяновской области </w:t>
      </w:r>
      <w:r w:rsidRPr="00250BEC">
        <w:rPr>
          <w:rFonts w:ascii="PT Astra Serif" w:hAnsi="PT Astra Serif" w:cs="Times New Roman"/>
          <w:iCs/>
          <w:color w:val="000000"/>
          <w:szCs w:val="28"/>
        </w:rPr>
        <w:br/>
        <w:t>и исполнительных органов.</w:t>
      </w:r>
    </w:p>
    <w:p w14:paraId="51AA7A3E"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r w:rsidRPr="00250BEC">
        <w:rPr>
          <w:rFonts w:ascii="PT Astra Serif" w:eastAsia="Times New Roman" w:hAnsi="PT Astra Serif" w:cs="Arial"/>
          <w:b/>
          <w:bCs/>
          <w:iCs/>
          <w:szCs w:val="28"/>
          <w:lang w:eastAsia="ru-RU"/>
        </w:rPr>
        <w:t xml:space="preserve">Создание правового механизма сохранения профессиональных кадров, обладающих специальными и уникальными знаниями </w:t>
      </w:r>
      <w:r w:rsidRPr="00250BEC">
        <w:rPr>
          <w:rFonts w:ascii="PT Astra Serif" w:eastAsia="Times New Roman" w:hAnsi="PT Astra Serif" w:cs="Arial"/>
          <w:b/>
          <w:bCs/>
          <w:iCs/>
          <w:szCs w:val="28"/>
          <w:lang w:eastAsia="ru-RU"/>
        </w:rPr>
        <w:br/>
        <w:t>и умениями в конкретной области профессиональной служебной деятельности.</w:t>
      </w:r>
    </w:p>
    <w:p w14:paraId="142075C4" w14:textId="77777777" w:rsidR="00250BEC" w:rsidRPr="00250BEC" w:rsidRDefault="00250BEC" w:rsidP="00250BEC">
      <w:pPr>
        <w:widowControl w:val="0"/>
        <w:shd w:val="clear" w:color="auto" w:fill="FFFFFF"/>
        <w:suppressAutoHyphens/>
        <w:autoSpaceDE w:val="0"/>
        <w:autoSpaceDN w:val="0"/>
        <w:adjustRightInd w:val="0"/>
        <w:contextualSpacing/>
        <w:rPr>
          <w:rFonts w:ascii="PT Astra Serif" w:eastAsia="Times New Roman" w:hAnsi="PT Astra Serif" w:cs="Arial"/>
          <w:bCs/>
          <w:iCs/>
          <w:color w:val="000000"/>
          <w:szCs w:val="28"/>
          <w:lang w:eastAsia="ru-RU"/>
        </w:rPr>
      </w:pPr>
      <w:r w:rsidRPr="00250BEC">
        <w:rPr>
          <w:rFonts w:ascii="PT Astra Serif" w:eastAsia="Times New Roman" w:hAnsi="PT Astra Serif" w:cs="Arial"/>
          <w:bCs/>
          <w:iCs/>
          <w:color w:val="000000"/>
          <w:szCs w:val="28"/>
          <w:lang w:eastAsia="ru-RU"/>
        </w:rPr>
        <w:t>В целях с</w:t>
      </w:r>
      <w:r w:rsidRPr="00250BEC">
        <w:rPr>
          <w:rFonts w:ascii="PT Astra Serif" w:eastAsia="Times New Roman" w:hAnsi="PT Astra Serif" w:cs="Arial"/>
          <w:iCs/>
          <w:szCs w:val="28"/>
          <w:lang w:eastAsia="ru-RU"/>
        </w:rPr>
        <w:t>оздание правового механизма сохранения профессиональных кадров и</w:t>
      </w:r>
      <w:r w:rsidRPr="00250BEC">
        <w:rPr>
          <w:rFonts w:ascii="PT Astra Serif" w:eastAsia="Times New Roman" w:hAnsi="PT Astra Serif" w:cs="Arial"/>
          <w:bCs/>
          <w:iCs/>
          <w:color w:val="000000"/>
          <w:szCs w:val="28"/>
          <w:lang w:eastAsia="ru-RU"/>
        </w:rPr>
        <w:t xml:space="preserve"> профессионального развития гражданских служащих на региональном уровне принят ряд нормативных правовых актов, определяющих механизм реализации и финансового обеспечения мероприятий по профессиональному развитию гражданских служащих </w:t>
      </w:r>
      <w:r w:rsidRPr="00250BEC">
        <w:rPr>
          <w:rFonts w:ascii="PT Astra Serif" w:eastAsia="Times New Roman" w:hAnsi="PT Astra Serif" w:cs="Arial"/>
          <w:bCs/>
          <w:iCs/>
          <w:color w:val="000000"/>
          <w:szCs w:val="28"/>
          <w:lang w:eastAsia="ru-RU"/>
        </w:rPr>
        <w:br/>
        <w:t>и контроля за их реализацией.</w:t>
      </w:r>
    </w:p>
    <w:p w14:paraId="3C52A07E" w14:textId="77777777" w:rsidR="00250BEC" w:rsidRPr="00250BEC" w:rsidRDefault="00250BEC" w:rsidP="00250BEC">
      <w:pPr>
        <w:widowControl w:val="0"/>
        <w:shd w:val="clear" w:color="auto" w:fill="FFFFFF"/>
        <w:suppressAutoHyphens/>
        <w:autoSpaceDE w:val="0"/>
        <w:autoSpaceDN w:val="0"/>
        <w:adjustRightInd w:val="0"/>
        <w:contextualSpacing/>
        <w:rPr>
          <w:rFonts w:ascii="PT Astra Serif" w:eastAsia="Calibri" w:hAnsi="PT Astra Serif" w:cs="PT Astra Serif"/>
          <w:bCs/>
          <w:iCs/>
          <w:szCs w:val="28"/>
        </w:rPr>
      </w:pPr>
      <w:r w:rsidRPr="00250BEC">
        <w:rPr>
          <w:rFonts w:ascii="PT Astra Serif" w:eastAsia="Calibri" w:hAnsi="PT Astra Serif" w:cs="PT Astra Serif"/>
          <w:bCs/>
          <w:iCs/>
          <w:color w:val="000000"/>
          <w:szCs w:val="28"/>
        </w:rPr>
        <w:t xml:space="preserve">Так, указом Губернатора Ульяновской </w:t>
      </w:r>
      <w:r w:rsidRPr="00250BEC">
        <w:rPr>
          <w:rFonts w:ascii="PT Astra Serif" w:eastAsia="Calibri" w:hAnsi="PT Astra Serif" w:cs="PT Astra Serif"/>
          <w:bCs/>
          <w:iCs/>
          <w:szCs w:val="28"/>
        </w:rPr>
        <w:t xml:space="preserve">области от 21.11.2019 № 94 </w:t>
      </w:r>
      <w:r w:rsidRPr="00250BEC">
        <w:rPr>
          <w:rFonts w:ascii="PT Astra Serif" w:eastAsia="Calibri" w:hAnsi="PT Astra Serif" w:cs="PT Astra Serif"/>
          <w:bCs/>
          <w:iCs/>
          <w:szCs w:val="28"/>
        </w:rPr>
        <w:br/>
        <w:t>«Об утверждении Положения о порядке реализации и финансового обеспечения мероприятий по профессиональному развитию государственных гражданских служащих Ульяновской области и контроля за их реализацией»</w:t>
      </w:r>
      <w:r w:rsidRPr="00250BEC">
        <w:rPr>
          <w:rFonts w:ascii="PT Astra Serif" w:eastAsia="Calibri" w:hAnsi="PT Astra Serif" w:cs="PT Astra Serif"/>
          <w:bCs/>
          <w:iCs/>
          <w:color w:val="000000"/>
          <w:szCs w:val="28"/>
        </w:rPr>
        <w:t xml:space="preserve"> определён механизм осуществления дополнительного профессионального образования гражданских служащих, а также иных мероприятий </w:t>
      </w:r>
      <w:r w:rsidRPr="00250BEC">
        <w:rPr>
          <w:rFonts w:ascii="PT Astra Serif" w:eastAsia="Calibri" w:hAnsi="PT Astra Serif" w:cs="PT Astra Serif"/>
          <w:bCs/>
          <w:iCs/>
          <w:color w:val="000000"/>
          <w:szCs w:val="28"/>
        </w:rPr>
        <w:br/>
        <w:t xml:space="preserve">по профессиональному развитию гражданских служащих, направленных преимущественно на ускоренное приобретение новых знаний и умений </w:t>
      </w:r>
      <w:r w:rsidRPr="00250BEC">
        <w:rPr>
          <w:rFonts w:ascii="PT Astra Serif" w:eastAsia="Calibri" w:hAnsi="PT Astra Serif" w:cs="PT Astra Serif"/>
          <w:bCs/>
          <w:iCs/>
          <w:color w:val="000000"/>
          <w:szCs w:val="28"/>
        </w:rPr>
        <w:lastRenderedPageBreak/>
        <w:t xml:space="preserve">(семинары, тренинги), на изучение передового опыта, технологий государственного управления, обмен опытом (конференции, </w:t>
      </w:r>
      <w:r w:rsidRPr="00250BEC">
        <w:rPr>
          <w:rFonts w:ascii="PT Astra Serif" w:eastAsia="Calibri" w:hAnsi="PT Astra Serif" w:cs="PT Astra Serif"/>
          <w:bCs/>
          <w:iCs/>
          <w:szCs w:val="28"/>
        </w:rPr>
        <w:t>служебные стажировки).</w:t>
      </w:r>
    </w:p>
    <w:p w14:paraId="48E3D5C5" w14:textId="77777777" w:rsidR="00250BEC" w:rsidRPr="00250BEC" w:rsidRDefault="00250BEC" w:rsidP="00250BEC">
      <w:pPr>
        <w:widowControl w:val="0"/>
        <w:shd w:val="clear" w:color="auto" w:fill="FFFFFF"/>
        <w:suppressAutoHyphens/>
        <w:contextualSpacing/>
        <w:rPr>
          <w:rFonts w:ascii="PT Astra Serif" w:eastAsia="Times New Roman" w:hAnsi="PT Astra Serif" w:cs="Times New Roman"/>
          <w:bCs/>
          <w:iCs/>
          <w:szCs w:val="28"/>
          <w:lang w:eastAsia="ar-SA"/>
        </w:rPr>
      </w:pPr>
      <w:r w:rsidRPr="00250BEC">
        <w:rPr>
          <w:rFonts w:ascii="PT Astra Serif" w:eastAsia="Times New Roman" w:hAnsi="PT Astra Serif" w:cs="Times New Roman"/>
          <w:bCs/>
          <w:iCs/>
          <w:szCs w:val="28"/>
          <w:lang w:eastAsia="ar-SA"/>
        </w:rPr>
        <w:t xml:space="preserve">Общая картина принятия нормативных правовых актов по вопросам государственной гражданской службы субъекта Российской Федерации </w:t>
      </w:r>
      <w:r w:rsidRPr="00250BEC">
        <w:rPr>
          <w:rFonts w:ascii="PT Astra Serif" w:eastAsia="Times New Roman" w:hAnsi="PT Astra Serif" w:cs="Times New Roman"/>
          <w:bCs/>
          <w:iCs/>
          <w:szCs w:val="28"/>
          <w:lang w:eastAsia="ar-SA"/>
        </w:rPr>
        <w:br/>
        <w:t xml:space="preserve">и муниципальной службы выглядит следующим образом: </w:t>
      </w:r>
    </w:p>
    <w:p w14:paraId="678CB1CB" w14:textId="77777777" w:rsidR="00250BEC" w:rsidRPr="00C72F5D" w:rsidRDefault="00250BEC" w:rsidP="00250BEC">
      <w:pPr>
        <w:ind w:firstLine="0"/>
        <w:contextualSpacing/>
        <w:jc w:val="center"/>
        <w:rPr>
          <w:rFonts w:ascii="PT Astra Serif" w:hAnsi="PT Astra Serif" w:cs="Times New Roman"/>
          <w:b/>
          <w:bCs/>
          <w:i/>
          <w:iCs/>
          <w:sz w:val="20"/>
          <w:szCs w:val="20"/>
        </w:rPr>
      </w:pPr>
    </w:p>
    <w:p w14:paraId="1B8DA0AD"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Развитие нормативной правовой базы в сфере государственной гражданской службы</w:t>
      </w:r>
    </w:p>
    <w:p w14:paraId="2359BDDA" w14:textId="77777777" w:rsidR="00250BEC" w:rsidRPr="00250BEC" w:rsidRDefault="00250BEC" w:rsidP="00250BEC">
      <w:pPr>
        <w:ind w:firstLine="0"/>
        <w:contextualSpacing/>
        <w:jc w:val="center"/>
        <w:rPr>
          <w:rFonts w:ascii="PT Astra Serif" w:hAnsi="PT Astra Serif" w:cs="Times New Roman"/>
          <w:b/>
          <w:bCs/>
          <w:i/>
          <w:iCs/>
          <w:sz w:val="20"/>
          <w:szCs w:val="20"/>
        </w:rPr>
      </w:pP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45"/>
        <w:gridCol w:w="3176"/>
        <w:gridCol w:w="2236"/>
      </w:tblGrid>
      <w:tr w:rsidR="00250BEC" w:rsidRPr="00250BEC" w14:paraId="20C17E88" w14:textId="77777777" w:rsidTr="00250BEC">
        <w:trPr>
          <w:trHeight w:val="314"/>
        </w:trPr>
        <w:tc>
          <w:tcPr>
            <w:tcW w:w="1235" w:type="pct"/>
            <w:vMerge w:val="restart"/>
            <w:tcMar>
              <w:left w:w="57" w:type="dxa"/>
              <w:right w:w="57" w:type="dxa"/>
            </w:tcMar>
          </w:tcPr>
          <w:p w14:paraId="44D52618"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Количество принятых нормативных правовых актов субъекта РФ в сфере государственной гражданской службы</w:t>
            </w:r>
          </w:p>
        </w:tc>
        <w:tc>
          <w:tcPr>
            <w:tcW w:w="3765" w:type="pct"/>
            <w:gridSpan w:val="3"/>
          </w:tcPr>
          <w:p w14:paraId="40232EA6"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в том числе:</w:t>
            </w:r>
          </w:p>
        </w:tc>
      </w:tr>
      <w:tr w:rsidR="00250BEC" w:rsidRPr="00250BEC" w14:paraId="29A4214C" w14:textId="77777777" w:rsidTr="00C72F5D">
        <w:trPr>
          <w:trHeight w:val="1008"/>
        </w:trPr>
        <w:tc>
          <w:tcPr>
            <w:tcW w:w="1235" w:type="pct"/>
            <w:vMerge/>
            <w:tcMar>
              <w:left w:w="57" w:type="dxa"/>
              <w:right w:w="57" w:type="dxa"/>
            </w:tcMar>
          </w:tcPr>
          <w:p w14:paraId="3A1FF449" w14:textId="77777777" w:rsidR="00250BEC" w:rsidRPr="00C72F5D" w:rsidRDefault="00250BEC" w:rsidP="00250BEC">
            <w:pPr>
              <w:ind w:firstLine="0"/>
              <w:contextualSpacing/>
              <w:jc w:val="center"/>
              <w:rPr>
                <w:rFonts w:ascii="PT Astra Serif" w:hAnsi="PT Astra Serif" w:cs="Times New Roman"/>
                <w:b/>
                <w:bCs/>
                <w:sz w:val="19"/>
                <w:szCs w:val="19"/>
              </w:rPr>
            </w:pPr>
          </w:p>
        </w:tc>
        <w:tc>
          <w:tcPr>
            <w:tcW w:w="836" w:type="pct"/>
          </w:tcPr>
          <w:p w14:paraId="76EB55EE"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акты о нововведениях</w:t>
            </w:r>
          </w:p>
        </w:tc>
        <w:tc>
          <w:tcPr>
            <w:tcW w:w="1719" w:type="pct"/>
          </w:tcPr>
          <w:p w14:paraId="3D4C7B41"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актов о внесении изменений и дополнений в действующие акты, а также актов о признании утратившими силу, об отмене ранее принятых актов</w:t>
            </w:r>
          </w:p>
        </w:tc>
        <w:tc>
          <w:tcPr>
            <w:tcW w:w="1210" w:type="pct"/>
          </w:tcPr>
          <w:p w14:paraId="3A2146C1"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актов органа по управлению государственной гражданской службой субъекта РФ</w:t>
            </w:r>
          </w:p>
        </w:tc>
      </w:tr>
      <w:tr w:rsidR="00250BEC" w:rsidRPr="00250BEC" w14:paraId="58E82A57" w14:textId="77777777" w:rsidTr="00250BEC">
        <w:trPr>
          <w:trHeight w:val="423"/>
        </w:trPr>
        <w:tc>
          <w:tcPr>
            <w:tcW w:w="1235" w:type="pct"/>
            <w:tcMar>
              <w:left w:w="57" w:type="dxa"/>
              <w:right w:w="57" w:type="dxa"/>
            </w:tcMar>
            <w:vAlign w:val="center"/>
          </w:tcPr>
          <w:p w14:paraId="189E2984"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28</w:t>
            </w:r>
          </w:p>
        </w:tc>
        <w:tc>
          <w:tcPr>
            <w:tcW w:w="836" w:type="pct"/>
            <w:vAlign w:val="center"/>
          </w:tcPr>
          <w:p w14:paraId="06AB7CAE"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4</w:t>
            </w:r>
          </w:p>
        </w:tc>
        <w:tc>
          <w:tcPr>
            <w:tcW w:w="1719" w:type="pct"/>
            <w:vAlign w:val="center"/>
          </w:tcPr>
          <w:p w14:paraId="7BDADCE0"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19</w:t>
            </w:r>
          </w:p>
        </w:tc>
        <w:tc>
          <w:tcPr>
            <w:tcW w:w="1210" w:type="pct"/>
            <w:vAlign w:val="center"/>
          </w:tcPr>
          <w:p w14:paraId="16586A06"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5</w:t>
            </w:r>
          </w:p>
        </w:tc>
      </w:tr>
    </w:tbl>
    <w:p w14:paraId="5DAD345B" w14:textId="77777777" w:rsidR="00250BEC" w:rsidRPr="00250BEC" w:rsidRDefault="00250BEC" w:rsidP="00250BEC">
      <w:pPr>
        <w:ind w:firstLine="720"/>
        <w:contextualSpacing/>
        <w:rPr>
          <w:rFonts w:ascii="PT Astra Serif" w:hAnsi="PT Astra Serif" w:cs="Times New Roman"/>
          <w:i/>
          <w:iCs/>
          <w:sz w:val="20"/>
          <w:szCs w:val="20"/>
        </w:rPr>
      </w:pPr>
    </w:p>
    <w:p w14:paraId="58BE5E59" w14:textId="77777777" w:rsidR="00250BEC" w:rsidRPr="00250BEC" w:rsidRDefault="00250BEC" w:rsidP="00250BEC">
      <w:pPr>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Развитие нормативной правовой базы в сфере муниципальной службы</w:t>
      </w:r>
    </w:p>
    <w:p w14:paraId="1A366DA0" w14:textId="77777777" w:rsidR="00250BEC" w:rsidRPr="00250BEC" w:rsidRDefault="00250BEC" w:rsidP="00250BEC">
      <w:pPr>
        <w:ind w:firstLine="0"/>
        <w:contextualSpacing/>
        <w:jc w:val="center"/>
        <w:rPr>
          <w:rFonts w:ascii="PT Astra Serif" w:hAnsi="PT Astra Serif" w:cs="Times New Roman"/>
          <w:b/>
          <w:bCs/>
          <w:sz w:val="20"/>
          <w:szCs w:val="20"/>
        </w:rPr>
      </w:pP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9"/>
        <w:gridCol w:w="1663"/>
        <w:gridCol w:w="4597"/>
      </w:tblGrid>
      <w:tr w:rsidR="00250BEC" w:rsidRPr="00250BEC" w14:paraId="6B2159EC" w14:textId="77777777" w:rsidTr="00250BEC">
        <w:trPr>
          <w:trHeight w:val="314"/>
        </w:trPr>
        <w:tc>
          <w:tcPr>
            <w:tcW w:w="1612" w:type="pct"/>
            <w:vMerge w:val="restart"/>
            <w:tcMar>
              <w:left w:w="57" w:type="dxa"/>
              <w:right w:w="57" w:type="dxa"/>
            </w:tcMar>
          </w:tcPr>
          <w:p w14:paraId="35185F2E"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Количество принятых нормативных правовых актов субъекта РФ в сфере муниципальной службы</w:t>
            </w:r>
          </w:p>
        </w:tc>
        <w:tc>
          <w:tcPr>
            <w:tcW w:w="3388" w:type="pct"/>
            <w:gridSpan w:val="2"/>
          </w:tcPr>
          <w:p w14:paraId="03082934"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в том числе:</w:t>
            </w:r>
          </w:p>
        </w:tc>
      </w:tr>
      <w:tr w:rsidR="00250BEC" w:rsidRPr="00250BEC" w14:paraId="59E18624" w14:textId="77777777" w:rsidTr="00250BEC">
        <w:trPr>
          <w:trHeight w:val="825"/>
        </w:trPr>
        <w:tc>
          <w:tcPr>
            <w:tcW w:w="1612" w:type="pct"/>
            <w:vMerge/>
            <w:tcMar>
              <w:left w:w="57" w:type="dxa"/>
              <w:right w:w="57" w:type="dxa"/>
            </w:tcMar>
          </w:tcPr>
          <w:p w14:paraId="7983AF1D" w14:textId="77777777" w:rsidR="00250BEC" w:rsidRPr="00C72F5D" w:rsidRDefault="00250BEC" w:rsidP="00250BEC">
            <w:pPr>
              <w:ind w:firstLine="0"/>
              <w:contextualSpacing/>
              <w:jc w:val="center"/>
              <w:rPr>
                <w:rFonts w:ascii="PT Astra Serif" w:hAnsi="PT Astra Serif" w:cs="Times New Roman"/>
                <w:b/>
                <w:bCs/>
                <w:sz w:val="19"/>
                <w:szCs w:val="19"/>
              </w:rPr>
            </w:pPr>
          </w:p>
        </w:tc>
        <w:tc>
          <w:tcPr>
            <w:tcW w:w="900" w:type="pct"/>
          </w:tcPr>
          <w:p w14:paraId="4BE1F088"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акты о нововведениях</w:t>
            </w:r>
          </w:p>
        </w:tc>
        <w:tc>
          <w:tcPr>
            <w:tcW w:w="2488" w:type="pct"/>
          </w:tcPr>
          <w:p w14:paraId="35D57B22" w14:textId="77777777" w:rsidR="00250BEC" w:rsidRPr="00C72F5D" w:rsidRDefault="00250BEC" w:rsidP="00250BEC">
            <w:pPr>
              <w:ind w:firstLine="0"/>
              <w:contextualSpacing/>
              <w:jc w:val="center"/>
              <w:rPr>
                <w:rFonts w:ascii="PT Astra Serif" w:hAnsi="PT Astra Serif" w:cs="Times New Roman"/>
                <w:b/>
                <w:bCs/>
                <w:sz w:val="19"/>
                <w:szCs w:val="19"/>
              </w:rPr>
            </w:pPr>
            <w:r w:rsidRPr="00C72F5D">
              <w:rPr>
                <w:rFonts w:ascii="PT Astra Serif" w:hAnsi="PT Astra Serif" w:cs="Times New Roman"/>
                <w:b/>
                <w:bCs/>
                <w:sz w:val="19"/>
                <w:szCs w:val="19"/>
              </w:rPr>
              <w:t>актов о внесении изменений и дополнений в действующие акты, а также актов о признании утратившими силу, об отмене ранее принятых актов</w:t>
            </w:r>
          </w:p>
        </w:tc>
      </w:tr>
      <w:tr w:rsidR="00250BEC" w:rsidRPr="00250BEC" w14:paraId="4733EA7F" w14:textId="77777777" w:rsidTr="00250BEC">
        <w:trPr>
          <w:trHeight w:val="302"/>
        </w:trPr>
        <w:tc>
          <w:tcPr>
            <w:tcW w:w="1612" w:type="pct"/>
            <w:tcMar>
              <w:left w:w="57" w:type="dxa"/>
              <w:right w:w="57" w:type="dxa"/>
            </w:tcMar>
            <w:vAlign w:val="center"/>
          </w:tcPr>
          <w:p w14:paraId="3BE3F529"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8</w:t>
            </w:r>
          </w:p>
        </w:tc>
        <w:tc>
          <w:tcPr>
            <w:tcW w:w="900" w:type="pct"/>
            <w:vAlign w:val="center"/>
          </w:tcPr>
          <w:p w14:paraId="3340F6D1"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1</w:t>
            </w:r>
          </w:p>
        </w:tc>
        <w:tc>
          <w:tcPr>
            <w:tcW w:w="2488" w:type="pct"/>
            <w:vAlign w:val="center"/>
          </w:tcPr>
          <w:p w14:paraId="5E49905B" w14:textId="77777777" w:rsidR="00250BEC" w:rsidRPr="00C72F5D" w:rsidRDefault="00250BEC" w:rsidP="00250BEC">
            <w:pPr>
              <w:ind w:firstLine="0"/>
              <w:contextualSpacing/>
              <w:jc w:val="center"/>
              <w:rPr>
                <w:rFonts w:ascii="PT Astra Serif" w:hAnsi="PT Astra Serif" w:cs="Times New Roman"/>
                <w:sz w:val="19"/>
                <w:szCs w:val="19"/>
              </w:rPr>
            </w:pPr>
            <w:r w:rsidRPr="00C72F5D">
              <w:rPr>
                <w:rFonts w:ascii="PT Astra Serif" w:hAnsi="PT Astra Serif" w:cs="Times New Roman"/>
                <w:sz w:val="19"/>
                <w:szCs w:val="19"/>
              </w:rPr>
              <w:t>7</w:t>
            </w:r>
          </w:p>
        </w:tc>
      </w:tr>
    </w:tbl>
    <w:p w14:paraId="24EDFF3F" w14:textId="77777777" w:rsidR="00C72F5D" w:rsidRDefault="00C72F5D" w:rsidP="00250BEC">
      <w:pPr>
        <w:widowControl w:val="0"/>
        <w:ind w:firstLine="0"/>
        <w:contextualSpacing/>
        <w:jc w:val="center"/>
        <w:rPr>
          <w:rFonts w:ascii="PT Astra Serif" w:hAnsi="PT Astra Serif" w:cs="PT Astra Serif"/>
          <w:b/>
          <w:bCs/>
          <w:iCs/>
          <w:szCs w:val="28"/>
        </w:rPr>
      </w:pPr>
    </w:p>
    <w:p w14:paraId="7295AC2F" w14:textId="4462FF6E" w:rsidR="00250BEC" w:rsidRPr="00250BEC" w:rsidRDefault="00250BEC" w:rsidP="00250BEC">
      <w:pPr>
        <w:widowControl w:val="0"/>
        <w:ind w:firstLine="0"/>
        <w:contextualSpacing/>
        <w:jc w:val="center"/>
        <w:rPr>
          <w:rFonts w:ascii="PT Astra Serif" w:hAnsi="PT Astra Serif" w:cs="PT Astra Serif"/>
          <w:b/>
          <w:bCs/>
          <w:iCs/>
          <w:szCs w:val="28"/>
        </w:rPr>
      </w:pPr>
      <w:r w:rsidRPr="00250BEC">
        <w:rPr>
          <w:rFonts w:ascii="PT Astra Serif" w:hAnsi="PT Astra Serif" w:cs="PT Astra Serif"/>
          <w:b/>
          <w:bCs/>
          <w:iCs/>
          <w:szCs w:val="28"/>
        </w:rPr>
        <w:t>Подготовка управленческих кадров для организаций народного хозяйства Российской Федерации на территории Ульяновской области</w:t>
      </w:r>
    </w:p>
    <w:p w14:paraId="72FB6F39" w14:textId="77777777" w:rsidR="00250BEC" w:rsidRPr="00250BEC" w:rsidRDefault="00250BEC" w:rsidP="00250BEC">
      <w:pPr>
        <w:widowControl w:val="0"/>
        <w:contextualSpacing/>
        <w:rPr>
          <w:rFonts w:ascii="PT Astra Serif" w:hAnsi="PT Astra Serif" w:cs="Times New Roman"/>
          <w:iCs/>
          <w:szCs w:val="28"/>
        </w:rPr>
      </w:pPr>
    </w:p>
    <w:p w14:paraId="32E6D7EB"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 xml:space="preserve">В Ульяновской области программы в рамках Государственного плана подготовки управленческих кадров для организаций народного хозяйства Российской Федерации реализуются с 1997 года согласно Указу Президента Российской Федерации от 23 июля </w:t>
      </w:r>
      <w:smartTag w:uri="urn:schemas-microsoft-com:office:smarttags" w:element="metricconverter">
        <w:smartTagPr>
          <w:attr w:name="ProductID" w:val="1997 г"/>
        </w:smartTagPr>
        <w:r w:rsidRPr="00250BEC">
          <w:rPr>
            <w:rFonts w:ascii="PT Astra Serif" w:hAnsi="PT Astra Serif" w:cs="Times New Roman"/>
            <w:szCs w:val="28"/>
          </w:rPr>
          <w:t>1997 г</w:t>
        </w:r>
      </w:smartTag>
      <w:r w:rsidRPr="00250BEC">
        <w:rPr>
          <w:rFonts w:ascii="PT Astra Serif" w:hAnsi="PT Astra Serif" w:cs="Times New Roman"/>
          <w:szCs w:val="28"/>
        </w:rPr>
        <w:t xml:space="preserve">. № 774 «О подготовке управленческих кадров для организаций народного хозяйства Российской Федерации». </w:t>
      </w:r>
    </w:p>
    <w:p w14:paraId="5CF60FBC"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 xml:space="preserve">За этот период </w:t>
      </w:r>
      <w:r w:rsidRPr="00250BEC">
        <w:rPr>
          <w:rFonts w:ascii="PT Astra Serif" w:hAnsi="PT Astra Serif" w:cs="Times New Roman"/>
          <w:bCs/>
          <w:szCs w:val="28"/>
        </w:rPr>
        <w:t xml:space="preserve">1 524 специалиста Ульяновской области получили дополнительное профессиональное образование в области экономики </w:t>
      </w:r>
      <w:r w:rsidRPr="00250BEC">
        <w:rPr>
          <w:rFonts w:ascii="PT Astra Serif" w:hAnsi="PT Astra Serif" w:cs="Times New Roman"/>
          <w:bCs/>
          <w:szCs w:val="28"/>
        </w:rPr>
        <w:br/>
        <w:t>и управления</w:t>
      </w:r>
      <w:r w:rsidRPr="00250BEC">
        <w:rPr>
          <w:rFonts w:ascii="PT Astra Serif" w:hAnsi="PT Astra Serif" w:cs="Times New Roman"/>
          <w:b/>
          <w:szCs w:val="28"/>
        </w:rPr>
        <w:t xml:space="preserve"> </w:t>
      </w:r>
      <w:r w:rsidRPr="00250BEC">
        <w:rPr>
          <w:rFonts w:ascii="PT Astra Serif" w:hAnsi="PT Astra Serif" w:cs="Times New Roman"/>
          <w:szCs w:val="28"/>
        </w:rPr>
        <w:t xml:space="preserve">по программам «Менеджмент», «Маркетинг», «Финансы </w:t>
      </w:r>
      <w:r w:rsidRPr="00250BEC">
        <w:rPr>
          <w:rFonts w:ascii="PT Astra Serif" w:hAnsi="PT Astra Serif" w:cs="Times New Roman"/>
          <w:szCs w:val="28"/>
        </w:rPr>
        <w:br/>
        <w:t xml:space="preserve">и кредит», «Менеджмент в малом и среднем бизнесе», «Развитие малой фирмы», «Управление инновациями в корпорациях», «Инновационные стратегии в управлении», «Менеджмент в условиях модернизации», </w:t>
      </w:r>
      <w:r w:rsidRPr="00250BEC">
        <w:rPr>
          <w:rFonts w:ascii="PT Astra Serif" w:hAnsi="PT Astra Serif" w:cs="Times New Roman"/>
          <w:szCs w:val="28"/>
        </w:rPr>
        <w:br/>
        <w:t>«Сити-менеджмент», «Менеджмент в действии».</w:t>
      </w:r>
    </w:p>
    <w:p w14:paraId="66C6966E"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Обучение проводится в Высшей школе менеджмента Ульяновского государственного технического университета.</w:t>
      </w:r>
    </w:p>
    <w:p w14:paraId="6B85F2D1" w14:textId="77777777" w:rsidR="00250BEC" w:rsidRPr="00C72F5D" w:rsidRDefault="00250BEC" w:rsidP="00250BEC">
      <w:pPr>
        <w:widowControl w:val="0"/>
        <w:shd w:val="clear" w:color="auto" w:fill="FFFFFF"/>
        <w:contextualSpacing/>
        <w:rPr>
          <w:rFonts w:ascii="PT Astra Serif" w:hAnsi="PT Astra Serif" w:cs="Times New Roman"/>
          <w:sz w:val="20"/>
          <w:szCs w:val="20"/>
        </w:rPr>
      </w:pPr>
    </w:p>
    <w:p w14:paraId="0CC13B9B" w14:textId="630E7C3B" w:rsidR="00250BEC" w:rsidRDefault="00250BEC" w:rsidP="00250BEC">
      <w:pPr>
        <w:widowControl w:val="0"/>
        <w:shd w:val="clear" w:color="auto" w:fill="FFFFFF"/>
        <w:ind w:firstLine="0"/>
        <w:contextualSpacing/>
        <w:jc w:val="center"/>
        <w:rPr>
          <w:rFonts w:ascii="PT Astra Serif" w:hAnsi="PT Astra Serif" w:cs="Times New Roman"/>
          <w:b/>
          <w:sz w:val="20"/>
          <w:szCs w:val="20"/>
        </w:rPr>
      </w:pPr>
      <w:r w:rsidRPr="00250BEC">
        <w:rPr>
          <w:rFonts w:ascii="PT Astra Serif" w:hAnsi="PT Astra Serif" w:cs="Times New Roman"/>
          <w:b/>
          <w:sz w:val="20"/>
          <w:szCs w:val="20"/>
        </w:rPr>
        <w:t>Подготовка специалистов по годам:</w:t>
      </w:r>
    </w:p>
    <w:p w14:paraId="3DC0DBD8" w14:textId="77777777" w:rsidR="00C72F5D" w:rsidRPr="00250BEC" w:rsidRDefault="00C72F5D" w:rsidP="00250BEC">
      <w:pPr>
        <w:widowControl w:val="0"/>
        <w:shd w:val="clear" w:color="auto" w:fill="FFFFFF"/>
        <w:ind w:firstLine="0"/>
        <w:contextualSpacing/>
        <w:jc w:val="center"/>
        <w:rPr>
          <w:rFonts w:ascii="PT Astra Serif" w:hAnsi="PT Astra Serif" w:cs="Times New Roman"/>
          <w:b/>
          <w:sz w:val="20"/>
          <w:szCs w:val="20"/>
        </w:rPr>
      </w:pP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3"/>
        <w:gridCol w:w="1455"/>
        <w:gridCol w:w="1688"/>
        <w:gridCol w:w="1664"/>
        <w:gridCol w:w="1652"/>
      </w:tblGrid>
      <w:tr w:rsidR="00250BEC" w:rsidRPr="00250BEC" w14:paraId="7FE62D8A" w14:textId="77777777" w:rsidTr="00250BEC">
        <w:trPr>
          <w:jc w:val="center"/>
        </w:trPr>
        <w:tc>
          <w:tcPr>
            <w:tcW w:w="2893" w:type="dxa"/>
          </w:tcPr>
          <w:p w14:paraId="00A33A8E" w14:textId="77777777" w:rsidR="00250BEC" w:rsidRPr="00250BEC" w:rsidRDefault="00250BEC" w:rsidP="00250BEC">
            <w:pPr>
              <w:widowControl w:val="0"/>
              <w:shd w:val="clear" w:color="auto" w:fill="FFFFFF"/>
              <w:ind w:firstLine="0"/>
              <w:contextualSpacing/>
              <w:jc w:val="center"/>
              <w:rPr>
                <w:rFonts w:ascii="PT Astra Serif" w:hAnsi="PT Astra Serif" w:cs="Times New Roman"/>
                <w:b/>
                <w:sz w:val="20"/>
                <w:szCs w:val="20"/>
              </w:rPr>
            </w:pPr>
          </w:p>
        </w:tc>
        <w:tc>
          <w:tcPr>
            <w:tcW w:w="1455" w:type="dxa"/>
          </w:tcPr>
          <w:p w14:paraId="1109FEFA" w14:textId="77777777" w:rsidR="00250BEC" w:rsidRPr="00250BEC" w:rsidRDefault="00250BEC" w:rsidP="00250BEC">
            <w:pPr>
              <w:widowControl w:val="0"/>
              <w:shd w:val="clear" w:color="auto" w:fill="FFFFFF"/>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2021 - 2022</w:t>
            </w:r>
          </w:p>
        </w:tc>
        <w:tc>
          <w:tcPr>
            <w:tcW w:w="1688" w:type="dxa"/>
          </w:tcPr>
          <w:p w14:paraId="478788CC" w14:textId="77777777" w:rsidR="00250BEC" w:rsidRPr="00250BEC" w:rsidRDefault="00250BEC" w:rsidP="00250BEC">
            <w:pPr>
              <w:widowControl w:val="0"/>
              <w:shd w:val="clear" w:color="auto" w:fill="FFFFFF"/>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2022 - 2023</w:t>
            </w:r>
          </w:p>
        </w:tc>
        <w:tc>
          <w:tcPr>
            <w:tcW w:w="1664" w:type="dxa"/>
          </w:tcPr>
          <w:p w14:paraId="3597E67E" w14:textId="77777777" w:rsidR="00250BEC" w:rsidRPr="00250BEC" w:rsidRDefault="00250BEC" w:rsidP="00250BEC">
            <w:pPr>
              <w:widowControl w:val="0"/>
              <w:shd w:val="clear" w:color="auto" w:fill="FFFFFF"/>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2023 - 2024</w:t>
            </w:r>
          </w:p>
        </w:tc>
        <w:tc>
          <w:tcPr>
            <w:tcW w:w="1652" w:type="dxa"/>
          </w:tcPr>
          <w:p w14:paraId="1F7252FB" w14:textId="77777777" w:rsidR="00250BEC" w:rsidRPr="00250BEC" w:rsidRDefault="00250BEC" w:rsidP="00250BEC">
            <w:pPr>
              <w:widowControl w:val="0"/>
              <w:shd w:val="clear" w:color="auto" w:fill="FFFFFF"/>
              <w:ind w:firstLine="0"/>
              <w:contextualSpacing/>
              <w:jc w:val="center"/>
              <w:rPr>
                <w:rFonts w:ascii="PT Astra Serif" w:hAnsi="PT Astra Serif" w:cs="Times New Roman"/>
                <w:b/>
                <w:bCs/>
                <w:sz w:val="20"/>
                <w:szCs w:val="20"/>
              </w:rPr>
            </w:pPr>
            <w:r w:rsidRPr="00250BEC">
              <w:rPr>
                <w:rFonts w:ascii="PT Astra Serif" w:hAnsi="PT Astra Serif" w:cs="Times New Roman"/>
                <w:b/>
                <w:bCs/>
                <w:sz w:val="20"/>
                <w:szCs w:val="20"/>
              </w:rPr>
              <w:t>2024 - 2025</w:t>
            </w:r>
          </w:p>
        </w:tc>
      </w:tr>
      <w:tr w:rsidR="00250BEC" w:rsidRPr="00250BEC" w14:paraId="5A70C869" w14:textId="77777777" w:rsidTr="00250BEC">
        <w:trPr>
          <w:jc w:val="center"/>
        </w:trPr>
        <w:tc>
          <w:tcPr>
            <w:tcW w:w="2893" w:type="dxa"/>
          </w:tcPr>
          <w:p w14:paraId="3C6DF67A" w14:textId="77777777" w:rsidR="00250BEC" w:rsidRPr="00250BEC" w:rsidRDefault="00250BEC" w:rsidP="00250BEC">
            <w:pPr>
              <w:widowControl w:val="0"/>
              <w:shd w:val="clear" w:color="auto" w:fill="FFFFFF"/>
              <w:ind w:firstLine="0"/>
              <w:contextualSpacing/>
              <w:rPr>
                <w:rFonts w:ascii="PT Astra Serif" w:hAnsi="PT Astra Serif" w:cs="Times New Roman"/>
                <w:sz w:val="20"/>
                <w:szCs w:val="20"/>
              </w:rPr>
            </w:pPr>
            <w:proofErr w:type="spellStart"/>
            <w:r w:rsidRPr="00250BEC">
              <w:rPr>
                <w:rFonts w:ascii="PT Astra Serif" w:hAnsi="PT Astra Serif" w:cs="Times New Roman"/>
                <w:sz w:val="20"/>
                <w:szCs w:val="20"/>
              </w:rPr>
              <w:t>УлГТУ</w:t>
            </w:r>
            <w:proofErr w:type="spellEnd"/>
          </w:p>
        </w:tc>
        <w:tc>
          <w:tcPr>
            <w:tcW w:w="1455" w:type="dxa"/>
          </w:tcPr>
          <w:p w14:paraId="61957D29"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20</w:t>
            </w:r>
          </w:p>
        </w:tc>
        <w:tc>
          <w:tcPr>
            <w:tcW w:w="1688" w:type="dxa"/>
          </w:tcPr>
          <w:p w14:paraId="3EEF7BBD"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20</w:t>
            </w:r>
          </w:p>
        </w:tc>
        <w:tc>
          <w:tcPr>
            <w:tcW w:w="1664" w:type="dxa"/>
          </w:tcPr>
          <w:p w14:paraId="046AE671"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18</w:t>
            </w:r>
          </w:p>
        </w:tc>
        <w:tc>
          <w:tcPr>
            <w:tcW w:w="1652" w:type="dxa"/>
          </w:tcPr>
          <w:p w14:paraId="14173C4B"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36</w:t>
            </w:r>
          </w:p>
        </w:tc>
      </w:tr>
      <w:tr w:rsidR="00250BEC" w:rsidRPr="00250BEC" w14:paraId="12EDDE69" w14:textId="77777777" w:rsidTr="00250BEC">
        <w:trPr>
          <w:jc w:val="center"/>
        </w:trPr>
        <w:tc>
          <w:tcPr>
            <w:tcW w:w="2893" w:type="dxa"/>
          </w:tcPr>
          <w:p w14:paraId="33C542B5" w14:textId="77777777" w:rsidR="00250BEC" w:rsidRPr="00250BEC" w:rsidRDefault="00250BEC" w:rsidP="00250BEC">
            <w:pPr>
              <w:widowControl w:val="0"/>
              <w:shd w:val="clear" w:color="auto" w:fill="FFFFFF"/>
              <w:ind w:firstLine="0"/>
              <w:contextualSpacing/>
              <w:rPr>
                <w:rFonts w:ascii="PT Astra Serif" w:hAnsi="PT Astra Serif" w:cs="Times New Roman"/>
                <w:sz w:val="20"/>
                <w:szCs w:val="20"/>
              </w:rPr>
            </w:pPr>
            <w:r w:rsidRPr="00250BEC">
              <w:rPr>
                <w:rFonts w:ascii="PT Astra Serif" w:hAnsi="PT Astra Serif" w:cs="Times New Roman"/>
                <w:sz w:val="20"/>
                <w:szCs w:val="20"/>
              </w:rPr>
              <w:t>МИМ ЛИНК</w:t>
            </w:r>
          </w:p>
        </w:tc>
        <w:tc>
          <w:tcPr>
            <w:tcW w:w="1455" w:type="dxa"/>
          </w:tcPr>
          <w:p w14:paraId="319CD613"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17</w:t>
            </w:r>
          </w:p>
        </w:tc>
        <w:tc>
          <w:tcPr>
            <w:tcW w:w="1688" w:type="dxa"/>
          </w:tcPr>
          <w:p w14:paraId="68CD52D8"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16</w:t>
            </w:r>
          </w:p>
        </w:tc>
        <w:tc>
          <w:tcPr>
            <w:tcW w:w="1664" w:type="dxa"/>
          </w:tcPr>
          <w:p w14:paraId="27F00E4C"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17</w:t>
            </w:r>
          </w:p>
        </w:tc>
        <w:tc>
          <w:tcPr>
            <w:tcW w:w="1652" w:type="dxa"/>
          </w:tcPr>
          <w:p w14:paraId="3F614DAE"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w:t>
            </w:r>
          </w:p>
        </w:tc>
      </w:tr>
      <w:tr w:rsidR="00250BEC" w:rsidRPr="00250BEC" w14:paraId="26785FA2" w14:textId="77777777" w:rsidTr="00250BEC">
        <w:trPr>
          <w:jc w:val="center"/>
        </w:trPr>
        <w:tc>
          <w:tcPr>
            <w:tcW w:w="2893" w:type="dxa"/>
          </w:tcPr>
          <w:p w14:paraId="4A7A1F96" w14:textId="77777777" w:rsidR="00250BEC" w:rsidRPr="00250BEC" w:rsidRDefault="00250BEC" w:rsidP="00250BEC">
            <w:pPr>
              <w:widowControl w:val="0"/>
              <w:shd w:val="clear" w:color="auto" w:fill="FFFFFF"/>
              <w:ind w:firstLine="0"/>
              <w:contextualSpacing/>
              <w:rPr>
                <w:rFonts w:ascii="PT Astra Serif" w:hAnsi="PT Astra Serif" w:cs="Times New Roman"/>
                <w:i/>
                <w:sz w:val="20"/>
                <w:szCs w:val="20"/>
              </w:rPr>
            </w:pPr>
            <w:r w:rsidRPr="00250BEC">
              <w:rPr>
                <w:rFonts w:ascii="PT Astra Serif" w:hAnsi="PT Astra Serif" w:cs="Times New Roman"/>
                <w:i/>
                <w:sz w:val="20"/>
                <w:szCs w:val="20"/>
              </w:rPr>
              <w:t>Итого</w:t>
            </w:r>
          </w:p>
        </w:tc>
        <w:tc>
          <w:tcPr>
            <w:tcW w:w="1455" w:type="dxa"/>
          </w:tcPr>
          <w:p w14:paraId="4A1A953C"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37</w:t>
            </w:r>
          </w:p>
        </w:tc>
        <w:tc>
          <w:tcPr>
            <w:tcW w:w="1688" w:type="dxa"/>
          </w:tcPr>
          <w:p w14:paraId="78DBED2B"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36</w:t>
            </w:r>
          </w:p>
        </w:tc>
        <w:tc>
          <w:tcPr>
            <w:tcW w:w="1664" w:type="dxa"/>
          </w:tcPr>
          <w:p w14:paraId="28268AAD"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35</w:t>
            </w:r>
          </w:p>
        </w:tc>
        <w:tc>
          <w:tcPr>
            <w:tcW w:w="1652" w:type="dxa"/>
          </w:tcPr>
          <w:p w14:paraId="69A2D2A8" w14:textId="77777777" w:rsidR="00250BEC" w:rsidRPr="00250BEC" w:rsidRDefault="00250BEC" w:rsidP="00250BEC">
            <w:pPr>
              <w:widowControl w:val="0"/>
              <w:shd w:val="clear" w:color="auto" w:fill="FFFFFF"/>
              <w:ind w:firstLine="0"/>
              <w:contextualSpacing/>
              <w:jc w:val="center"/>
              <w:rPr>
                <w:rFonts w:ascii="PT Astra Serif" w:hAnsi="PT Astra Serif" w:cs="Times New Roman"/>
                <w:sz w:val="20"/>
                <w:szCs w:val="20"/>
              </w:rPr>
            </w:pPr>
            <w:r w:rsidRPr="00250BEC">
              <w:rPr>
                <w:rFonts w:ascii="PT Astra Serif" w:hAnsi="PT Astra Serif" w:cs="Times New Roman"/>
                <w:sz w:val="20"/>
                <w:szCs w:val="20"/>
              </w:rPr>
              <w:t>36</w:t>
            </w:r>
          </w:p>
        </w:tc>
      </w:tr>
    </w:tbl>
    <w:p w14:paraId="6B912B6C"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noProof/>
          <w:szCs w:val="28"/>
        </w:rPr>
        <w:lastRenderedPageBreak/>
        <w:t xml:space="preserve">В 2025 году Президенсткую программу завершили 36 специалистов. </w:t>
      </w:r>
    </w:p>
    <w:p w14:paraId="3B3BC00D" w14:textId="77777777" w:rsidR="00250BEC" w:rsidRPr="00250BEC" w:rsidRDefault="00250BEC" w:rsidP="00250BEC">
      <w:pPr>
        <w:widowControl w:val="0"/>
        <w:shd w:val="clear" w:color="auto" w:fill="FFFFFF"/>
        <w:contextualSpacing/>
        <w:rPr>
          <w:rFonts w:ascii="PT Astra Serif" w:hAnsi="PT Astra Serif" w:cs="Times New Roman"/>
          <w:noProof/>
          <w:szCs w:val="28"/>
        </w:rPr>
      </w:pPr>
      <w:r w:rsidRPr="00250BEC">
        <w:rPr>
          <w:rFonts w:ascii="PT Astra Serif" w:hAnsi="PT Astra Serif" w:cs="Times New Roman"/>
          <w:szCs w:val="28"/>
        </w:rPr>
        <w:t xml:space="preserve">Проектно-ориентированные образовательные программы (тип </w:t>
      </w:r>
      <w:r w:rsidRPr="00250BEC">
        <w:rPr>
          <w:rFonts w:ascii="PT Astra Serif" w:hAnsi="PT Astra Serif" w:cs="Times New Roman"/>
          <w:szCs w:val="28"/>
        </w:rPr>
        <w:br/>
        <w:t xml:space="preserve">А - </w:t>
      </w:r>
      <w:proofErr w:type="spellStart"/>
      <w:r w:rsidRPr="00250BEC">
        <w:rPr>
          <w:rFonts w:ascii="PT Astra Serif" w:hAnsi="PT Astra Serif" w:cs="Times New Roman"/>
          <w:szCs w:val="28"/>
        </w:rPr>
        <w:t>advanced</w:t>
      </w:r>
      <w:proofErr w:type="spellEnd"/>
      <w:r w:rsidRPr="00250BEC">
        <w:rPr>
          <w:rFonts w:ascii="PT Astra Serif" w:hAnsi="PT Astra Serif" w:cs="Times New Roman"/>
          <w:szCs w:val="28"/>
        </w:rPr>
        <w:t xml:space="preserve">) - предусматривают профессиональную переподготовку специалистов в рамках укрупненной группы специальностей и направлений «Экономика и управление» с ориентацией на развитие компетенций менеджера в процессе обучения, подготовки и реализации под руководством и при консультации преподавателя проекта в интересах направившей специалиста на обучение организации, реализуемого на всем протяжении образовательной программы (общий объем обучения 550 академических часов). </w:t>
      </w:r>
      <w:r w:rsidRPr="00250BEC">
        <w:rPr>
          <w:rFonts w:ascii="PT Astra Serif" w:hAnsi="PT Astra Serif" w:cs="Times New Roman"/>
          <w:noProof/>
          <w:szCs w:val="28"/>
        </w:rPr>
        <w:t>Реализуемый принцип проектного обучения является важным преимуществом Президентской программы, отражает специфику Ульяновской области: много проектов разрабатываются по строительству, образованию, туризму, торговле, промышленности,  это позволяет сочетать потребности как предприятия и организации, так и региона.</w:t>
      </w:r>
    </w:p>
    <w:p w14:paraId="7E438943" w14:textId="77777777" w:rsidR="00250BEC" w:rsidRPr="00250BEC" w:rsidRDefault="00250BEC" w:rsidP="00250BEC">
      <w:pPr>
        <w:widowControl w:val="0"/>
        <w:shd w:val="clear" w:color="auto" w:fill="FFFFFF"/>
        <w:contextualSpacing/>
        <w:rPr>
          <w:rFonts w:ascii="PT Astra Serif" w:hAnsi="PT Astra Serif" w:cs="Times New Roman"/>
          <w:noProof/>
          <w:szCs w:val="28"/>
        </w:rPr>
      </w:pPr>
      <w:r w:rsidRPr="00250BEC">
        <w:rPr>
          <w:rFonts w:ascii="PT Astra Serif" w:hAnsi="PT Astra Serif" w:cs="Times New Roman"/>
          <w:noProof/>
          <w:szCs w:val="28"/>
        </w:rPr>
        <w:t xml:space="preserve">Традиционно наибольшее количество выпускников Президентской программы Ульяновской области проходят стажировку в зарубежных странах, что открывает уникальную возможность аккумулировать на территории Ульяновской области передовой опыт как Запада так и Востока. </w:t>
      </w:r>
    </w:p>
    <w:p w14:paraId="7FF5C7AC"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 xml:space="preserve">За годы реализации Президентской программы на территории Ульяновской области </w:t>
      </w:r>
      <w:r w:rsidRPr="00250BEC">
        <w:rPr>
          <w:rFonts w:ascii="PT Astra Serif" w:hAnsi="PT Astra Serif" w:cs="Times New Roman"/>
          <w:bCs/>
          <w:szCs w:val="28"/>
        </w:rPr>
        <w:t>284 выпускника программы успешно прошли зарубежную стажировку.</w:t>
      </w:r>
      <w:r w:rsidRPr="00250BEC">
        <w:rPr>
          <w:rFonts w:ascii="PT Astra Serif" w:hAnsi="PT Astra Serif" w:cs="Times New Roman"/>
          <w:szCs w:val="28"/>
        </w:rPr>
        <w:t xml:space="preserve"> В 2025 году в рамках зарубежных стажировок </w:t>
      </w:r>
      <w:r w:rsidRPr="00250BEC">
        <w:rPr>
          <w:rFonts w:ascii="PT Astra Serif" w:hAnsi="PT Astra Serif" w:cs="Times New Roman"/>
          <w:szCs w:val="28"/>
        </w:rPr>
        <w:br/>
        <w:t>4 выпускника Президентской программы Ульяновской области посетили Китайскую Народную Республику, Египет, Республику Беларусь.</w:t>
      </w:r>
    </w:p>
    <w:p w14:paraId="12FA06E6"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 xml:space="preserve">Стажировки проводятся с целью развития профессиональных компетенций слушателей Президентской программы, установления деловых контактов, обмена практиками для воплощения их на своих предприятиях. </w:t>
      </w:r>
    </w:p>
    <w:p w14:paraId="1CE7714F" w14:textId="77777777" w:rsidR="00250BEC" w:rsidRPr="00250BEC" w:rsidRDefault="00250BEC" w:rsidP="00250BEC">
      <w:pPr>
        <w:rPr>
          <w:rFonts w:ascii="system-ui" w:eastAsia="Times New Roman" w:hAnsi="system-ui" w:cs="Times New Roman"/>
          <w:szCs w:val="28"/>
          <w:lang w:eastAsia="ru-RU"/>
        </w:rPr>
      </w:pPr>
      <w:r w:rsidRPr="00250BEC">
        <w:rPr>
          <w:rFonts w:ascii="system-ui" w:eastAsia="Times New Roman" w:hAnsi="system-ui" w:cs="Times New Roman"/>
          <w:szCs w:val="28"/>
          <w:lang w:eastAsia="ru-RU"/>
        </w:rPr>
        <w:t>Кроме того, более двадцати участников Президентской программы подготовки управленческих кадров по программе «Инновационные стратегии в управлении» прошли образовательную стажировку на одном из ведущих предприятий Ульяновска — заводе «Контактор». Тематика занятий была посвящена внедрению концепции бережливого производства, направленной на повышение эффективности производственных процессов и снижение издержек с целью оптимизации рабочих процессов и внедрения методов бережливого производства («</w:t>
      </w:r>
      <w:proofErr w:type="spellStart"/>
      <w:r w:rsidRPr="00250BEC">
        <w:rPr>
          <w:rFonts w:ascii="system-ui" w:eastAsia="Times New Roman" w:hAnsi="system-ui" w:cs="Times New Roman"/>
          <w:szCs w:val="28"/>
          <w:lang w:eastAsia="ru-RU"/>
        </w:rPr>
        <w:t>Lean</w:t>
      </w:r>
      <w:proofErr w:type="spellEnd"/>
      <w:r w:rsidRPr="00250BEC">
        <w:rPr>
          <w:rFonts w:ascii="system-ui" w:eastAsia="Times New Roman" w:hAnsi="system-ui" w:cs="Times New Roman"/>
          <w:szCs w:val="28"/>
          <w:lang w:eastAsia="ru-RU"/>
        </w:rPr>
        <w:t xml:space="preserve"> </w:t>
      </w:r>
      <w:proofErr w:type="spellStart"/>
      <w:r w:rsidRPr="00250BEC">
        <w:rPr>
          <w:rFonts w:ascii="system-ui" w:eastAsia="Times New Roman" w:hAnsi="system-ui" w:cs="Times New Roman"/>
          <w:szCs w:val="28"/>
          <w:lang w:eastAsia="ru-RU"/>
        </w:rPr>
        <w:t>Production</w:t>
      </w:r>
      <w:proofErr w:type="spellEnd"/>
      <w:r w:rsidRPr="00250BEC">
        <w:rPr>
          <w:rFonts w:ascii="system-ui" w:eastAsia="Times New Roman" w:hAnsi="system-ui" w:cs="Times New Roman"/>
          <w:szCs w:val="28"/>
          <w:lang w:eastAsia="ru-RU"/>
        </w:rPr>
        <w:t>»).</w:t>
      </w:r>
    </w:p>
    <w:p w14:paraId="75F2AFAC" w14:textId="77777777" w:rsidR="00250BEC" w:rsidRPr="00250BEC" w:rsidRDefault="00250BEC" w:rsidP="00250BEC">
      <w:pPr>
        <w:rPr>
          <w:rFonts w:ascii="system-ui" w:eastAsia="Times New Roman" w:hAnsi="system-ui" w:cs="Times New Roman"/>
          <w:szCs w:val="28"/>
          <w:lang w:eastAsia="ru-RU"/>
        </w:rPr>
      </w:pPr>
      <w:r w:rsidRPr="00250BEC">
        <w:rPr>
          <w:rFonts w:ascii="system-ui" w:eastAsia="Times New Roman" w:hAnsi="system-ui" w:cs="Times New Roman"/>
          <w:szCs w:val="28"/>
          <w:lang w:eastAsia="ru-RU"/>
        </w:rPr>
        <w:t>Во время стажировки слушатели ознакомились с ключевыми принципами организации производственного процесса, научились выявлять потери и разрабатывать решения по их устранению. Особое внимание уделялось практическим аспектам внедрения системы бережливого производства в реальных условиях предприятия.</w:t>
      </w:r>
    </w:p>
    <w:p w14:paraId="7A4A60BA" w14:textId="77777777" w:rsidR="00250BEC" w:rsidRPr="00250BEC" w:rsidRDefault="00250BEC" w:rsidP="00250BEC">
      <w:pPr>
        <w:rPr>
          <w:rFonts w:ascii="system-ui" w:eastAsia="Times New Roman" w:hAnsi="system-ui" w:cs="Times New Roman"/>
          <w:szCs w:val="28"/>
          <w:lang w:eastAsia="ru-RU"/>
        </w:rPr>
      </w:pPr>
      <w:r w:rsidRPr="00250BEC">
        <w:rPr>
          <w:rFonts w:ascii="system-ui" w:eastAsia="Times New Roman" w:hAnsi="system-ui" w:cs="Times New Roman"/>
          <w:szCs w:val="28"/>
          <w:lang w:eastAsia="ru-RU"/>
        </w:rPr>
        <w:t>Программа включала теоретические занятия, интерактивные семинары и практические мастер-классы. Среди тем, затронутых в ходе стажировки, были такие важные аспекты, как организация рабочего пространства («5S»), система вытягивания заказов («</w:t>
      </w:r>
      <w:proofErr w:type="spellStart"/>
      <w:r w:rsidRPr="00250BEC">
        <w:rPr>
          <w:rFonts w:ascii="system-ui" w:eastAsia="Times New Roman" w:hAnsi="system-ui" w:cs="Times New Roman"/>
          <w:szCs w:val="28"/>
          <w:lang w:eastAsia="ru-RU"/>
        </w:rPr>
        <w:t>Kanban</w:t>
      </w:r>
      <w:proofErr w:type="spellEnd"/>
      <w:r w:rsidRPr="00250BEC">
        <w:rPr>
          <w:rFonts w:ascii="system-ui" w:eastAsia="Times New Roman" w:hAnsi="system-ui" w:cs="Times New Roman"/>
          <w:szCs w:val="28"/>
          <w:lang w:eastAsia="ru-RU"/>
        </w:rPr>
        <w:t>») и методология непрерывного улучшения («</w:t>
      </w:r>
      <w:proofErr w:type="spellStart"/>
      <w:r w:rsidRPr="00250BEC">
        <w:rPr>
          <w:rFonts w:ascii="system-ui" w:eastAsia="Times New Roman" w:hAnsi="system-ui" w:cs="Times New Roman"/>
          <w:szCs w:val="28"/>
          <w:lang w:eastAsia="ru-RU"/>
        </w:rPr>
        <w:t>Kaizen</w:t>
      </w:r>
      <w:proofErr w:type="spellEnd"/>
      <w:r w:rsidRPr="00250BEC">
        <w:rPr>
          <w:rFonts w:ascii="system-ui" w:eastAsia="Times New Roman" w:hAnsi="system-ui" w:cs="Times New Roman"/>
          <w:szCs w:val="28"/>
          <w:lang w:eastAsia="ru-RU"/>
        </w:rPr>
        <w:t>»).</w:t>
      </w:r>
    </w:p>
    <w:p w14:paraId="126DBA88" w14:textId="77777777" w:rsidR="00250BEC" w:rsidRPr="00250BEC" w:rsidRDefault="00250BEC" w:rsidP="00250BEC">
      <w:pPr>
        <w:rPr>
          <w:rFonts w:ascii="system-ui" w:eastAsia="Times New Roman" w:hAnsi="system-ui" w:cs="Times New Roman"/>
          <w:szCs w:val="28"/>
          <w:lang w:eastAsia="ru-RU"/>
        </w:rPr>
      </w:pPr>
      <w:r w:rsidRPr="00250BEC">
        <w:rPr>
          <w:rFonts w:ascii="system-ui" w:eastAsia="Times New Roman" w:hAnsi="system-ui" w:cs="Times New Roman"/>
          <w:szCs w:val="28"/>
          <w:lang w:eastAsia="ru-RU"/>
        </w:rPr>
        <w:lastRenderedPageBreak/>
        <w:t xml:space="preserve">Завершив обучение, участники получили возможность применить полученные знания непосредственно на практике, улучшив эффективность своих подразделений и повысив общую производительность предприятия, </w:t>
      </w:r>
      <w:r w:rsidRPr="00250BEC">
        <w:rPr>
          <w:rFonts w:ascii="system-ui" w:eastAsia="Times New Roman" w:hAnsi="system-ui" w:cs="Times New Roman"/>
          <w:szCs w:val="28"/>
          <w:lang w:eastAsia="ru-RU"/>
        </w:rPr>
        <w:br/>
        <w:t>а также знания и инструменты, необходимые для дальнейшего совершенствования своей профессиональной деятельности. Организация подобного рода мероприятий способствует развитию профессиональных компетенций специалистов и укреплению кадрового потенциала региона.</w:t>
      </w:r>
    </w:p>
    <w:p w14:paraId="1699A9BB" w14:textId="77777777" w:rsidR="00250BEC" w:rsidRPr="00250BEC" w:rsidRDefault="00250BEC" w:rsidP="00250BEC">
      <w:pPr>
        <w:widowControl w:val="0"/>
        <w:shd w:val="clear" w:color="auto" w:fill="FFFFFF"/>
        <w:contextualSpacing/>
        <w:rPr>
          <w:rFonts w:ascii="PT Astra Serif" w:hAnsi="PT Astra Serif" w:cs="Times New Roman"/>
          <w:szCs w:val="28"/>
        </w:rPr>
      </w:pPr>
      <w:r w:rsidRPr="00250BEC">
        <w:rPr>
          <w:rFonts w:ascii="PT Astra Serif" w:hAnsi="PT Astra Serif" w:cs="Times New Roman"/>
          <w:szCs w:val="28"/>
        </w:rPr>
        <w:t>Таким образом, Президентская программа ежегодно повышает качество человеческого капитала и является инструментом экономического развития Ульяновской области.</w:t>
      </w:r>
    </w:p>
    <w:p w14:paraId="201138DC"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iCs/>
          <w:szCs w:val="28"/>
          <w:lang w:eastAsia="ru-RU"/>
        </w:rPr>
      </w:pPr>
    </w:p>
    <w:p w14:paraId="4FBF262A" w14:textId="77777777" w:rsidR="00250BEC" w:rsidRPr="00250BEC" w:rsidRDefault="00250BEC" w:rsidP="00250BEC">
      <w:pPr>
        <w:widowControl w:val="0"/>
        <w:ind w:firstLine="0"/>
        <w:contextualSpacing/>
        <w:jc w:val="center"/>
        <w:rPr>
          <w:rFonts w:ascii="PT Astra Serif" w:hAnsi="PT Astra Serif" w:cs="Times New Roman"/>
          <w:b/>
          <w:iCs/>
          <w:szCs w:val="28"/>
        </w:rPr>
      </w:pPr>
      <w:r w:rsidRPr="00250BEC">
        <w:rPr>
          <w:rFonts w:ascii="PT Astra Serif" w:hAnsi="PT Astra Serif" w:cs="Times New Roman"/>
          <w:b/>
          <w:iCs/>
          <w:szCs w:val="28"/>
        </w:rPr>
        <w:t>Задачи на 2026 год</w:t>
      </w:r>
    </w:p>
    <w:p w14:paraId="7327F5B7" w14:textId="77777777" w:rsidR="00250BEC" w:rsidRPr="00250BEC" w:rsidRDefault="00250BEC" w:rsidP="00250BEC">
      <w:pPr>
        <w:widowControl w:val="0"/>
        <w:contextualSpacing/>
        <w:rPr>
          <w:rFonts w:ascii="PT Astra Serif" w:hAnsi="PT Astra Serif" w:cs="Times New Roman"/>
          <w:iCs/>
          <w:szCs w:val="28"/>
        </w:rPr>
      </w:pPr>
    </w:p>
    <w:p w14:paraId="5F0A733A"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 xml:space="preserve">Основная задача, стоящая перед кадровой службой, заключается </w:t>
      </w:r>
      <w:r w:rsidRPr="00250BEC">
        <w:rPr>
          <w:rFonts w:ascii="PT Astra Serif" w:eastAsia="Times New Roman" w:hAnsi="PT Astra Serif" w:cs="Arial"/>
          <w:szCs w:val="28"/>
          <w:lang w:eastAsia="ru-RU"/>
        </w:rPr>
        <w:br/>
        <w:t>в формировании системы подбора, развития и ротации кадров для органов государственной власти на основе принципов равных возможностей, приоритета профессиональных знаний и квалификаций, включая механизмы регулярной оценки и обратной связи в рамках единой цифровой платформы.</w:t>
      </w:r>
    </w:p>
    <w:p w14:paraId="2EF35AC1" w14:textId="77777777" w:rsidR="00250BEC" w:rsidRPr="00250BEC" w:rsidRDefault="00250BEC" w:rsidP="00250BEC">
      <w:pPr>
        <w:widowControl w:val="0"/>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Приоритетные направления формирования кадрового состава гражданской службы отражены в Федеральном законе от 27.07.2004 №79-ФЗ:</w:t>
      </w:r>
    </w:p>
    <w:p w14:paraId="48ED5A0E"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подготовка кадров для гражданской службы и профессиональное развитие гражданских служащих;</w:t>
      </w:r>
    </w:p>
    <w:p w14:paraId="54A4B0EA"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содействие должностному росту служащих на конкурсной основе;</w:t>
      </w:r>
    </w:p>
    <w:p w14:paraId="4D23D514"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формирование кадрового резерва на конкурсной основе и его эффективное использование;</w:t>
      </w:r>
    </w:p>
    <w:p w14:paraId="72B23276"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оценка результатов профессиональной служебной деятельности гражданских служащих посредством проведения аттестации;</w:t>
      </w:r>
    </w:p>
    <w:p w14:paraId="3946BCAC" w14:textId="77777777" w:rsidR="00250BEC" w:rsidRPr="00250BEC" w:rsidRDefault="00250BEC" w:rsidP="00250BEC">
      <w:pPr>
        <w:widowControl w:val="0"/>
        <w:tabs>
          <w:tab w:val="left" w:pos="567"/>
        </w:tabs>
        <w:autoSpaceDE w:val="0"/>
        <w:autoSpaceDN w:val="0"/>
        <w:adjustRightInd w:val="0"/>
        <w:contextualSpacing/>
        <w:rPr>
          <w:rFonts w:ascii="PT Astra Serif" w:eastAsia="Times New Roman" w:hAnsi="PT Astra Serif" w:cs="Arial"/>
          <w:szCs w:val="28"/>
          <w:lang w:eastAsia="ru-RU"/>
        </w:rPr>
      </w:pPr>
      <w:r w:rsidRPr="00250BEC">
        <w:rPr>
          <w:rFonts w:ascii="PT Astra Serif" w:eastAsia="Times New Roman" w:hAnsi="PT Astra Serif" w:cs="Arial"/>
          <w:szCs w:val="28"/>
          <w:lang w:eastAsia="ru-RU"/>
        </w:rPr>
        <w:t>применение современных кадровых технологий при поступлении на гражданскую службу и ее прохождении.</w:t>
      </w:r>
    </w:p>
    <w:p w14:paraId="69C0EA39" w14:textId="77777777" w:rsidR="00250BEC" w:rsidRPr="00250BEC" w:rsidRDefault="00250BEC" w:rsidP="00250BEC">
      <w:pPr>
        <w:rPr>
          <w:rFonts w:cs="Times New Roman"/>
        </w:rPr>
      </w:pPr>
    </w:p>
    <w:p w14:paraId="28E68172" w14:textId="48E37F52" w:rsidR="00005A38" w:rsidRDefault="00005A38">
      <w:pPr>
        <w:spacing w:after="160" w:line="259" w:lineRule="auto"/>
        <w:ind w:firstLine="0"/>
        <w:jc w:val="left"/>
        <w:rPr>
          <w:rFonts w:ascii="PT Astra Serif" w:hAnsi="PT Astra Serif"/>
          <w:bCs/>
          <w:iCs/>
          <w:szCs w:val="28"/>
        </w:rPr>
      </w:pPr>
      <w:r>
        <w:rPr>
          <w:rFonts w:ascii="PT Astra Serif" w:hAnsi="PT Astra Serif"/>
          <w:bCs/>
          <w:iCs/>
          <w:szCs w:val="28"/>
        </w:rPr>
        <w:br w:type="page"/>
      </w:r>
    </w:p>
    <w:p w14:paraId="71068E51" w14:textId="77777777" w:rsidR="00FE417F" w:rsidRPr="00FE417F" w:rsidRDefault="00FE417F" w:rsidP="00FE417F">
      <w:pPr>
        <w:widowControl w:val="0"/>
        <w:ind w:firstLine="0"/>
        <w:jc w:val="center"/>
        <w:outlineLvl w:val="0"/>
        <w:rPr>
          <w:rFonts w:ascii="PT Astra Serif" w:eastAsia="PT Astra Serif" w:hAnsi="PT Astra Serif" w:cstheme="majorBidi"/>
          <w:b/>
          <w:color w:val="000000" w:themeColor="text1"/>
          <w:szCs w:val="28"/>
          <w:shd w:val="clear" w:color="auto" w:fill="FFFFFF"/>
          <w:lang w:eastAsia="ru-RU"/>
        </w:rPr>
      </w:pPr>
      <w:bookmarkStart w:id="59" w:name="_Toc225327540"/>
      <w:bookmarkStart w:id="60" w:name="_Toc226016712"/>
      <w:r w:rsidRPr="00FE417F">
        <w:rPr>
          <w:rFonts w:ascii="PT Astra Serif" w:eastAsia="PT Astra Serif" w:hAnsi="PT Astra Serif" w:cstheme="majorBidi"/>
          <w:b/>
          <w:color w:val="000000" w:themeColor="text1"/>
          <w:szCs w:val="28"/>
          <w:shd w:val="clear" w:color="auto" w:fill="FFFFFF"/>
          <w:lang w:eastAsia="ru-RU"/>
        </w:rPr>
        <w:lastRenderedPageBreak/>
        <w:t>ПРАВОТВОРЧЕСКАЯ ДЕЯТЕЛЬНОСТЬ И ОКАЗАНИЕ БЕСПЛАТНОЙ ЮРИДИЧЕСКОЙ ПОМОЩИ</w:t>
      </w:r>
      <w:bookmarkEnd w:id="59"/>
      <w:bookmarkEnd w:id="60"/>
    </w:p>
    <w:p w14:paraId="238EB150" w14:textId="77777777" w:rsidR="00FE417F" w:rsidRPr="00FE417F" w:rsidRDefault="00FE417F" w:rsidP="00FE417F">
      <w:pPr>
        <w:widowControl w:val="0"/>
        <w:jc w:val="center"/>
        <w:rPr>
          <w:rFonts w:ascii="PT Astra Serif" w:eastAsia="Times New Roman" w:hAnsi="PT Astra Serif" w:cs="Times New Roman"/>
          <w:b/>
          <w:color w:val="000000" w:themeColor="text1"/>
          <w:szCs w:val="28"/>
          <w:highlight w:val="yellow"/>
          <w:lang w:eastAsia="ru-RU"/>
        </w:rPr>
      </w:pPr>
    </w:p>
    <w:p w14:paraId="34351584" w14:textId="77777777" w:rsidR="00FE417F" w:rsidRPr="00FE417F" w:rsidRDefault="00FE417F" w:rsidP="00FE417F">
      <w:pPr>
        <w:widowControl w:val="0"/>
        <w:ind w:firstLine="0"/>
        <w:jc w:val="center"/>
        <w:rPr>
          <w:rFonts w:ascii="PT Astra Serif" w:hAnsi="PT Astra Serif"/>
          <w:b/>
          <w:bCs/>
          <w:szCs w:val="28"/>
          <w:lang w:eastAsia="ru-RU"/>
        </w:rPr>
      </w:pPr>
      <w:r w:rsidRPr="00FE417F">
        <w:rPr>
          <w:rFonts w:ascii="PT Astra Serif" w:hAnsi="PT Astra Serif"/>
          <w:b/>
          <w:bCs/>
          <w:szCs w:val="28"/>
          <w:lang w:eastAsia="ru-RU"/>
        </w:rPr>
        <w:t>Правотворческая деятельность</w:t>
      </w:r>
    </w:p>
    <w:p w14:paraId="73873F6B" w14:textId="77777777" w:rsidR="00FE417F" w:rsidRPr="00FE417F" w:rsidRDefault="00FE417F" w:rsidP="00FE417F">
      <w:pPr>
        <w:widowControl w:val="0"/>
        <w:rPr>
          <w:rFonts w:ascii="PT Astra Serif" w:hAnsi="PT Astra Serif"/>
          <w:szCs w:val="28"/>
          <w:lang w:eastAsia="ru-RU"/>
        </w:rPr>
      </w:pPr>
    </w:p>
    <w:p w14:paraId="2698DD3D"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 xml:space="preserve">В 2025 году продолжена работа по ревизии нормативных правовых актов Ульяновской области актов в соответствии с распоряжением Губернатора Ульяновской области от 14.06.2024 № 848-р «О некоторых мерах </w:t>
      </w:r>
      <w:r w:rsidRPr="00FE417F">
        <w:rPr>
          <w:rFonts w:ascii="PT Astra Serif" w:eastAsia="Calibri" w:hAnsi="PT Astra Serif" w:cs="Times New Roman"/>
          <w:szCs w:val="28"/>
          <w:lang w:eastAsia="ru-RU"/>
        </w:rPr>
        <w:br/>
        <w:t xml:space="preserve">по обеспечению верховенства федерального законодательства в деятельности исполнительных органов Ульяновской области». На дату утверждения </w:t>
      </w:r>
      <w:r w:rsidRPr="00FE417F">
        <w:rPr>
          <w:rFonts w:ascii="PT Astra Serif" w:eastAsia="Calibri" w:hAnsi="PT Astra Serif" w:cs="Times New Roman"/>
          <w:szCs w:val="28"/>
          <w:lang w:eastAsia="ru-RU"/>
        </w:rPr>
        <w:br/>
        <w:t>(31 января 2025 года) в реестр законов Ульяновской области было включено</w:t>
      </w:r>
      <w:r w:rsidRPr="00FE417F">
        <w:rPr>
          <w:rFonts w:ascii="PT Astra Serif" w:eastAsia="Calibri" w:hAnsi="PT Astra Serif" w:cs="Times New Roman"/>
          <w:szCs w:val="28"/>
          <w:lang w:eastAsia="ru-RU"/>
        </w:rPr>
        <w:br/>
        <w:t>260 законодательных актов, реестры нормативных правовых актов Губернатора Ульяновской области и Правительства Ульяновской области содержали соответственно 250 нормативных правовых актов Губернатора Ульяновской области и 952 нормативных правовых акта Правительства Ульяновской области.</w:t>
      </w:r>
    </w:p>
    <w:p w14:paraId="516C4041"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 xml:space="preserve">В отчётный период реестр законов Ульяновской области был дополнен </w:t>
      </w:r>
      <w:r w:rsidRPr="00FE417F">
        <w:rPr>
          <w:rFonts w:ascii="PT Astra Serif" w:eastAsia="Calibri" w:hAnsi="PT Astra Serif" w:cs="Times New Roman"/>
          <w:szCs w:val="28"/>
          <w:lang w:eastAsia="ru-RU"/>
        </w:rPr>
        <w:br/>
        <w:t xml:space="preserve">9 основными законодательными актами, исключены из реестра в связи </w:t>
      </w:r>
      <w:r w:rsidRPr="00FE417F">
        <w:rPr>
          <w:rFonts w:ascii="PT Astra Serif" w:eastAsia="Calibri" w:hAnsi="PT Astra Serif" w:cs="Times New Roman"/>
          <w:szCs w:val="28"/>
          <w:lang w:eastAsia="ru-RU"/>
        </w:rPr>
        <w:br/>
        <w:t>с признанием утратившими силу 5 законов, внесены изменения в 132 закона. Реестр нормативных правовых актов Губернатора Ульяновской области дополнен 21 нормативным правовым актом, внесены изменения в 76 нормативных правовых актов, исключены из реестра 18 нормативных правовых актов. Для реестра нормативных правовых актов Правительства Ульяновской области аналогичные показатели составили 134, 508 и 60 нормативных правовых акта соответственно.</w:t>
      </w:r>
    </w:p>
    <w:p w14:paraId="40E9E850"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 xml:space="preserve">Таким образом, реестры нормативных правовых актов, утверждённые </w:t>
      </w:r>
      <w:r w:rsidRPr="00FE417F">
        <w:rPr>
          <w:rFonts w:ascii="PT Astra Serif" w:eastAsia="Calibri" w:hAnsi="PT Astra Serif" w:cs="Times New Roman"/>
          <w:szCs w:val="28"/>
          <w:lang w:eastAsia="ru-RU"/>
        </w:rPr>
        <w:br/>
        <w:t xml:space="preserve">по состоянию на 1 февраля 2026 года, содержат 264 закона Ульяновской области, 253 нормативных правовых акта Губернатора Ульяновской области </w:t>
      </w:r>
      <w:r w:rsidRPr="00FE417F">
        <w:rPr>
          <w:rFonts w:ascii="PT Astra Serif" w:eastAsia="Calibri" w:hAnsi="PT Astra Serif" w:cs="Times New Roman"/>
          <w:szCs w:val="28"/>
          <w:lang w:eastAsia="ru-RU"/>
        </w:rPr>
        <w:br/>
        <w:t>и 1 026 нормативных правовых акта Правительства Ульяновской области</w:t>
      </w:r>
    </w:p>
    <w:p w14:paraId="688211B6"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Следует отметить, что 95% законов Ульяновской области, 78% нормативных правовых актов Губернатора Ульяновской области и 65% нормативных правовых акта Правительства Ульяновской области являются актуальными, то есть соответствующими законодательству. В отношении остальных нормативных правовых актов проводится работа по их актуализации.</w:t>
      </w:r>
    </w:p>
    <w:p w14:paraId="60EE6C59"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Реестры нормативных правовых актов показали себя эффективным инструментом совершенствования нормативной базы Ульяновской области.</w:t>
      </w:r>
    </w:p>
    <w:p w14:paraId="35BF8E7D"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 xml:space="preserve">Разработка исполнительными органами Ульяновской области законов Ульяновской области, актов Губернатора и Правительства Ульяновской области осуществляется в соответствии с планом законопроектной </w:t>
      </w:r>
      <w:r w:rsidRPr="00FE417F">
        <w:rPr>
          <w:rFonts w:ascii="PT Astra Serif" w:eastAsia="Calibri" w:hAnsi="PT Astra Serif" w:cs="Times New Roman"/>
          <w:szCs w:val="28"/>
          <w:lang w:eastAsia="ru-RU"/>
        </w:rPr>
        <w:br/>
        <w:t>и нормотворческой деятельности в Ульяновской области. План на 2025 год был утверждён распоряжением Губернатора Ульяновской области от 25.12.2024 № 1042-р, в него включены 2 части: «Проекты законов Ульяновской области» и «Проекты правовых актов Ульяновской области».</w:t>
      </w:r>
    </w:p>
    <w:p w14:paraId="10CA2A6E" w14:textId="77777777" w:rsidR="00FE417F" w:rsidRPr="00FE417F" w:rsidRDefault="00FE417F" w:rsidP="00FE417F">
      <w:pPr>
        <w:widowControl w:val="0"/>
        <w:rPr>
          <w:rFonts w:ascii="PT Astra Serif" w:eastAsia="Calibri" w:hAnsi="PT Astra Serif" w:cs="Times New Roman"/>
          <w:color w:val="000000"/>
          <w:szCs w:val="28"/>
        </w:rPr>
      </w:pPr>
      <w:r w:rsidRPr="00FE417F">
        <w:rPr>
          <w:rFonts w:ascii="PT Astra Serif" w:eastAsia="Calibri" w:hAnsi="PT Astra Serif" w:cs="Times New Roman"/>
          <w:color w:val="000000"/>
          <w:szCs w:val="28"/>
          <w:highlight w:val="white"/>
        </w:rPr>
        <w:t xml:space="preserve">04.07.2025 за № 93-ПЛ, </w:t>
      </w:r>
      <w:r w:rsidRPr="00FE417F">
        <w:rPr>
          <w:rFonts w:ascii="PT Astra Serif" w:eastAsia="Calibri" w:hAnsi="PT Astra Serif" w:cs="Times New Roman"/>
          <w:color w:val="000000"/>
          <w:szCs w:val="28"/>
        </w:rPr>
        <w:t xml:space="preserve">учитывая постоянные изменения </w:t>
      </w:r>
      <w:r w:rsidRPr="00FE417F">
        <w:rPr>
          <w:rFonts w:ascii="PT Astra Serif" w:eastAsia="Calibri" w:hAnsi="PT Astra Serif" w:cs="Times New Roman"/>
          <w:color w:val="000000"/>
          <w:szCs w:val="28"/>
        </w:rPr>
        <w:lastRenderedPageBreak/>
        <w:t>законодательства</w:t>
      </w:r>
      <w:r w:rsidRPr="00FE417F">
        <w:rPr>
          <w:rFonts w:ascii="PT Astra Serif" w:eastAsia="Calibri" w:hAnsi="PT Astra Serif" w:cs="Times New Roman"/>
          <w:color w:val="000000"/>
          <w:spacing w:val="-4"/>
          <w:szCs w:val="28"/>
        </w:rPr>
        <w:t xml:space="preserve"> и правоприменительную</w:t>
      </w:r>
      <w:r w:rsidRPr="00FE417F">
        <w:rPr>
          <w:rFonts w:ascii="PT Astra Serif" w:eastAsia="Calibri" w:hAnsi="PT Astra Serif" w:cs="Times New Roman"/>
          <w:color w:val="000000"/>
          <w:szCs w:val="28"/>
        </w:rPr>
        <w:t xml:space="preserve"> практику,</w:t>
      </w:r>
      <w:r w:rsidRPr="00FE417F">
        <w:rPr>
          <w:rFonts w:ascii="PT Astra Serif" w:eastAsia="Calibri" w:hAnsi="PT Astra Serif" w:cs="Times New Roman"/>
          <w:color w:val="000000"/>
          <w:szCs w:val="28"/>
          <w:highlight w:val="white"/>
        </w:rPr>
        <w:t xml:space="preserve"> утверждён уточнённый план законопроектной и нормотворческой деятельности на второе полугодие 2025 года</w:t>
      </w:r>
      <w:r w:rsidRPr="00FE417F">
        <w:rPr>
          <w:rFonts w:ascii="PT Astra Serif" w:eastAsia="Calibri" w:hAnsi="PT Astra Serif" w:cs="Times New Roman"/>
          <w:color w:val="000000"/>
          <w:szCs w:val="28"/>
        </w:rPr>
        <w:t>.</w:t>
      </w:r>
    </w:p>
    <w:p w14:paraId="36CA6958" w14:textId="77777777" w:rsidR="00FE417F" w:rsidRPr="00FE417F" w:rsidRDefault="00FE417F" w:rsidP="00FE417F">
      <w:pPr>
        <w:widowControl w:val="0"/>
        <w:rPr>
          <w:rFonts w:ascii="PT Astra Serif" w:eastAsia="Calibri" w:hAnsi="PT Astra Serif" w:cs="Times New Roman"/>
          <w:szCs w:val="28"/>
          <w:lang w:eastAsia="ru-RU"/>
        </w:rPr>
      </w:pPr>
      <w:r w:rsidRPr="00FE417F">
        <w:rPr>
          <w:rFonts w:ascii="PT Astra Serif" w:eastAsia="Calibri" w:hAnsi="PT Astra Serif" w:cs="Times New Roman"/>
          <w:szCs w:val="28"/>
          <w:lang w:eastAsia="ru-RU"/>
        </w:rPr>
        <w:t xml:space="preserve">В целях обеспечения взаимодействия по вопросам законотворческого процесса, повышения качества законопроектных работ и усиления контроля за ходом реализации плана законопроектной и нормотворческой деятельности </w:t>
      </w:r>
      <w:r w:rsidRPr="00FE417F">
        <w:rPr>
          <w:rFonts w:ascii="PT Astra Serif" w:eastAsia="Calibri" w:hAnsi="PT Astra Serif" w:cs="Times New Roman"/>
          <w:szCs w:val="28"/>
          <w:lang w:eastAsia="ru-RU"/>
        </w:rPr>
        <w:br/>
        <w:t>в Ульяновской области проведено 27 заседаний комиссии Ульяновской области по законопроектной деятельности и ее подкомиссии. Принято участие в 116 заседаниях комитетов Законодательного Собрания Ульяновской области.</w:t>
      </w:r>
      <w:r w:rsidRPr="00FE417F">
        <w:rPr>
          <w:rFonts w:ascii="PT Astra Serif" w:eastAsia="PT Astra Serif" w:hAnsi="PT Astra Serif" w:cs="PT Astra Serif"/>
          <w:spacing w:val="-2"/>
        </w:rPr>
        <w:t xml:space="preserve"> Подготовлено 39 отзывов (заключений) на проекты законов Ульяновской области, внесённых в Законодательное Собрание Ульяновской области иными субъектами права законодательной инициативы кроме Губернатора Ульяновской области и Правительства Ульяновской области.</w:t>
      </w:r>
    </w:p>
    <w:p w14:paraId="0E383554" w14:textId="77777777" w:rsidR="00FE417F" w:rsidRPr="00FE417F" w:rsidRDefault="00FE417F" w:rsidP="00FE417F">
      <w:pPr>
        <w:widowControl w:val="0"/>
        <w:rPr>
          <w:rFonts w:ascii="PT Astra Serif" w:eastAsia="Calibri" w:hAnsi="PT Astra Serif" w:cs="Times New Roman"/>
          <w:color w:val="000000"/>
          <w:szCs w:val="28"/>
        </w:rPr>
      </w:pPr>
      <w:r w:rsidRPr="00FE417F">
        <w:rPr>
          <w:rFonts w:ascii="PT Astra Serif" w:eastAsia="Calibri" w:hAnsi="PT Astra Serif" w:cs="Times New Roman"/>
          <w:szCs w:val="28"/>
          <w:lang w:eastAsia="ru-RU"/>
        </w:rPr>
        <w:t>На момент утверждения часть 1 плана содержала 52 проектов законов. Для сравнения план законопроектной деятельности на 2024 первоначально содержал 50 проектов законов (2023 год – 49, 2022 год – 52, 2021 год - 46).</w:t>
      </w:r>
      <w:r w:rsidRPr="00FE417F">
        <w:rPr>
          <w:rFonts w:ascii="PT Astra Serif" w:eastAsia="Calibri" w:hAnsi="PT Astra Serif" w:cs="Times New Roman"/>
          <w:szCs w:val="28"/>
          <w:lang w:eastAsia="ru-RU"/>
        </w:rPr>
        <w:br/>
        <w:t xml:space="preserve"> В течение 2025 года часть 1 плана была дополнена 166 новыми проектами законов Ульяновской области, исключено 65 законопроектов, в основном, </w:t>
      </w:r>
      <w:r w:rsidRPr="00FE417F">
        <w:rPr>
          <w:rFonts w:ascii="PT Astra Serif" w:eastAsia="Calibri" w:hAnsi="PT Astra Serif" w:cs="Times New Roman"/>
          <w:szCs w:val="28"/>
          <w:lang w:eastAsia="ru-RU"/>
        </w:rPr>
        <w:br/>
        <w:t>в связи с отсутствием актуальности принятия и необходимого правового регулирования на федеральном уровне.</w:t>
      </w:r>
    </w:p>
    <w:p w14:paraId="1D62A19F" w14:textId="77777777" w:rsidR="00FE417F" w:rsidRPr="00FE417F" w:rsidRDefault="00FE417F" w:rsidP="00FE417F">
      <w:pPr>
        <w:widowControl w:val="0"/>
        <w:rPr>
          <w:rFonts w:ascii="PT Astra Serif" w:eastAsia="PT Astra Serif" w:hAnsi="PT Astra Serif" w:cs="PT Astra Serif"/>
          <w:bCs/>
          <w:iCs/>
          <w:spacing w:val="-2"/>
        </w:rPr>
      </w:pPr>
      <w:r w:rsidRPr="00FE417F">
        <w:rPr>
          <w:rFonts w:ascii="PT Astra Serif" w:eastAsia="Calibri" w:hAnsi="PT Astra Serif" w:cs="Times New Roman"/>
          <w:szCs w:val="28"/>
          <w:lang w:eastAsia="ru-RU"/>
        </w:rPr>
        <w:t xml:space="preserve">Всего за 2025 год принято 166 законов Ульяновской области (2024 год – 138, 2023 год – 169, 2022 год – 164, 2021 год – 154) </w:t>
      </w:r>
      <w:r w:rsidRPr="00FE417F">
        <w:rPr>
          <w:rFonts w:ascii="PT Astra Serif" w:eastAsia="Calibri" w:hAnsi="PT Astra Serif" w:cs="Times New Roman"/>
          <w:bCs/>
          <w:szCs w:val="28"/>
          <w:lang w:eastAsia="ru-RU"/>
        </w:rPr>
        <w:t>88</w:t>
      </w:r>
      <w:r w:rsidRPr="00FE417F">
        <w:rPr>
          <w:rFonts w:ascii="PT Astra Serif" w:eastAsia="Calibri" w:hAnsi="PT Astra Serif" w:cs="Times New Roman"/>
          <w:szCs w:val="28"/>
          <w:lang w:eastAsia="ru-RU"/>
        </w:rPr>
        <w:t xml:space="preserve"> региональных законов приведены в соответствие с изменениями федерального законодательства. </w:t>
      </w:r>
      <w:r w:rsidRPr="00FE417F">
        <w:rPr>
          <w:rFonts w:ascii="PT Astra Serif" w:eastAsia="PT Astra Serif" w:hAnsi="PT Astra Serif" w:cs="PT Astra Serif"/>
          <w:bCs/>
          <w:iCs/>
          <w:spacing w:val="-2"/>
          <w:szCs w:val="28"/>
        </w:rPr>
        <w:t>План законопроектной деятельности исполнен на 100%.</w:t>
      </w:r>
    </w:p>
    <w:p w14:paraId="6BDF1CE3"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Часть 2 плана на момент утверждения содержала 857 проектов указов </w:t>
      </w:r>
      <w:r w:rsidRPr="00FE417F">
        <w:rPr>
          <w:rFonts w:ascii="PT Astra Serif" w:eastAsia="Times New Roman" w:hAnsi="PT Astra Serif" w:cs="Times New Roman"/>
          <w:szCs w:val="28"/>
          <w:lang w:eastAsia="ru-RU"/>
        </w:rPr>
        <w:br/>
        <w:t xml:space="preserve">и распоряжений Губернатора Ульяновской области, постановлений </w:t>
      </w:r>
      <w:r w:rsidRPr="00FE417F">
        <w:rPr>
          <w:rFonts w:ascii="PT Astra Serif" w:eastAsia="Times New Roman" w:hAnsi="PT Astra Serif" w:cs="Times New Roman"/>
          <w:szCs w:val="28"/>
          <w:lang w:eastAsia="ru-RU"/>
        </w:rPr>
        <w:br/>
        <w:t>и распоряжений Правительства Ульяновской области (2024 год – 847, 2023 год - 847, 2022 год – 563, 2021 год - 566). В течение 2024 года часть 2 плана была дополнена 869 проектами актов, исключено 36 проектов по причине прекращения правовых оснований к их принятию.</w:t>
      </w:r>
    </w:p>
    <w:p w14:paraId="69641F48"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Всего в 2025 году в Ульяновской области принято 2706 правовых акта Губернатора Ульяновской области и Правительства Ульяновской области, из которых: </w:t>
      </w:r>
    </w:p>
    <w:p w14:paraId="4110FFDF"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указов Губернатора Ульяновской области – 128; </w:t>
      </w:r>
    </w:p>
    <w:p w14:paraId="4434EB5F"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распоряжений Губернатора Ульяновской области – 1 084; </w:t>
      </w:r>
    </w:p>
    <w:p w14:paraId="3D3681CA"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постановлений Правительства Ульяновской области - 811; </w:t>
      </w:r>
    </w:p>
    <w:p w14:paraId="6F1DF9E6"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распоряжений Правительства Ульяновской области – 683.</w:t>
      </w:r>
    </w:p>
    <w:p w14:paraId="6C08CC63"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Для сравнения в 2024 году принято 2632 правовых акта, в 2023 году – 2 592, в 2022 году – 3 082, в 2021 году – 2 740.</w:t>
      </w:r>
    </w:p>
    <w:p w14:paraId="2895D818"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В 2025 году исполнительными органами Ульяновской области, возглавляемыми Правительством Ульяновской области, принято 1 068 приказов (2024 год – 1 352, 2023 год – 1 237, 2022 год – 1 163, 2021 год – 1 084).</w:t>
      </w:r>
    </w:p>
    <w:p w14:paraId="178FDA60"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В целом за последние 5 лет динамика показывает улучшение качества планирования правотворческой деятельности исполнительных органов Ульяновской области.</w:t>
      </w:r>
    </w:p>
    <w:p w14:paraId="04B95D8F"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lastRenderedPageBreak/>
        <w:t xml:space="preserve">В 2025 году, как и в предыдущие годы при рассмотрении проектов правовых актов особое внимание уделялось проведению не только правовой, но и антикоррупционной экспертизе нормативных правовых актов. Так, из 2080 правовых заключений 53 подготовлены с указаниями на </w:t>
      </w:r>
      <w:proofErr w:type="spellStart"/>
      <w:r w:rsidRPr="00FE417F">
        <w:rPr>
          <w:rFonts w:ascii="PT Astra Serif" w:eastAsia="Times New Roman" w:hAnsi="PT Astra Serif" w:cs="Times New Roman"/>
          <w:szCs w:val="28"/>
          <w:lang w:eastAsia="ru-RU"/>
        </w:rPr>
        <w:t>коррупциогенные</w:t>
      </w:r>
      <w:proofErr w:type="spellEnd"/>
      <w:r w:rsidRPr="00FE417F">
        <w:rPr>
          <w:rFonts w:ascii="PT Astra Serif" w:eastAsia="Times New Roman" w:hAnsi="PT Astra Serif" w:cs="Times New Roman"/>
          <w:szCs w:val="28"/>
          <w:lang w:eastAsia="ru-RU"/>
        </w:rPr>
        <w:t xml:space="preserve"> факторы или нарушения правил юридической техники (2,6%). В 2024 году из 2 155 правовых заключений с указаниями на нарушения было 90 (4,2%), в 2023 году – 82 из 1 983 (4,2%), в 2022 году – 74 из 2 184 (3,4%), в 2021 году – 57 из 1 995 (2,9%).</w:t>
      </w:r>
    </w:p>
    <w:p w14:paraId="5646F1C4"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С целью приведения нормативных правовых актов Ульяновской области в соответствие с законодательством РФ и законодательством Ульяновской области в 2025 году рассмотрено 2 экспертных заключения Управления Минюста России по Ульяновской области </w:t>
      </w:r>
      <w:bookmarkStart w:id="61" w:name="_Hlk161329159"/>
      <w:r w:rsidRPr="00FE417F">
        <w:rPr>
          <w:rFonts w:ascii="PT Astra Serif" w:eastAsia="Times New Roman" w:hAnsi="PT Astra Serif" w:cs="Times New Roman"/>
          <w:szCs w:val="28"/>
          <w:lang w:eastAsia="ru-RU"/>
        </w:rPr>
        <w:t>(2024 год – 9, 2023 год - 11, 2022 год – 14, 2021 - 5)</w:t>
      </w:r>
      <w:bookmarkEnd w:id="61"/>
      <w:r w:rsidRPr="00FE417F">
        <w:rPr>
          <w:rFonts w:ascii="PT Astra Serif" w:eastAsia="Times New Roman" w:hAnsi="PT Astra Serif" w:cs="Times New Roman"/>
          <w:szCs w:val="28"/>
          <w:lang w:eastAsia="ru-RU"/>
        </w:rPr>
        <w:t xml:space="preserve">, 35 актов прокурорского реагирования, в том числе </w:t>
      </w:r>
      <w:r w:rsidRPr="00FE417F">
        <w:rPr>
          <w:rFonts w:ascii="PT Astra Serif" w:eastAsia="Times New Roman" w:hAnsi="PT Astra Serif" w:cs="Times New Roman"/>
          <w:szCs w:val="28"/>
          <w:lang w:eastAsia="ru-RU"/>
        </w:rPr>
        <w:br/>
        <w:t xml:space="preserve">27 представлений, 7 протестов и 2 требования (2024 год – 59 актов прокурорского реагирования: 42 представления, 14 протестов и 3 требований; 2023 году - 56 актов прокурорского реагирования: 37 представлений, </w:t>
      </w:r>
      <w:r w:rsidRPr="00FE417F">
        <w:rPr>
          <w:rFonts w:ascii="PT Astra Serif" w:eastAsia="Times New Roman" w:hAnsi="PT Astra Serif" w:cs="Times New Roman"/>
          <w:szCs w:val="28"/>
          <w:lang w:eastAsia="ru-RU"/>
        </w:rPr>
        <w:br/>
        <w:t xml:space="preserve">14 протестов и 5 требований; 2022 год - 32 акта прокурорского реагирования: 28 представлений и 4 протеста; 2021 год - 57 актов прокурорского реагирования: 56 представлений и 1 протест). Все экспертные заключения </w:t>
      </w:r>
      <w:r w:rsidRPr="00FE417F">
        <w:rPr>
          <w:rFonts w:ascii="PT Astra Serif" w:eastAsia="Times New Roman" w:hAnsi="PT Astra Serif" w:cs="Times New Roman"/>
          <w:szCs w:val="28"/>
          <w:lang w:eastAsia="ru-RU"/>
        </w:rPr>
        <w:br/>
        <w:t>и акты прокурорского реагирования исполнены.</w:t>
      </w:r>
    </w:p>
    <w:p w14:paraId="7AB5DC98"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Кроме того, из прокуратуры Ульяновской области поступило </w:t>
      </w:r>
      <w:r w:rsidRPr="00FE417F">
        <w:rPr>
          <w:rFonts w:ascii="PT Astra Serif" w:eastAsia="Times New Roman" w:hAnsi="PT Astra Serif" w:cs="Times New Roman"/>
          <w:szCs w:val="28"/>
          <w:lang w:eastAsia="ru-RU"/>
        </w:rPr>
        <w:br/>
        <w:t xml:space="preserve">2 нормотворческих предложения и 35 информаций о состоянии законности </w:t>
      </w:r>
      <w:r w:rsidRPr="00FE417F">
        <w:rPr>
          <w:rFonts w:ascii="PT Astra Serif" w:eastAsia="Times New Roman" w:hAnsi="PT Astra Serif" w:cs="Times New Roman"/>
          <w:szCs w:val="28"/>
          <w:lang w:eastAsia="ru-RU"/>
        </w:rPr>
        <w:br/>
        <w:t>в различных сферах. Все указанные документы рассмотрены и отработаны.</w:t>
      </w:r>
    </w:p>
    <w:p w14:paraId="2DDC9EBE"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Взаимодействие по вопросам разработки нормативных правовых актов Ульяновской области осуществлялось и с аппаратом Законодательного Собрания Ульяновской области. В 2025 году рассмотрено 432 письма руководителя аппарата (2024 год – 456, 2023 год – 403, 2022 год – 532, 2021 год – 503), по результатам рассмотрения которых издано в отчетном году 232 нормативных правовых актов Ульяновской области, ещё 175 проектов находятся в стадии согласования и принятия.</w:t>
      </w:r>
    </w:p>
    <w:p w14:paraId="03C2ABAE"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Приведенные данные свидетельствуют об улучшении за последние 5 лет качества работы по обеспечению единства правового пространства </w:t>
      </w:r>
      <w:r w:rsidRPr="00FE417F">
        <w:rPr>
          <w:rFonts w:ascii="PT Astra Serif" w:eastAsia="Times New Roman" w:hAnsi="PT Astra Serif" w:cs="Times New Roman"/>
          <w:szCs w:val="28"/>
          <w:lang w:eastAsia="ru-RU"/>
        </w:rPr>
        <w:br/>
        <w:t>и уменьшению количества разрабатываемых проектов и действующих актов Ульяновской области, которые не соответствуют федеральному законодательству.</w:t>
      </w:r>
    </w:p>
    <w:p w14:paraId="5E40DEB8" w14:textId="77777777" w:rsidR="00FE417F" w:rsidRPr="00FE417F" w:rsidRDefault="00FE417F" w:rsidP="00FE417F">
      <w:pPr>
        <w:widowControl w:val="0"/>
        <w:rPr>
          <w:rFonts w:ascii="PT Astra Serif" w:eastAsia="PT Astra Serif" w:hAnsi="PT Astra Serif" w:cs="PT Astra Serif"/>
          <w:spacing w:val="-2"/>
        </w:rPr>
      </w:pPr>
      <w:r w:rsidRPr="00FE417F">
        <w:rPr>
          <w:rFonts w:ascii="PT Astra Serif" w:eastAsia="PT Astra Serif" w:hAnsi="PT Astra Serif" w:cs="PT Astra Serif"/>
          <w:spacing w:val="-2"/>
        </w:rPr>
        <w:t xml:space="preserve">В целях выражения мнения Губернатора Ульяновской области на проекты федеральных законов, поступивших в адрес Правительства Ульяновской области из Государственной Думы Федерального Собрания Российской Федерации, за отчётный период рассмотрено 706 проектов федеральных законов (2024 год – 602, 2023 год – 638, 2022 год – 430, 2021 год - 542). </w:t>
      </w:r>
    </w:p>
    <w:p w14:paraId="79AD0EA2" w14:textId="77777777" w:rsidR="00FE417F" w:rsidRPr="00FE417F" w:rsidRDefault="00FE417F" w:rsidP="00FE417F">
      <w:pPr>
        <w:widowControl w:val="0"/>
        <w:rPr>
          <w:rFonts w:ascii="PT Astra Serif" w:eastAsia="PT Astra Serif" w:hAnsi="PT Astra Serif" w:cs="PT Astra Serif"/>
          <w:spacing w:val="-2"/>
        </w:rPr>
      </w:pPr>
    </w:p>
    <w:p w14:paraId="7F175C3A" w14:textId="2EBF4AE0" w:rsidR="00FE417F" w:rsidRDefault="00FE417F" w:rsidP="00FE417F">
      <w:pPr>
        <w:widowControl w:val="0"/>
        <w:ind w:firstLine="0"/>
        <w:jc w:val="center"/>
        <w:rPr>
          <w:rFonts w:ascii="PT Astra Serif" w:eastAsia="Times New Roman" w:hAnsi="PT Astra Serif" w:cs="Times New Roman"/>
          <w:b/>
          <w:bCs/>
          <w:szCs w:val="28"/>
          <w:lang w:eastAsia="ru-RU"/>
        </w:rPr>
      </w:pPr>
      <w:r w:rsidRPr="00FE417F">
        <w:rPr>
          <w:rFonts w:ascii="PT Astra Serif" w:eastAsia="Times New Roman" w:hAnsi="PT Astra Serif" w:cs="Times New Roman"/>
          <w:b/>
          <w:bCs/>
          <w:szCs w:val="28"/>
          <w:lang w:eastAsia="ru-RU"/>
        </w:rPr>
        <w:t>Правовой мониторинг</w:t>
      </w:r>
    </w:p>
    <w:p w14:paraId="7BA841E6" w14:textId="77777777" w:rsidR="00C72F5D" w:rsidRPr="00FE417F" w:rsidRDefault="00C72F5D" w:rsidP="00FE417F">
      <w:pPr>
        <w:widowControl w:val="0"/>
        <w:ind w:firstLine="0"/>
        <w:jc w:val="center"/>
        <w:rPr>
          <w:rFonts w:ascii="PT Astra Serif" w:eastAsia="Times New Roman" w:hAnsi="PT Astra Serif" w:cs="Times New Roman"/>
          <w:b/>
          <w:bCs/>
          <w:szCs w:val="28"/>
          <w:lang w:eastAsia="ru-RU"/>
        </w:rPr>
      </w:pPr>
    </w:p>
    <w:p w14:paraId="554B6625"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2025 году правовой мониторинг осуществлялся в соответствии </w:t>
      </w:r>
      <w:r w:rsidRPr="00FE417F">
        <w:rPr>
          <w:rFonts w:ascii="PT Astra Serif" w:eastAsia="Times New Roman" w:hAnsi="PT Astra Serif" w:cs="Times New Roman"/>
          <w:szCs w:val="28"/>
          <w:lang w:eastAsia="ru-RU"/>
        </w:rPr>
        <w:br/>
      </w:r>
      <w:r w:rsidRPr="00FE417F">
        <w:rPr>
          <w:rFonts w:ascii="PT Astra Serif" w:eastAsia="Times New Roman" w:hAnsi="PT Astra Serif" w:cs="Times New Roman"/>
          <w:szCs w:val="28"/>
          <w:lang w:eastAsia="ru-RU"/>
        </w:rPr>
        <w:lastRenderedPageBreak/>
        <w:t xml:space="preserve">с указом Губернатора Ульяновской области от 21.05.2019 № 44 «О правовом мониторинге в Ульяновской области», распоряжением Губернатора Ульяновской области от 29.12.2021 № 1201-р «О мерах по совершенствованию организации исполнения поручений» и распоряжением Губернатора Ульяновской области от 19.12.2024 №1025-р «Об осуществлении мониторинга </w:t>
      </w:r>
      <w:proofErr w:type="spellStart"/>
      <w:r w:rsidRPr="00FE417F">
        <w:rPr>
          <w:rFonts w:ascii="PT Astra Serif" w:eastAsia="Times New Roman" w:hAnsi="PT Astra Serif" w:cs="Times New Roman"/>
          <w:szCs w:val="28"/>
          <w:lang w:eastAsia="ru-RU"/>
        </w:rPr>
        <w:t>правоприменения</w:t>
      </w:r>
      <w:proofErr w:type="spellEnd"/>
      <w:r w:rsidRPr="00FE417F">
        <w:rPr>
          <w:rFonts w:ascii="PT Astra Serif" w:eastAsia="Times New Roman" w:hAnsi="PT Astra Serif" w:cs="Times New Roman"/>
          <w:szCs w:val="28"/>
          <w:lang w:eastAsia="ru-RU"/>
        </w:rPr>
        <w:t xml:space="preserve"> в 2025 году».</w:t>
      </w:r>
    </w:p>
    <w:p w14:paraId="489A6A83"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целях обеспечения соответствия нормативных правовых актов Ульяновской области федеральному законодательству за отчётный период подготовлено 101 перечень поручений Губернатора Ульяновской области по итогам мониторинга опубликованных федеральных (конституционных) законов, актов Президента РФ и Правительства Российской Федерации. </w:t>
      </w:r>
    </w:p>
    <w:p w14:paraId="66F511F5"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Всего за отчётный период подготовлено 5845 (2024 год – 4 861, 2023 год – 5 207, 2022 год – 3 802, 2021 год – 3 407) резолюций Губернатора Ульяновской области на 1 530 (2024 год – 1 526, 2023 год – 1 988, 2022 год – 3 802, 2021 год – 3 407) федеральных правовых актов, из них на контроль поставлено 511 актов, по которым дано 1 307 (2024 год – 1 206, 2023 год – 927, 2022 год – 1 114, 2021 год – 1 332) контрольных поручений.</w:t>
      </w:r>
    </w:p>
    <w:p w14:paraId="62BED332"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связи с активизацией правотворческого процесса на федеральном уровне за последние 5 лет наблюдается увеличение количества анализируемых актов Российской Федерации, и как следствие, увеличение количества подготавливаемых резолюций по приведению актов Ульяновской области </w:t>
      </w:r>
      <w:r w:rsidRPr="00FE417F">
        <w:rPr>
          <w:rFonts w:ascii="PT Astra Serif" w:eastAsia="Times New Roman" w:hAnsi="PT Astra Serif" w:cs="Times New Roman"/>
          <w:szCs w:val="28"/>
          <w:lang w:eastAsia="ru-RU"/>
        </w:rPr>
        <w:br/>
        <w:t xml:space="preserve">в соответствие с изменениями федерального законодательства. В этой связи </w:t>
      </w:r>
      <w:r w:rsidRPr="00FE417F">
        <w:rPr>
          <w:rFonts w:ascii="PT Astra Serif" w:eastAsia="Times New Roman" w:hAnsi="PT Astra Serif" w:cs="Times New Roman"/>
          <w:szCs w:val="28"/>
          <w:lang w:eastAsia="ru-RU"/>
        </w:rPr>
        <w:br/>
        <w:t>в 2025 году инициировано проведение 23 проверок по результатам несвоевременного исполнения поручений Губернатора Ульяновской области по итогам мониторинга федерального законодательства, по результатам которых 8 человек привлечены к дисциплинарной ответственности.</w:t>
      </w:r>
    </w:p>
    <w:p w14:paraId="4DB91448" w14:textId="77777777" w:rsidR="00FE417F" w:rsidRPr="00FE417F" w:rsidRDefault="00FE417F" w:rsidP="00FE417F">
      <w:pPr>
        <w:widowControl w:val="0"/>
        <w:ind w:firstLine="72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За 2025 год рассмотрено и проанализировано 62 ежеквартальных отчёта</w:t>
      </w:r>
      <w:r w:rsidRPr="00FE417F">
        <w:rPr>
          <w:rFonts w:ascii="PT Astra Serif" w:eastAsia="Times New Roman" w:hAnsi="PT Astra Serif" w:cs="Times New Roman"/>
          <w:szCs w:val="28"/>
          <w:lang w:eastAsia="ru-RU"/>
        </w:rPr>
        <w:br/>
        <w:t xml:space="preserve">о проведении мониторинга законодательства и анализа судебной практики </w:t>
      </w:r>
      <w:r w:rsidRPr="00FE417F">
        <w:rPr>
          <w:rFonts w:ascii="PT Astra Serif" w:eastAsia="Times New Roman" w:hAnsi="PT Astra Serif" w:cs="Times New Roman"/>
          <w:szCs w:val="28"/>
          <w:lang w:eastAsia="ru-RU"/>
        </w:rPr>
        <w:br/>
        <w:t xml:space="preserve">в установленной сфере деятельности, 77 отчётов по исполнению плана мониторинга </w:t>
      </w:r>
      <w:proofErr w:type="spellStart"/>
      <w:r w:rsidRPr="00FE417F">
        <w:rPr>
          <w:rFonts w:ascii="PT Astra Serif" w:eastAsia="Times New Roman" w:hAnsi="PT Astra Serif" w:cs="Times New Roman"/>
          <w:szCs w:val="28"/>
          <w:lang w:eastAsia="ru-RU"/>
        </w:rPr>
        <w:t>правоприменения</w:t>
      </w:r>
      <w:proofErr w:type="spellEnd"/>
      <w:r w:rsidRPr="00FE417F">
        <w:rPr>
          <w:rFonts w:ascii="PT Astra Serif" w:eastAsia="Times New Roman" w:hAnsi="PT Astra Serif" w:cs="Times New Roman"/>
          <w:szCs w:val="28"/>
          <w:lang w:eastAsia="ru-RU"/>
        </w:rPr>
        <w:t xml:space="preserve"> в Российской Федерации и 25 отчётов </w:t>
      </w:r>
      <w:r w:rsidRPr="00FE417F">
        <w:rPr>
          <w:rFonts w:ascii="PT Astra Serif" w:eastAsia="Times New Roman" w:hAnsi="PT Astra Serif" w:cs="Times New Roman"/>
          <w:szCs w:val="28"/>
          <w:lang w:eastAsia="ru-RU"/>
        </w:rPr>
        <w:br/>
        <w:t xml:space="preserve">о мониторинге применения законодательства Ульяновской области. Предложения о приведении правовых актов Ульяновской области </w:t>
      </w:r>
      <w:r w:rsidRPr="00FE417F">
        <w:rPr>
          <w:rFonts w:ascii="PT Astra Serif" w:eastAsia="Times New Roman" w:hAnsi="PT Astra Serif" w:cs="Times New Roman"/>
          <w:szCs w:val="28"/>
          <w:lang w:eastAsia="ru-RU"/>
        </w:rPr>
        <w:br/>
        <w:t xml:space="preserve">в соответствие с изменениями федерального законодательства рассматривались на заседаниях подкомиссии комиссии Ульяновской области по законопроектной деятельности и включались в план законопроектной </w:t>
      </w:r>
      <w:r w:rsidRPr="00FE417F">
        <w:rPr>
          <w:rFonts w:ascii="PT Astra Serif" w:eastAsia="Times New Roman" w:hAnsi="PT Astra Serif" w:cs="Times New Roman"/>
          <w:szCs w:val="28"/>
          <w:lang w:eastAsia="ru-RU"/>
        </w:rPr>
        <w:br/>
        <w:t>и нормотворческой деятельности в Ульяновской области на 2025 год.</w:t>
      </w:r>
    </w:p>
    <w:p w14:paraId="504BF64E" w14:textId="77777777" w:rsidR="00FE417F" w:rsidRPr="00FE417F" w:rsidRDefault="00FE417F" w:rsidP="00FE417F">
      <w:pPr>
        <w:widowControl w:val="0"/>
        <w:ind w:firstLine="72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ходе мониторинга </w:t>
      </w:r>
      <w:proofErr w:type="spellStart"/>
      <w:r w:rsidRPr="00FE417F">
        <w:rPr>
          <w:rFonts w:ascii="PT Astra Serif" w:eastAsia="Times New Roman" w:hAnsi="PT Astra Serif" w:cs="Times New Roman"/>
          <w:szCs w:val="28"/>
          <w:lang w:eastAsia="ru-RU"/>
        </w:rPr>
        <w:t>правоприменения</w:t>
      </w:r>
      <w:proofErr w:type="spellEnd"/>
      <w:r w:rsidRPr="00FE417F">
        <w:rPr>
          <w:rFonts w:ascii="PT Astra Serif" w:eastAsia="Times New Roman" w:hAnsi="PT Astra Serif" w:cs="Times New Roman"/>
          <w:szCs w:val="28"/>
          <w:lang w:eastAsia="ru-RU"/>
        </w:rPr>
        <w:t xml:space="preserve"> в 2025 году выявлена необходимость совершенствования федерального законодательства в сфере развития сельского хозяйства.</w:t>
      </w:r>
    </w:p>
    <w:p w14:paraId="0D34FA9C" w14:textId="77777777" w:rsidR="00FE417F" w:rsidRPr="00FE417F" w:rsidRDefault="00FE417F" w:rsidP="00FE417F">
      <w:pPr>
        <w:widowControl w:val="0"/>
        <w:autoSpaceDE w:val="0"/>
        <w:autoSpaceDN w:val="0"/>
        <w:adjustRightInd w:val="0"/>
        <w:rPr>
          <w:rFonts w:ascii="PT Astra Serif" w:eastAsia="Calibri" w:hAnsi="PT Astra Serif" w:cs="PT Astra Serif"/>
          <w:szCs w:val="28"/>
        </w:rPr>
      </w:pPr>
    </w:p>
    <w:p w14:paraId="447EF835" w14:textId="77777777" w:rsidR="00FE417F" w:rsidRPr="00FE417F" w:rsidRDefault="00FE417F" w:rsidP="00FE417F">
      <w:pPr>
        <w:widowControl w:val="0"/>
        <w:ind w:firstLine="0"/>
        <w:jc w:val="center"/>
        <w:rPr>
          <w:rFonts w:ascii="PT Astra Serif" w:eastAsia="Times New Roman" w:hAnsi="PT Astra Serif" w:cs="Times New Roman"/>
          <w:b/>
          <w:szCs w:val="28"/>
          <w:lang w:eastAsia="ru-RU"/>
        </w:rPr>
      </w:pPr>
      <w:r w:rsidRPr="00FE417F">
        <w:rPr>
          <w:rFonts w:ascii="PT Astra Serif" w:eastAsia="Times New Roman" w:hAnsi="PT Astra Serif" w:cs="Times New Roman"/>
          <w:b/>
          <w:szCs w:val="28"/>
          <w:lang w:eastAsia="ru-RU"/>
        </w:rPr>
        <w:t>Ведение регистра муниципальных</w:t>
      </w:r>
    </w:p>
    <w:p w14:paraId="5604D24F" w14:textId="77777777" w:rsidR="00FE417F" w:rsidRPr="00FE417F" w:rsidRDefault="00FE417F" w:rsidP="00FE417F">
      <w:pPr>
        <w:widowControl w:val="0"/>
        <w:ind w:firstLine="0"/>
        <w:jc w:val="center"/>
        <w:rPr>
          <w:rFonts w:ascii="PT Astra Serif" w:eastAsia="Times New Roman" w:hAnsi="PT Astra Serif" w:cs="Times New Roman"/>
          <w:b/>
          <w:szCs w:val="28"/>
          <w:lang w:eastAsia="ru-RU"/>
        </w:rPr>
      </w:pPr>
      <w:r w:rsidRPr="00FE417F">
        <w:rPr>
          <w:rFonts w:ascii="PT Astra Serif" w:eastAsia="Times New Roman" w:hAnsi="PT Astra Serif" w:cs="Times New Roman"/>
          <w:b/>
          <w:szCs w:val="28"/>
          <w:lang w:eastAsia="ru-RU"/>
        </w:rPr>
        <w:t xml:space="preserve">нормативных правовых актов Ульяновской области </w:t>
      </w:r>
    </w:p>
    <w:p w14:paraId="1204FE5D" w14:textId="77777777" w:rsidR="00FE417F" w:rsidRPr="00FE417F" w:rsidRDefault="00FE417F" w:rsidP="00FE417F">
      <w:pPr>
        <w:widowControl w:val="0"/>
        <w:ind w:firstLine="851"/>
        <w:jc w:val="center"/>
        <w:rPr>
          <w:rFonts w:ascii="PT Astra Serif" w:eastAsia="Calibri" w:hAnsi="PT Astra Serif" w:cs="Times New Roman"/>
          <w:b/>
          <w:szCs w:val="28"/>
        </w:rPr>
      </w:pPr>
    </w:p>
    <w:p w14:paraId="649EEB35"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По состоянию на 31.12.2025 в регистре муниципальных нормативных правовых актов Ульяновской области содержится 170 179 актов, из которых </w:t>
      </w:r>
      <w:r w:rsidRPr="00FE417F">
        <w:rPr>
          <w:rFonts w:ascii="PT Astra Serif" w:eastAsia="Times New Roman" w:hAnsi="PT Astra Serif" w:cs="Times New Roman"/>
          <w:szCs w:val="28"/>
          <w:lang w:eastAsia="ru-RU"/>
        </w:rPr>
        <w:lastRenderedPageBreak/>
        <w:t>8 858 актов включены в регистр за 12 месяцев 2025 года (2024 год – 9 162, 2023 год – 9 033, 2022 год – 10 465, 2021 год – 9 760). За отчётный период создано более 4500 актуальных редакций муниципальных нормативных правовых актов Ульяновской области, содержащихся в регистре.</w:t>
      </w:r>
    </w:p>
    <w:p w14:paraId="3FB23DA6"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соответствии с Законом Ульяновской области от 19.12.2008 № 220-ЗО </w:t>
      </w:r>
      <w:r w:rsidRPr="00FE417F">
        <w:rPr>
          <w:rFonts w:ascii="PT Astra Serif" w:eastAsia="Times New Roman" w:hAnsi="PT Astra Serif" w:cs="Times New Roman"/>
          <w:szCs w:val="28"/>
          <w:lang w:eastAsia="ru-RU"/>
        </w:rPr>
        <w:br/>
        <w:t xml:space="preserve">в целях обеспечения соответствия муниципальных нормативных правовых актов законодательству Российской Федерации и законодательству Ульяновской области в 2025 году проведён выборочный правовой анализ более 3 800 (2024 год – 2 600, 2023 год – 1 500, 2022 год – 1000, 2021 год – 920) муниципальных нормативных правовых актов, по результатам которого выявлены противоречия законодательству и правилам юридической техники. Подготовлено 495 (2024 год – 430, 2023 год – 586, 2022 год – 638, 2021 год - 188) писем о необходимости приведения муниципальных нормативных правовых актов в соответствие с законодательством. При проведении правового анализа за отчетный период в 134 муниципальных нормативных правовых актах также выявлено 190 </w:t>
      </w:r>
      <w:proofErr w:type="spellStart"/>
      <w:r w:rsidRPr="00FE417F">
        <w:rPr>
          <w:rFonts w:ascii="PT Astra Serif" w:eastAsia="Times New Roman" w:hAnsi="PT Astra Serif" w:cs="Times New Roman"/>
          <w:szCs w:val="28"/>
          <w:lang w:eastAsia="ru-RU"/>
        </w:rPr>
        <w:t>коррупциогенных</w:t>
      </w:r>
      <w:proofErr w:type="spellEnd"/>
      <w:r w:rsidRPr="00FE417F">
        <w:rPr>
          <w:rFonts w:ascii="PT Astra Serif" w:eastAsia="Times New Roman" w:hAnsi="PT Astra Serif" w:cs="Times New Roman"/>
          <w:szCs w:val="28"/>
          <w:lang w:eastAsia="ru-RU"/>
        </w:rPr>
        <w:t xml:space="preserve"> факторов (2024 год – 166 </w:t>
      </w:r>
      <w:proofErr w:type="spellStart"/>
      <w:r w:rsidRPr="00FE417F">
        <w:rPr>
          <w:rFonts w:ascii="PT Astra Serif" w:eastAsia="Times New Roman" w:hAnsi="PT Astra Serif" w:cs="Times New Roman"/>
          <w:szCs w:val="28"/>
          <w:lang w:eastAsia="ru-RU"/>
        </w:rPr>
        <w:t>коррупциогенных</w:t>
      </w:r>
      <w:proofErr w:type="spellEnd"/>
      <w:r w:rsidRPr="00FE417F">
        <w:rPr>
          <w:rFonts w:ascii="PT Astra Serif" w:eastAsia="Times New Roman" w:hAnsi="PT Astra Serif" w:cs="Times New Roman"/>
          <w:szCs w:val="28"/>
          <w:lang w:eastAsia="ru-RU"/>
        </w:rPr>
        <w:t xml:space="preserve"> факторов, 2023 год – 115, 2022 год – 139, 2021 год – 64).</w:t>
      </w:r>
    </w:p>
    <w:p w14:paraId="33F3EAA3" w14:textId="77777777" w:rsidR="00FE417F" w:rsidRPr="00FE417F" w:rsidRDefault="00FE417F" w:rsidP="00FE417F">
      <w:pPr>
        <w:widowControl w:val="0"/>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 целях реализации распоряжения Губернатора Ульяновской области </w:t>
      </w:r>
      <w:r w:rsidRPr="00FE417F">
        <w:rPr>
          <w:rFonts w:ascii="PT Astra Serif" w:eastAsia="Times New Roman" w:hAnsi="PT Astra Serif" w:cs="Times New Roman"/>
          <w:szCs w:val="28"/>
          <w:lang w:eastAsia="ru-RU"/>
        </w:rPr>
        <w:br/>
        <w:t>от 20.09.2018 № 1162-р «О совершенствовании правотворческой деятельности органов местного самоуправления муниципальных образований Ульяновской области» в 2025 году осуществлялось консультационно-методическое сопровождение деятельности муниципальных комиссий по нормотворческой деятельности в 24 муниципальных образованиях Ульяновской области окружного (районного) уровня. За отчётный период проведено 617 заседаний муниципальных комиссий по нормотворческой деятельности, в большинстве муниципальных образований план исполнен на 100 %.</w:t>
      </w:r>
    </w:p>
    <w:p w14:paraId="2F7D472F" w14:textId="77777777" w:rsidR="00FE417F" w:rsidRPr="00FE417F" w:rsidRDefault="00FE417F" w:rsidP="00FE417F">
      <w:pPr>
        <w:widowControl w:val="0"/>
        <w:rPr>
          <w:rFonts w:ascii="PT Astra Serif" w:eastAsia="Times New Roman" w:hAnsi="PT Astra Serif" w:cs="Times New Roman"/>
          <w:szCs w:val="28"/>
          <w:lang w:eastAsia="ru-RU"/>
        </w:rPr>
      </w:pPr>
    </w:p>
    <w:p w14:paraId="742092FD" w14:textId="77777777" w:rsidR="00FE417F" w:rsidRPr="00FE417F" w:rsidRDefault="00FE417F" w:rsidP="00FE417F">
      <w:pPr>
        <w:widowControl w:val="0"/>
        <w:autoSpaceDE w:val="0"/>
        <w:autoSpaceDN w:val="0"/>
        <w:adjustRightInd w:val="0"/>
        <w:ind w:firstLine="0"/>
        <w:jc w:val="center"/>
        <w:rPr>
          <w:rFonts w:ascii="PT Astra Serif" w:eastAsia="Calibri" w:hAnsi="PT Astra Serif" w:cs="Times New Roman CYR"/>
          <w:b/>
          <w:bCs/>
          <w:szCs w:val="28"/>
        </w:rPr>
      </w:pPr>
      <w:r w:rsidRPr="00FE417F">
        <w:rPr>
          <w:rFonts w:ascii="PT Astra Serif" w:eastAsia="Calibri" w:hAnsi="PT Astra Serif" w:cs="Times New Roman CYR"/>
          <w:b/>
          <w:bCs/>
          <w:szCs w:val="28"/>
        </w:rPr>
        <w:t xml:space="preserve">Бесплатная юридическая помощь </w:t>
      </w:r>
    </w:p>
    <w:p w14:paraId="20B3E79A" w14:textId="77777777" w:rsidR="00FE417F" w:rsidRPr="00FE417F" w:rsidRDefault="00FE417F" w:rsidP="00FE417F">
      <w:pPr>
        <w:widowControl w:val="0"/>
        <w:autoSpaceDE w:val="0"/>
        <w:autoSpaceDN w:val="0"/>
        <w:adjustRightInd w:val="0"/>
        <w:ind w:firstLine="0"/>
        <w:jc w:val="left"/>
        <w:rPr>
          <w:rFonts w:ascii="PT Astra Serif" w:eastAsia="Calibri" w:hAnsi="PT Astra Serif" w:cs="Times New Roman"/>
          <w:b/>
          <w:bCs/>
          <w:sz w:val="20"/>
          <w:szCs w:val="20"/>
        </w:rPr>
      </w:pPr>
    </w:p>
    <w:p w14:paraId="30C8C3CE"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Бесплатная юридическая помощь на территории Ульяновской области оказывается в соответствии с Законом Ульяновской области от 03.10.2012 № 131-ЗО «О бесплатной юридической помощи на территории Ульяновской области».</w:t>
      </w:r>
    </w:p>
    <w:p w14:paraId="210C8CE8"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Квалифицированную правовую помощь (в виде правового консультирования в устной и письменной форме, составления заявлений, жалоб, ходатайств и других документов правового характера; представления интересов гражданина в судах, государственных и муниципальных органах, организациях) могут получить жители Ульяновской области, относящиеся </w:t>
      </w:r>
      <w:r w:rsidRPr="00FE417F">
        <w:rPr>
          <w:rFonts w:ascii="PT Astra Serif" w:eastAsia="Calibri" w:hAnsi="PT Astra Serif" w:cs="Times New Roman CYR"/>
          <w:szCs w:val="28"/>
        </w:rPr>
        <w:br/>
        <w:t xml:space="preserve">к 29 категориям граждан, численность которых на 31 декабря 2025 года составляет 1 049 968 человека. Специализированным (основным) поставщиком бесплатной юридической помощи является ОГКУ «Государственное юридическое бюро Ульяновской области имени И.И. Дмитриева» (далее –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w:t>
      </w:r>
    </w:p>
    <w:p w14:paraId="7986564D"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За последние 5 лет количество категорий граждан, имеющих право на бесплатную юридическую помощь, увеличилось с 21 (11 федеральных </w:t>
      </w:r>
      <w:r w:rsidRPr="00FE417F">
        <w:rPr>
          <w:rFonts w:ascii="PT Astra Serif" w:eastAsia="Calibri" w:hAnsi="PT Astra Serif" w:cs="Times New Roman CYR"/>
          <w:szCs w:val="28"/>
        </w:rPr>
        <w:br/>
        <w:t xml:space="preserve">и 10 региональных) до 29 (15 федеральных и 14 региональных), право на </w:t>
      </w:r>
      <w:r w:rsidRPr="00FE417F">
        <w:rPr>
          <w:rFonts w:ascii="PT Astra Serif" w:eastAsia="Calibri" w:hAnsi="PT Astra Serif" w:cs="Times New Roman CYR"/>
          <w:szCs w:val="28"/>
        </w:rPr>
        <w:lastRenderedPageBreak/>
        <w:t xml:space="preserve">квалифицированную правовую помощь получили медицинские работники (2021 год); участники специальной военной операции и члены их семей </w:t>
      </w:r>
      <w:r w:rsidRPr="00FE417F">
        <w:rPr>
          <w:rFonts w:ascii="PT Astra Serif" w:eastAsia="Calibri" w:hAnsi="PT Astra Serif" w:cs="Times New Roman CYR"/>
          <w:szCs w:val="28"/>
        </w:rPr>
        <w:br/>
        <w:t xml:space="preserve">(2022 год); педагогические работники по вопросам защиты своей чести, достоинства и деловой репутации (2024 год); многодетные родители (2025 год); почетные доноры России и СССР </w:t>
      </w:r>
      <w:bookmarkStart w:id="62" w:name="_Hlk224039212"/>
      <w:r w:rsidRPr="00FE417F">
        <w:rPr>
          <w:rFonts w:ascii="PT Astra Serif" w:eastAsia="Calibri" w:hAnsi="PT Astra Serif" w:cs="Times New Roman CYR"/>
          <w:szCs w:val="28"/>
        </w:rPr>
        <w:t>(2025 год)</w:t>
      </w:r>
      <w:bookmarkEnd w:id="62"/>
      <w:r w:rsidRPr="00FE417F">
        <w:rPr>
          <w:rFonts w:ascii="PT Astra Serif" w:eastAsia="Calibri" w:hAnsi="PT Astra Serif" w:cs="Times New Roman CYR"/>
          <w:szCs w:val="28"/>
        </w:rPr>
        <w:t>; лица, в отношении которых применяется пробация (2025 год); граждане, лишенные родительских прав или ограниченные в родительских правах, по вопросам восстановления или отмены ограничения их в этих правах (2025 год).</w:t>
      </w:r>
    </w:p>
    <w:p w14:paraId="31A9C6C1"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В 2025 году Правительством Ульяновской области совместно </w:t>
      </w:r>
      <w:r w:rsidRPr="00FE417F">
        <w:rPr>
          <w:rFonts w:ascii="PT Astra Serif" w:eastAsia="Calibri" w:hAnsi="PT Astra Serif" w:cs="Times New Roman CYR"/>
          <w:szCs w:val="28"/>
        </w:rPr>
        <w:br/>
        <w:t xml:space="preserve">с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и Ульяновским региональным отделением Общероссийской общественной организации «Ассоциация юристов России» (далее – Региональное отделение) продолжена работа по оказанию всесторонней правовой поддержки участникам специальной военной операции, а также членам их семей. Указанная категория граждан имеет право на бесплатную юридическую помощь в регионе во всех случаях, за исключением вопросов уголовного права и предпринимательства.</w:t>
      </w:r>
    </w:p>
    <w:p w14:paraId="593A9A7A"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За 2025 год исполнительными органами Ульяновской области </w:t>
      </w:r>
      <w:r w:rsidRPr="00FE417F">
        <w:rPr>
          <w:rFonts w:ascii="PT Astra Serif" w:eastAsia="Calibri" w:hAnsi="PT Astra Serif" w:cs="Times New Roman CYR"/>
          <w:szCs w:val="28"/>
        </w:rPr>
        <w:br/>
        <w:t xml:space="preserve">и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участникам СВО и членам их семей оказали 13 175 видов бесплатной юридической помощи. К частым вопросам, с которыми в 2025 году в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и исполнительные органы Ульяновской области обращались участники СВО и члены их семей, можно отнести следующие: предоставление денежных выплат членам семей погибших участников СВО (1 471), получение повторных документов (1 466), признание участника СВО безвестно отсутствующим/умершим (904), содействие в трудоустройстве/организации профессионального образования (360), регистрация заключения брака (353).</w:t>
      </w:r>
    </w:p>
    <w:p w14:paraId="38451549"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При содействии Регионального отделения для оказания правовой помощи мобилизованным, иным участникам СВО и членам их семей в </w:t>
      </w:r>
      <w:proofErr w:type="spellStart"/>
      <w:r w:rsidRPr="00FE417F">
        <w:rPr>
          <w:rFonts w:ascii="PT Astra Serif" w:eastAsia="Calibri" w:hAnsi="PT Astra Serif" w:cs="Times New Roman CYR"/>
          <w:szCs w:val="28"/>
        </w:rPr>
        <w:t>Telegram</w:t>
      </w:r>
      <w:proofErr w:type="spellEnd"/>
      <w:r w:rsidRPr="00FE417F">
        <w:rPr>
          <w:rFonts w:ascii="PT Astra Serif" w:eastAsia="Calibri" w:hAnsi="PT Astra Serif" w:cs="Times New Roman CYR"/>
          <w:szCs w:val="28"/>
        </w:rPr>
        <w:t xml:space="preserve"> был создан специализированный чат-бот @</w:t>
      </w:r>
      <w:proofErr w:type="spellStart"/>
      <w:r w:rsidRPr="00FE417F">
        <w:rPr>
          <w:rFonts w:ascii="PT Astra Serif" w:eastAsia="Calibri" w:hAnsi="PT Astra Serif" w:cs="Times New Roman CYR"/>
          <w:szCs w:val="28"/>
        </w:rPr>
        <w:t>MobilizationRfbot</w:t>
      </w:r>
      <w:proofErr w:type="spellEnd"/>
      <w:r w:rsidRPr="00FE417F">
        <w:rPr>
          <w:rFonts w:ascii="PT Astra Serif" w:eastAsia="Calibri" w:hAnsi="PT Astra Serif" w:cs="Times New Roman CYR"/>
          <w:szCs w:val="28"/>
        </w:rPr>
        <w:t>, посредством которого за весь период получили бесплатную юридическую помощь более 7,3 тысяч человек, в том числе в 2025 году – свыше 2 000 человек. Также в 2025 году в Региональное отделение очно обратилось 230 человек, которым была оказана необходимая правовая помощь.</w:t>
      </w:r>
    </w:p>
    <w:p w14:paraId="4D4E58A0"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Всего за 2025 год бесплатная юридическая помощь оказана 86 902 жителям Ульяновской области (2024 год – 67 428, 2023 год – 87 695, 2022 год – 68 944, 2021 год – 39 873), которую получили в том числе:</w:t>
      </w:r>
    </w:p>
    <w:p w14:paraId="51AADA6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в 33 офисах ОГКУ «Государственное юридическое бюро Ульяновской области имени И.И. Дмитриева», расположенных по всей территории Ульяновской области и в ульяновском филиале Государственного фонда «Защитники Отечества» - 26 913 человек;</w:t>
      </w:r>
    </w:p>
    <w:p w14:paraId="228A5B72"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в исполнительных органах Ульяновской области – 13 249 человек;</w:t>
      </w:r>
    </w:p>
    <w:p w14:paraId="30E2E1B5"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во внебюджетных фондах, расположенных в Ульяновской области, – 16 450 человек;</w:t>
      </w:r>
    </w:p>
    <w:p w14:paraId="0AF9A690"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при проведении Дней бесплатной юридической помощи (более 500 пунктов ежеквартально) – 7 469 человек;</w:t>
      </w:r>
    </w:p>
    <w:p w14:paraId="26779291"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в органах местного самоуправления муниципальных образований Ульяновской области – 2 232 человека;</w:t>
      </w:r>
    </w:p>
    <w:p w14:paraId="543E9D9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lastRenderedPageBreak/>
        <w:t>в территориальных органах федеральных органов исполнительной власти – 13 904 человека;</w:t>
      </w:r>
    </w:p>
    <w:p w14:paraId="0131812E"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у адвокатов – 751 человек;</w:t>
      </w:r>
    </w:p>
    <w:p w14:paraId="63357FD3"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у нотариусов – 2 613 человек;</w:t>
      </w:r>
    </w:p>
    <w:p w14:paraId="1675B1C0"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Центре 122 и </w:t>
      </w:r>
      <w:proofErr w:type="spellStart"/>
      <w:r w:rsidRPr="00FE417F">
        <w:rPr>
          <w:rFonts w:ascii="PT Astra Serif" w:eastAsia="Calibri" w:hAnsi="PT Astra Serif" w:cs="Times New Roman CYR"/>
          <w:szCs w:val="28"/>
        </w:rPr>
        <w:t>колцентре</w:t>
      </w:r>
      <w:proofErr w:type="spellEnd"/>
      <w:r w:rsidRPr="00FE417F">
        <w:rPr>
          <w:rFonts w:ascii="PT Astra Serif" w:eastAsia="Calibri" w:hAnsi="PT Astra Serif" w:cs="Times New Roman CYR"/>
          <w:szCs w:val="28"/>
        </w:rPr>
        <w:t xml:space="preserve"> МФЦ – 788 человек.</w:t>
      </w:r>
    </w:p>
    <w:p w14:paraId="3C30C780"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За последние 5 лет востребованность в бесплатной правовой помощи выросла в 2,2 раза.</w:t>
      </w:r>
    </w:p>
    <w:p w14:paraId="36624E8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С конца 2021 года в Ульяновской области активно используется мобильный передвижной пункт для выезда в удалённые населённые пункты </w:t>
      </w:r>
      <w:r w:rsidRPr="00FE417F">
        <w:rPr>
          <w:rFonts w:ascii="PT Astra Serif" w:eastAsia="Calibri" w:hAnsi="PT Astra Serif" w:cs="Times New Roman CYR"/>
          <w:szCs w:val="28"/>
        </w:rPr>
        <w:br/>
        <w:t>с целью оказания бесплатной юридической помощи, на котором в 2025 году было осуществлено 28 выездов в 50 населённых пунктов Ульяновской области.</w:t>
      </w:r>
      <w:r w:rsidRPr="00FE417F">
        <w:rPr>
          <w:rFonts w:ascii="Calibri" w:eastAsia="Calibri" w:hAnsi="Calibri" w:cs="Times New Roman"/>
          <w:sz w:val="22"/>
        </w:rPr>
        <w:t xml:space="preserve"> </w:t>
      </w:r>
      <w:r w:rsidRPr="00FE417F">
        <w:rPr>
          <w:rFonts w:ascii="PT Astra Serif" w:eastAsia="Calibri" w:hAnsi="PT Astra Serif" w:cs="Times New Roman CYR"/>
          <w:szCs w:val="28"/>
        </w:rPr>
        <w:t>Бесплатную юридическую помощь получил 251 житель региона.</w:t>
      </w:r>
    </w:p>
    <w:p w14:paraId="746C0A8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2025 году продолжена реализация проекта по оказанию бесплатной юридической помощи гражданам в информационно-телекоммуникационной сети «Интернет» – сайт «госюрбюро73.рф». Благодаря работе сайта жители Ульяновской области могут получать бесплатную онлайн консультацию юриста по всем интересующим их вопросам, ознакомиться с последними изменениями законодательства. За отчётный период в режиме онлайн было проконсультировано 138 граждан. </w:t>
      </w:r>
    </w:p>
    <w:p w14:paraId="6FDDBE2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социальных сетях размещается актуальная юридическая информация, даются советы как действовать в той или иной ситуации, а также приводятся положительные примеры из судебной практики. По итогам 12 месяцев 2025 года в целях правового просвещения на сайтах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в социальных сетях, мессенджерах и в средствах массовой информации размещено более 3 100 публикаций различной тематики. </w:t>
      </w:r>
    </w:p>
    <w:p w14:paraId="28D5C766"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соответствии с решением Правительства РФ Ульяновская область наряду с другими 9 субъектами стала участницей эксперимента по созданию Единого портала правового просвещения и бесплатной юридической помощи – портал «ВПРАВЕ.РФ» заработал в Ульяновской области в тестовом режиме с 20 декабря 2022 года. указанный портал доступен всем гражданам для получения правовой информации по различным жизненным ситуациям, </w:t>
      </w:r>
      <w:r w:rsidRPr="00FE417F">
        <w:rPr>
          <w:rFonts w:ascii="PT Astra Serif" w:eastAsia="Calibri" w:hAnsi="PT Astra Serif" w:cs="Times New Roman CYR"/>
          <w:szCs w:val="28"/>
        </w:rPr>
        <w:br/>
        <w:t xml:space="preserve">о проводимых мероприятиях по правовому просвещению, контактах специалистов, оказывающих бесплатную квалифицированную правовую помощь. Координацию этой работы осуществляет Правительственная комиссия по вопросам оказания бесплатной юридической помощи </w:t>
      </w:r>
      <w:r w:rsidRPr="00FE417F">
        <w:rPr>
          <w:rFonts w:ascii="PT Astra Serif" w:eastAsia="Calibri" w:hAnsi="PT Astra Serif" w:cs="Times New Roman CYR"/>
          <w:szCs w:val="28"/>
        </w:rPr>
        <w:br/>
        <w:t>в Ульяновской области.</w:t>
      </w:r>
    </w:p>
    <w:p w14:paraId="2C4F620E"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С октября 2025 года Минюстом России совместно с </w:t>
      </w:r>
      <w:proofErr w:type="spellStart"/>
      <w:r w:rsidRPr="00FE417F">
        <w:rPr>
          <w:rFonts w:ascii="PT Astra Serif" w:eastAsia="Calibri" w:hAnsi="PT Astra Serif" w:cs="Times New Roman CYR"/>
          <w:szCs w:val="28"/>
        </w:rPr>
        <w:t>Минцифры</w:t>
      </w:r>
      <w:proofErr w:type="spellEnd"/>
      <w:r w:rsidRPr="00FE417F">
        <w:rPr>
          <w:rFonts w:ascii="PT Astra Serif" w:eastAsia="Calibri" w:hAnsi="PT Astra Serif" w:cs="Times New Roman CYR"/>
          <w:szCs w:val="28"/>
        </w:rPr>
        <w:t xml:space="preserve"> России федеральная государственная информационная система «Правовая помощь» введена в промышленную эксплуатацию. В 2025 году специалистами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на портал «ВПРАВЕ.РФ» внесено 16 023 карточек обратившихся граждан (личный приём, приём через личный кабинет сайта и посредством ЕПГУ, горячая линия), оказано 19 947 видов помощи.</w:t>
      </w:r>
    </w:p>
    <w:p w14:paraId="7C71904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2025 году отдел информирования и защиты прав потребителей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продолжил осуществлять полномочия по защите прав потребителей в соответствии с распоряжением Губернатора Ульяновской </w:t>
      </w:r>
      <w:r w:rsidRPr="00FE417F">
        <w:rPr>
          <w:rFonts w:ascii="PT Astra Serif" w:eastAsia="Calibri" w:hAnsi="PT Astra Serif" w:cs="Times New Roman CYR"/>
          <w:szCs w:val="28"/>
        </w:rPr>
        <w:lastRenderedPageBreak/>
        <w:t>области от 05.02.2019 № 62-р «О Стратегии Ульяновской области в сфере защиты прав потребителей на период до 2030 года» и Программой Ульяновской области по обеспечению прав потребителей, утверждённой постановлением Правительства Ульяновской области от 17.05.2019 № 224-П.</w:t>
      </w:r>
    </w:p>
    <w:p w14:paraId="2BB98BF4"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В 2025 году портал ПРЕТЕНЗИЯ24.РФ посетили 12 126 потребителей </w:t>
      </w:r>
      <w:r w:rsidRPr="00FE417F">
        <w:rPr>
          <w:rFonts w:ascii="PT Astra Serif" w:eastAsia="Calibri" w:hAnsi="PT Astra Serif" w:cs="Times New Roman CYR"/>
          <w:szCs w:val="28"/>
        </w:rPr>
        <w:br/>
        <w:t xml:space="preserve">из разных регионов России, которые с помощью портала нашли описание своего спора, порядок действий и образцы правовых документов необходимые для разрешения своей ситуации. Образцы претензий скачали 4 457 раз. Услугой онлайн консультирования в 2025 году воспользовались </w:t>
      </w:r>
      <w:r w:rsidRPr="00FE417F">
        <w:rPr>
          <w:rFonts w:ascii="PT Astra Serif" w:eastAsia="Calibri" w:hAnsi="PT Astra Serif" w:cs="Times New Roman CYR"/>
          <w:szCs w:val="28"/>
        </w:rPr>
        <w:br/>
        <w:t>14 потребителей, консультации по телефону получили 151 человек.</w:t>
      </w:r>
    </w:p>
    <w:p w14:paraId="083AC91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Система защиты прав потребителей в Ульяновской области активно информирует население о правах потребителя, актуальных вопросах защиты потребительских прав в популярных </w:t>
      </w:r>
      <w:proofErr w:type="spellStart"/>
      <w:r w:rsidRPr="00FE417F">
        <w:rPr>
          <w:rFonts w:ascii="PT Astra Serif" w:eastAsia="Calibri" w:hAnsi="PT Astra Serif" w:cs="Times New Roman CYR"/>
          <w:szCs w:val="28"/>
        </w:rPr>
        <w:t>соцсетях</w:t>
      </w:r>
      <w:proofErr w:type="spellEnd"/>
      <w:r w:rsidRPr="00FE417F">
        <w:rPr>
          <w:rFonts w:ascii="PT Astra Serif" w:eastAsia="Calibri" w:hAnsi="PT Astra Serif" w:cs="Times New Roman CYR"/>
          <w:szCs w:val="28"/>
        </w:rPr>
        <w:t xml:space="preserve"> и мессенджерах, осуществляется взаимодействие со СМИ посредством рассылок готовых материалов, периодического участия специалистов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 xml:space="preserve"> в новостных сюжетах, тематических передачах.</w:t>
      </w:r>
      <w:r w:rsidRPr="00FE417F">
        <w:rPr>
          <w:rFonts w:ascii="Calibri" w:eastAsia="Calibri" w:hAnsi="Calibri" w:cs="Times New Roman"/>
          <w:sz w:val="22"/>
        </w:rPr>
        <w:t xml:space="preserve"> </w:t>
      </w:r>
      <w:r w:rsidRPr="00FE417F">
        <w:rPr>
          <w:rFonts w:ascii="PT Astra Serif" w:eastAsia="Calibri" w:hAnsi="PT Astra Serif" w:cs="Times New Roman"/>
          <w:szCs w:val="28"/>
        </w:rPr>
        <w:t xml:space="preserve">Координацию данной работы осуществляет </w:t>
      </w:r>
      <w:r w:rsidRPr="00FE417F">
        <w:rPr>
          <w:rFonts w:ascii="PT Astra Serif" w:eastAsia="Calibri" w:hAnsi="PT Astra Serif" w:cs="Times New Roman CYR"/>
          <w:szCs w:val="28"/>
        </w:rPr>
        <w:t>Межведомственный координационный совет при Губернаторе Ульяновской области по вопросам защиты прав потребителей.</w:t>
      </w:r>
    </w:p>
    <w:p w14:paraId="52421D39"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 xml:space="preserve">Объединением потребителей России в 2025 году проведён Рейтинг субъектов Российской Федерации по уровню защищённости потребителей. Подобный рейтинг проводится 1 раз в 2 года. По результатам рейтинга Ульяновская области подтвердила высокий уровень защищённости потребителей. Более того, поднялась в этом рейтинге с 19 на 13 место. </w:t>
      </w:r>
      <w:r w:rsidRPr="00FE417F">
        <w:rPr>
          <w:rFonts w:ascii="PT Astra Serif" w:eastAsia="Calibri" w:hAnsi="PT Astra Serif" w:cs="Times New Roman CYR"/>
          <w:szCs w:val="28"/>
        </w:rPr>
        <w:br/>
        <w:t>По сравнению с 2023 годом сумма набранных балов возросла на 16% (с 582 до 677).</w:t>
      </w:r>
    </w:p>
    <w:p w14:paraId="4D67FCAE" w14:textId="77777777" w:rsidR="00FE417F" w:rsidRPr="00FE417F" w:rsidRDefault="00FE417F" w:rsidP="00FE417F">
      <w:pPr>
        <w:widowControl w:val="0"/>
        <w:autoSpaceDE w:val="0"/>
        <w:autoSpaceDN w:val="0"/>
        <w:adjustRightInd w:val="0"/>
        <w:spacing w:line="228" w:lineRule="auto"/>
        <w:rPr>
          <w:rFonts w:ascii="PT Astra Serif" w:eastAsia="Calibri" w:hAnsi="PT Astra Serif" w:cs="Times New Roman CYR"/>
          <w:szCs w:val="28"/>
        </w:rPr>
      </w:pPr>
      <w:r w:rsidRPr="00FE417F">
        <w:rPr>
          <w:rFonts w:ascii="PT Astra Serif" w:eastAsia="Calibri" w:hAnsi="PT Astra Serif" w:cs="Times New Roman CYR"/>
          <w:szCs w:val="28"/>
        </w:rPr>
        <w:t>Лидирующие позиции Ульяновской области в оказании бесплатной юридической помощи в 2025 году были не раз отмечены на самом высоком государственном уровне.</w:t>
      </w:r>
    </w:p>
    <w:p w14:paraId="29558B69" w14:textId="77777777" w:rsidR="00FE417F" w:rsidRPr="00FE417F" w:rsidRDefault="00FE417F" w:rsidP="00FE417F">
      <w:pPr>
        <w:widowControl w:val="0"/>
        <w:autoSpaceDE w:val="0"/>
        <w:autoSpaceDN w:val="0"/>
        <w:adjustRightInd w:val="0"/>
        <w:ind w:firstLine="0"/>
        <w:jc w:val="center"/>
        <w:rPr>
          <w:rFonts w:ascii="PT Astra Serif" w:eastAsia="Calibri" w:hAnsi="PT Astra Serif" w:cs="Times New Roman CYR"/>
          <w:b/>
          <w:bCs/>
          <w:szCs w:val="28"/>
        </w:rPr>
      </w:pPr>
    </w:p>
    <w:p w14:paraId="51D1F9B5" w14:textId="77777777" w:rsidR="00FE417F" w:rsidRPr="00FE417F" w:rsidRDefault="00FE417F" w:rsidP="00FE417F">
      <w:pPr>
        <w:widowControl w:val="0"/>
        <w:autoSpaceDE w:val="0"/>
        <w:autoSpaceDN w:val="0"/>
        <w:adjustRightInd w:val="0"/>
        <w:ind w:firstLine="0"/>
        <w:jc w:val="center"/>
        <w:rPr>
          <w:rFonts w:ascii="PT Astra Serif" w:eastAsia="Calibri" w:hAnsi="PT Astra Serif" w:cs="Times New Roman CYR"/>
          <w:b/>
          <w:bCs/>
          <w:szCs w:val="28"/>
        </w:rPr>
      </w:pPr>
      <w:r w:rsidRPr="00FE417F">
        <w:rPr>
          <w:rFonts w:ascii="PT Astra Serif" w:eastAsia="Calibri" w:hAnsi="PT Astra Serif" w:cs="Times New Roman CYR"/>
          <w:b/>
          <w:bCs/>
          <w:szCs w:val="28"/>
        </w:rPr>
        <w:t>Правовое просвещение</w:t>
      </w:r>
    </w:p>
    <w:p w14:paraId="7F65884A"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u w:val="single"/>
        </w:rPr>
      </w:pPr>
    </w:p>
    <w:p w14:paraId="752A8287"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Системная работа по правовому просвещению на территории Ульяновской области продолжилась в соответствии с указом Губернатора Ульяновской области от 16.12.2022 № 168 «Об утверждении Программы развития правовой грамотности и правосознания граждан в Ульяновской области» (далее – Программа).</w:t>
      </w:r>
    </w:p>
    <w:p w14:paraId="7ADE7AC9"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bookmarkStart w:id="63" w:name="_Hlk193292512"/>
      <w:r w:rsidRPr="00FE417F">
        <w:rPr>
          <w:rFonts w:ascii="PT Astra Serif" w:eastAsia="Calibri" w:hAnsi="PT Astra Serif" w:cs="Times New Roman CYR"/>
          <w:szCs w:val="28"/>
        </w:rPr>
        <w:t xml:space="preserve">В соответствии с Программой на территории Ульяновской области </w:t>
      </w:r>
      <w:r w:rsidRPr="00FE417F">
        <w:rPr>
          <w:rFonts w:ascii="PT Astra Serif" w:eastAsia="Calibri" w:hAnsi="PT Astra Serif" w:cs="Times New Roman CYR"/>
          <w:szCs w:val="28"/>
        </w:rPr>
        <w:br/>
        <w:t xml:space="preserve">в 2025 году реализовано 51 371 различное по формату и содержанию мероприятие, направленное на повышение правовой грамотности </w:t>
      </w:r>
      <w:r w:rsidRPr="00FE417F">
        <w:rPr>
          <w:rFonts w:ascii="PT Astra Serif" w:eastAsia="Calibri" w:hAnsi="PT Astra Serif" w:cs="Times New Roman CYR"/>
          <w:szCs w:val="28"/>
        </w:rPr>
        <w:br/>
        <w:t>и правосознания граждан. Количество участников, в отношении которых реализованы мероприятия Программы составило более 2232 тыс. человек, при этом наибольшее количество мероприятий проводилось в отношении подрастающего поколения.</w:t>
      </w:r>
    </w:p>
    <w:p w14:paraId="44197A10"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Значительное число мероприятий, направленных на повышение уровня правовой грамотности и правосознания граждан, осуществлялось </w:t>
      </w:r>
      <w:r w:rsidRPr="00FE417F">
        <w:rPr>
          <w:rFonts w:ascii="PT Astra Serif" w:eastAsia="Calibri" w:hAnsi="PT Astra Serif" w:cs="Times New Roman CYR"/>
          <w:szCs w:val="28"/>
        </w:rPr>
        <w:lastRenderedPageBreak/>
        <w:t xml:space="preserve">Правительством Ульяновской области при участии специалистов территориальных органов федеральных органов исполнительной власти, институтов уполномоченных, нотариусов, Регионального отделения, </w:t>
      </w:r>
      <w:proofErr w:type="spellStart"/>
      <w:r w:rsidRPr="00FE417F">
        <w:rPr>
          <w:rFonts w:ascii="PT Astra Serif" w:eastAsia="Calibri" w:hAnsi="PT Astra Serif" w:cs="Times New Roman CYR"/>
          <w:szCs w:val="28"/>
        </w:rPr>
        <w:t>Госюрбюро</w:t>
      </w:r>
      <w:proofErr w:type="spellEnd"/>
      <w:r w:rsidRPr="00FE417F">
        <w:rPr>
          <w:rFonts w:ascii="PT Astra Serif" w:eastAsia="Calibri" w:hAnsi="PT Astra Serif" w:cs="Times New Roman CYR"/>
          <w:szCs w:val="28"/>
        </w:rPr>
        <w:t>.</w:t>
      </w:r>
    </w:p>
    <w:p w14:paraId="206C9A32"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Проведён ряд знаковых тематических мероприятий:</w:t>
      </w:r>
    </w:p>
    <w:p w14:paraId="0164369A"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 декада правового просвещения несовершеннолетних (с 03 по 13 февраля и с 15 по 25 декабря) – участниками мероприятий стали 140 145 несовершеннолетних, в том числе состоящих на профилактическом учёте; 74810 родителей (законных представителей);</w:t>
      </w:r>
    </w:p>
    <w:p w14:paraId="7C8F5B87"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2) месячник здорового образа жизни несовершеннолетних Ульяновской области (с 10 марта по 10 апреля) - участниками мероприятий более 70 000 несовершеннолетний, в том числе состоящий на профилактическом учете различного вида, 9 000 родителей (иных законных представителей);</w:t>
      </w:r>
    </w:p>
    <w:p w14:paraId="22B742F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3) единые дни безопасности несовершеннолетних (12 мая, 10 октября, </w:t>
      </w:r>
      <w:r w:rsidRPr="00FE417F">
        <w:rPr>
          <w:rFonts w:ascii="PT Astra Serif" w:eastAsia="Calibri" w:hAnsi="PT Astra Serif" w:cs="Times New Roman CYR"/>
          <w:szCs w:val="28"/>
        </w:rPr>
        <w:br/>
        <w:t xml:space="preserve">10 ноября) – участниками мероприятий стали 279 427 несовершеннолетних, </w:t>
      </w:r>
      <w:r w:rsidRPr="00FE417F">
        <w:rPr>
          <w:rFonts w:ascii="PT Astra Serif" w:eastAsia="Calibri" w:hAnsi="PT Astra Serif" w:cs="Times New Roman CYR"/>
          <w:szCs w:val="28"/>
        </w:rPr>
        <w:br/>
        <w:t>в том числе состоящих на профилактическом учёте различного вида, 124 439 родителей (иных законных представителей);</w:t>
      </w:r>
    </w:p>
    <w:p w14:paraId="6B915CA4"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4) месячник по профилактике вредных привычек среди несовершеннолетних (с 10 ноября по 10 декабря) - участниками мероприятий стали 75 480 несовершеннолетних, в том числе состоящих на профилактическом учете различного вида, 36 693 родителя (иных законных представителя);</w:t>
      </w:r>
    </w:p>
    <w:p w14:paraId="429BE807"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5) проект «Школа права» - слушателями лекций стали более 7 000 обучающихся общеобразовательных организаций.</w:t>
      </w:r>
    </w:p>
    <w:p w14:paraId="72213679"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6) всероссийская неделя правовой помощи по вопросам защиты интересов семьи, приуроченной ко дню памяти святых Петра и </w:t>
      </w:r>
      <w:proofErr w:type="spellStart"/>
      <w:r w:rsidRPr="00FE417F">
        <w:rPr>
          <w:rFonts w:ascii="PT Astra Serif" w:eastAsia="Calibri" w:hAnsi="PT Astra Serif" w:cs="Times New Roman CYR"/>
          <w:szCs w:val="28"/>
        </w:rPr>
        <w:t>Февронии</w:t>
      </w:r>
      <w:proofErr w:type="spellEnd"/>
      <w:r w:rsidRPr="00FE417F">
        <w:rPr>
          <w:rFonts w:ascii="PT Astra Serif" w:eastAsia="Calibri" w:hAnsi="PT Astra Serif" w:cs="Times New Roman CYR"/>
          <w:szCs w:val="28"/>
        </w:rPr>
        <w:t xml:space="preserve"> Муромских – проведено более 10 000 мероприятий, в которых приняли участие более 100 тысяч человек.</w:t>
      </w:r>
    </w:p>
    <w:p w14:paraId="7F33A94D"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7) неделя правовой помощи детям (с 17 по 25 ноября) - мероприятиями охвачено 52 418 несовершеннолетних, в том числе состоящих на профилактическом учёте различного вида, 25 662 родителя (иных законных представителя).</w:t>
      </w:r>
    </w:p>
    <w:p w14:paraId="7BF2FE28"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8) декада молодого избирателя (с 14 по 23 апреля) – проведено 192 мероприятия, в которых приняло участие более 6 000 молодых избирателей;</w:t>
      </w:r>
    </w:p>
    <w:p w14:paraId="340D493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9) «Избирательный диктант» – приняло участие 8 975 человек;</w:t>
      </w:r>
    </w:p>
    <w:p w14:paraId="7CBF2A48"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10) областная олимпиада по вопросам избирательного права и процесса – приняло участие 3 387 человек</w:t>
      </w:r>
    </w:p>
    <w:p w14:paraId="4CC601C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11) 15 «Неделя антикоррупционных инициатив» - проведено более 3 700 мероприятий антикоррупционной направленности, приняло участие более 107 тысяч обучающихся и студентов;</w:t>
      </w:r>
    </w:p>
    <w:p w14:paraId="633FA97A"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12) просветительский проект «Летняя школа правовой грамотности для осуждённых - 2025» - мероприятия проведены в 8 исправительных учреждениях УФСИН России по Ульяновской области, участие приняли более 500 человек.</w:t>
      </w:r>
    </w:p>
    <w:p w14:paraId="1C559A45"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13) всероссийская просветительская эстафета «Мои финансы» - в три </w:t>
      </w:r>
      <w:r w:rsidRPr="00FE417F">
        <w:rPr>
          <w:rFonts w:ascii="PT Astra Serif" w:eastAsia="Calibri" w:hAnsi="PT Astra Serif" w:cs="Times New Roman CYR"/>
          <w:szCs w:val="28"/>
        </w:rPr>
        <w:lastRenderedPageBreak/>
        <w:t>этапа проведены 3 374 мероприятия, в которых приняло участие 72 910 человек;</w:t>
      </w:r>
    </w:p>
    <w:p w14:paraId="1B0C0097"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 xml:space="preserve">14) акция «Финансовая грамотность – первый шаг. Финансовая культура – наше будущее» - организовано более 8 тысяч площадок, участниками стали более 213 тысяч жителей Ульяновской области, </w:t>
      </w:r>
    </w:p>
    <w:p w14:paraId="367F6B2F"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15) неделя Конституции Российской Федерации (с 8 по 18 декабря) –участие в мероприятиях приняло 5998 человек;</w:t>
      </w:r>
    </w:p>
    <w:bookmarkEnd w:id="63"/>
    <w:p w14:paraId="513FCB1B"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16) областной творческий конкурс детских рисунков «Конституция Российской Федерации глазами детей», в котором приняло участие более 1</w:t>
      </w:r>
      <w:r w:rsidRPr="00FE417F">
        <w:rPr>
          <w:rFonts w:ascii="PT Astra Serif" w:eastAsia="Calibri" w:hAnsi="PT Astra Serif" w:cs="Times New Roman CYR"/>
          <w:szCs w:val="28"/>
          <w:lang w:val="en-US"/>
        </w:rPr>
        <w:t> </w:t>
      </w:r>
      <w:r w:rsidRPr="00FE417F">
        <w:rPr>
          <w:rFonts w:ascii="PT Astra Serif" w:eastAsia="Calibri" w:hAnsi="PT Astra Serif" w:cs="Times New Roman CYR"/>
          <w:szCs w:val="28"/>
        </w:rPr>
        <w:t>000 детей;</w:t>
      </w:r>
    </w:p>
    <w:p w14:paraId="175FAD44"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r w:rsidRPr="00FE417F">
        <w:rPr>
          <w:rFonts w:ascii="PT Astra Serif" w:eastAsia="Calibri" w:hAnsi="PT Astra Serif" w:cs="Times New Roman CYR"/>
          <w:szCs w:val="28"/>
        </w:rPr>
        <w:t>17) IX Всероссийский правовой (юридический) диктант (с 3 по 12 декабря) – Ульяновская область стала одним из самых активных регионов – участников Участие в нём приняло более 50</w:t>
      </w:r>
      <w:r w:rsidRPr="00FE417F">
        <w:rPr>
          <w:rFonts w:ascii="PT Astra Serif" w:eastAsia="Calibri" w:hAnsi="PT Astra Serif" w:cs="Times New Roman CYR"/>
          <w:szCs w:val="28"/>
          <w:lang w:val="en-US"/>
        </w:rPr>
        <w:t> </w:t>
      </w:r>
      <w:r w:rsidRPr="00FE417F">
        <w:rPr>
          <w:rFonts w:ascii="PT Astra Serif" w:eastAsia="Calibri" w:hAnsi="PT Astra Serif" w:cs="Times New Roman CYR"/>
          <w:szCs w:val="28"/>
        </w:rPr>
        <w:t>000 жителей Ульяновской области. Ульяновская область стала лидером среди других субъектов Российской Федерации по количеству участников и по количеству 100-бальников.</w:t>
      </w:r>
    </w:p>
    <w:p w14:paraId="4C86D71B" w14:textId="77777777" w:rsidR="00FE417F" w:rsidRPr="00FE417F" w:rsidRDefault="00FE417F" w:rsidP="00FD65E0">
      <w:pPr>
        <w:widowControl w:val="0"/>
        <w:autoSpaceDE w:val="0"/>
        <w:autoSpaceDN w:val="0"/>
        <w:adjustRightInd w:val="0"/>
        <w:rPr>
          <w:rFonts w:ascii="PT Astra Serif" w:eastAsia="Calibri" w:hAnsi="PT Astra Serif" w:cs="Times New Roman CYR"/>
          <w:szCs w:val="28"/>
        </w:rPr>
      </w:pPr>
    </w:p>
    <w:p w14:paraId="6BF6F2A2" w14:textId="77777777" w:rsidR="00FE417F" w:rsidRPr="00FE417F" w:rsidRDefault="00FE417F" w:rsidP="00FD65E0">
      <w:pPr>
        <w:widowControl w:val="0"/>
        <w:ind w:firstLine="0"/>
        <w:jc w:val="center"/>
        <w:rPr>
          <w:rFonts w:ascii="PT Astra Serif" w:eastAsia="Times New Roman" w:hAnsi="PT Astra Serif" w:cs="Times New Roman"/>
          <w:b/>
          <w:szCs w:val="28"/>
        </w:rPr>
      </w:pPr>
      <w:bookmarkStart w:id="64" w:name="_Hlk161394330"/>
      <w:r w:rsidRPr="00FE417F">
        <w:rPr>
          <w:rFonts w:ascii="PT Astra Serif" w:eastAsia="Times New Roman" w:hAnsi="PT Astra Serif" w:cs="Times New Roman"/>
          <w:b/>
          <w:szCs w:val="28"/>
        </w:rPr>
        <w:t xml:space="preserve">Задачи в сфере правотворческой деятельности </w:t>
      </w:r>
      <w:r w:rsidRPr="00FE417F">
        <w:rPr>
          <w:rFonts w:ascii="PT Astra Serif" w:eastAsia="Times New Roman" w:hAnsi="PT Astra Serif" w:cs="Times New Roman"/>
          <w:b/>
          <w:szCs w:val="28"/>
        </w:rPr>
        <w:br/>
        <w:t>и оказания бесплатной юридической помощи на 2026 год</w:t>
      </w:r>
    </w:p>
    <w:p w14:paraId="7BC72A28" w14:textId="77777777" w:rsidR="00FE417F" w:rsidRPr="00FE417F" w:rsidRDefault="00FE417F" w:rsidP="00FD65E0">
      <w:pPr>
        <w:widowControl w:val="0"/>
        <w:ind w:firstLine="0"/>
        <w:jc w:val="center"/>
        <w:rPr>
          <w:rFonts w:ascii="PT Astra Serif" w:eastAsia="Times New Roman" w:hAnsi="PT Astra Serif" w:cs="Times New Roman"/>
          <w:b/>
          <w:szCs w:val="28"/>
        </w:rPr>
      </w:pPr>
    </w:p>
    <w:p w14:paraId="22A943BC" w14:textId="77777777" w:rsidR="00FE417F" w:rsidRPr="00FE417F" w:rsidRDefault="00FE417F" w:rsidP="00FE417F">
      <w:pPr>
        <w:widowControl w:val="0"/>
        <w:ind w:firstLine="720"/>
        <w:rPr>
          <w:rFonts w:ascii="PT Astra Serif" w:eastAsia="Times New Roman" w:hAnsi="PT Astra Serif" w:cs="Times New Roman"/>
          <w:iCs/>
          <w:szCs w:val="28"/>
          <w:lang w:eastAsia="ru-RU"/>
        </w:rPr>
      </w:pPr>
      <w:r w:rsidRPr="00FE417F">
        <w:rPr>
          <w:rFonts w:ascii="PT Astra Serif" w:eastAsia="Times New Roman" w:hAnsi="PT Astra Serif" w:cs="Times New Roman"/>
          <w:iCs/>
          <w:szCs w:val="28"/>
          <w:lang w:eastAsia="ru-RU"/>
        </w:rPr>
        <w:t>1. Сопровождение правотворческой деятельности Губернатора Ульяновской области и Правительства Ульяновской области, обеспечение взаимодействия по вопросам принятия законов Ульяновской области со всеми участниками законотворческого процесса.</w:t>
      </w:r>
    </w:p>
    <w:p w14:paraId="529838DF" w14:textId="77777777" w:rsidR="00FE417F" w:rsidRPr="00FE417F" w:rsidRDefault="00FE417F" w:rsidP="00FE417F">
      <w:pPr>
        <w:widowControl w:val="0"/>
        <w:ind w:firstLine="720"/>
        <w:rPr>
          <w:rFonts w:ascii="PT Astra Serif" w:eastAsia="Times New Roman" w:hAnsi="PT Astra Serif" w:cs="Times New Roman"/>
          <w:iCs/>
          <w:szCs w:val="28"/>
          <w:lang w:eastAsia="ru-RU"/>
        </w:rPr>
      </w:pPr>
      <w:r w:rsidRPr="00FE417F">
        <w:rPr>
          <w:rFonts w:ascii="PT Astra Serif" w:eastAsia="Times New Roman" w:hAnsi="PT Astra Serif" w:cs="Times New Roman"/>
          <w:iCs/>
          <w:szCs w:val="28"/>
          <w:lang w:eastAsia="ru-RU"/>
        </w:rPr>
        <w:t>2. Обеспечение соответствия нормативных правовых актов Губернатора Ульяновской области и Правительства Ульяновской области законодательству Российской Федерации и Ульяновской области; совершенствование системы правового мониторинга в Ульяновской области.</w:t>
      </w:r>
    </w:p>
    <w:p w14:paraId="34CA97FB" w14:textId="77777777" w:rsidR="00FE417F" w:rsidRPr="00FE417F" w:rsidRDefault="00FE417F" w:rsidP="00FE417F">
      <w:pPr>
        <w:widowControl w:val="0"/>
        <w:ind w:firstLine="720"/>
        <w:rPr>
          <w:rFonts w:ascii="PT Astra Serif" w:eastAsia="Times New Roman" w:hAnsi="PT Astra Serif" w:cs="Times New Roman"/>
          <w:iCs/>
          <w:szCs w:val="28"/>
          <w:lang w:eastAsia="ru-RU"/>
        </w:rPr>
      </w:pPr>
      <w:r w:rsidRPr="00FE417F">
        <w:rPr>
          <w:rFonts w:ascii="PT Astra Serif" w:eastAsia="Times New Roman" w:hAnsi="PT Astra Serif" w:cs="Times New Roman"/>
          <w:iCs/>
          <w:szCs w:val="28"/>
          <w:lang w:eastAsia="ru-RU"/>
        </w:rPr>
        <w:t>3. Содействие органам местного самоуправления муниципальных образований Ульяновской области в повышении качества муниципального нормотворчества; ведение регистра муниципальных нормативных правовых актов Ульяновской области.</w:t>
      </w:r>
    </w:p>
    <w:p w14:paraId="5B355146" w14:textId="77777777" w:rsidR="00FE417F" w:rsidRPr="00FE417F" w:rsidRDefault="00FE417F" w:rsidP="00FE417F">
      <w:pPr>
        <w:widowControl w:val="0"/>
        <w:ind w:firstLine="720"/>
        <w:rPr>
          <w:rFonts w:ascii="PT Astra Serif" w:eastAsia="Times New Roman" w:hAnsi="PT Astra Serif" w:cs="Times New Roman"/>
          <w:iCs/>
          <w:szCs w:val="28"/>
          <w:lang w:eastAsia="ru-RU"/>
        </w:rPr>
      </w:pPr>
      <w:r w:rsidRPr="00FE417F">
        <w:rPr>
          <w:rFonts w:ascii="PT Astra Serif" w:eastAsia="Times New Roman" w:hAnsi="PT Astra Serif" w:cs="Times New Roman"/>
          <w:iCs/>
          <w:szCs w:val="28"/>
          <w:lang w:eastAsia="ru-RU"/>
        </w:rPr>
        <w:t>4. Развитие системы бесплатной юридической помощи в Ульяновской области, в том числе активное использование Единого портала правового просвещения и бесплатной юридической помощи «ВПРАВЕ.РФ»; расширение мероприятий Программы развития правовой грамотности и правосознания граждан в Ульяновской области, в том числе во взаимодействии с Главным финансовым уполномоченным.</w:t>
      </w:r>
    </w:p>
    <w:bookmarkEnd w:id="64"/>
    <w:p w14:paraId="277BC326" w14:textId="77777777" w:rsidR="00FE417F" w:rsidRPr="00FE417F" w:rsidRDefault="00FE417F" w:rsidP="00FE417F">
      <w:pPr>
        <w:widowControl w:val="0"/>
        <w:autoSpaceDE w:val="0"/>
        <w:autoSpaceDN w:val="0"/>
        <w:adjustRightInd w:val="0"/>
        <w:rPr>
          <w:rFonts w:ascii="PT Astra Serif" w:eastAsia="Calibri" w:hAnsi="PT Astra Serif" w:cs="Times New Roman CYR"/>
          <w:szCs w:val="28"/>
        </w:rPr>
      </w:pPr>
    </w:p>
    <w:p w14:paraId="51FA3EAD" w14:textId="77777777" w:rsidR="00FE417F" w:rsidRPr="00FE417F" w:rsidRDefault="00FE417F" w:rsidP="00FE417F">
      <w:pPr>
        <w:spacing w:after="160" w:line="259" w:lineRule="auto"/>
        <w:ind w:firstLine="0"/>
        <w:jc w:val="left"/>
        <w:rPr>
          <w:rFonts w:ascii="PT Astra Serif" w:hAnsi="PT Astra Serif"/>
          <w:szCs w:val="28"/>
          <w:highlight w:val="yellow"/>
          <w:lang w:eastAsia="ru-RU"/>
        </w:rPr>
      </w:pPr>
      <w:r w:rsidRPr="00FE417F">
        <w:rPr>
          <w:rFonts w:ascii="PT Astra Serif" w:hAnsi="PT Astra Serif"/>
          <w:szCs w:val="28"/>
          <w:highlight w:val="yellow"/>
          <w:lang w:eastAsia="ru-RU"/>
        </w:rPr>
        <w:br w:type="page"/>
      </w:r>
    </w:p>
    <w:p w14:paraId="084363B2" w14:textId="77777777" w:rsidR="00FE417F" w:rsidRPr="00FE417F" w:rsidRDefault="00FE417F" w:rsidP="00FE417F">
      <w:pPr>
        <w:widowControl w:val="0"/>
        <w:tabs>
          <w:tab w:val="left" w:pos="900"/>
        </w:tabs>
        <w:overflowPunct w:val="0"/>
        <w:autoSpaceDE w:val="0"/>
        <w:autoSpaceDN w:val="0"/>
        <w:adjustRightInd w:val="0"/>
        <w:ind w:firstLine="0"/>
        <w:jc w:val="center"/>
        <w:textAlignment w:val="baseline"/>
        <w:outlineLvl w:val="0"/>
        <w:rPr>
          <w:rFonts w:ascii="PT Astra Serif" w:eastAsia="Times New Roman" w:hAnsi="PT Astra Serif" w:cs="Times New Roman"/>
          <w:b/>
          <w:szCs w:val="28"/>
          <w:lang w:val="uk-UA" w:eastAsia="ru-RU"/>
        </w:rPr>
      </w:pPr>
      <w:bookmarkStart w:id="65" w:name="_Toc194916107"/>
      <w:bookmarkStart w:id="66" w:name="_Toc226016713"/>
      <w:r w:rsidRPr="00FE417F">
        <w:rPr>
          <w:rFonts w:ascii="PT Astra Serif" w:eastAsia="Times New Roman" w:hAnsi="PT Astra Serif" w:cs="Times New Roman"/>
          <w:b/>
          <w:szCs w:val="28"/>
          <w:lang w:val="uk-UA" w:eastAsia="ru-RU"/>
        </w:rPr>
        <w:lastRenderedPageBreak/>
        <w:t>ОБРАЩЕНИЯ ГРАЖДАН</w:t>
      </w:r>
      <w:bookmarkEnd w:id="65"/>
      <w:bookmarkEnd w:id="66"/>
    </w:p>
    <w:p w14:paraId="1C5445E9" w14:textId="77777777" w:rsidR="00FE417F" w:rsidRPr="00FE417F" w:rsidRDefault="00FE417F" w:rsidP="00FE417F">
      <w:pPr>
        <w:widowControl w:val="0"/>
        <w:tabs>
          <w:tab w:val="left" w:pos="900"/>
        </w:tabs>
        <w:overflowPunct w:val="0"/>
        <w:autoSpaceDE w:val="0"/>
        <w:autoSpaceDN w:val="0"/>
        <w:adjustRightInd w:val="0"/>
        <w:ind w:firstLine="0"/>
        <w:textAlignment w:val="baseline"/>
        <w:rPr>
          <w:rFonts w:ascii="PT Astra Serif" w:eastAsia="Times New Roman" w:hAnsi="PT Astra Serif" w:cs="Times New Roman"/>
          <w:szCs w:val="28"/>
          <w:lang w:eastAsia="ru-RU"/>
        </w:rPr>
      </w:pPr>
    </w:p>
    <w:p w14:paraId="680AAF7E" w14:textId="77777777" w:rsidR="00FE417F" w:rsidRPr="00FE417F" w:rsidRDefault="00FE417F" w:rsidP="00FE417F">
      <w:pPr>
        <w:widowControl w:val="0"/>
        <w:tabs>
          <w:tab w:val="left" w:pos="900"/>
        </w:tabs>
        <w:overflowPunct w:val="0"/>
        <w:autoSpaceDE w:val="0"/>
        <w:autoSpaceDN w:val="0"/>
        <w:adjustRightInd w:val="0"/>
        <w:spacing w:line="244" w:lineRule="auto"/>
        <w:textAlignment w:val="baseline"/>
        <w:rPr>
          <w:rFonts w:ascii="PT Astra Serif" w:eastAsia="Times New Roman" w:hAnsi="PT Astra Serif" w:cs="Times New Roman"/>
          <w:b/>
          <w:bCs/>
          <w:szCs w:val="28"/>
          <w:lang w:eastAsia="ru-RU"/>
        </w:rPr>
      </w:pPr>
      <w:r w:rsidRPr="00FE417F">
        <w:rPr>
          <w:rFonts w:ascii="PT Astra Serif" w:eastAsia="Times New Roman" w:hAnsi="PT Astra Serif" w:cs="Times New Roman"/>
          <w:szCs w:val="28"/>
          <w:lang w:eastAsia="ru-RU"/>
        </w:rPr>
        <w:t xml:space="preserve">За </w:t>
      </w:r>
      <w:r w:rsidRPr="00FE417F">
        <w:rPr>
          <w:rFonts w:ascii="PT Astra Serif" w:eastAsia="Times New Roman" w:hAnsi="PT Astra Serif" w:cs="Times New Roman"/>
          <w:b/>
          <w:szCs w:val="28"/>
          <w:lang w:eastAsia="ru-RU"/>
        </w:rPr>
        <w:t>2025 год</w:t>
      </w:r>
      <w:r w:rsidRPr="00FE417F">
        <w:rPr>
          <w:rFonts w:ascii="PT Astra Serif" w:eastAsia="Times New Roman" w:hAnsi="PT Astra Serif" w:cs="Times New Roman"/>
          <w:szCs w:val="28"/>
          <w:lang w:eastAsia="ru-RU"/>
        </w:rPr>
        <w:t xml:space="preserve"> в Правительство Ульяновской области (далее также – Правительство) поступило </w:t>
      </w:r>
      <w:r w:rsidRPr="00FE417F">
        <w:rPr>
          <w:rFonts w:ascii="PT Astra Serif" w:eastAsia="Times New Roman" w:hAnsi="PT Astra Serif" w:cs="Times New Roman"/>
          <w:b/>
          <w:bCs/>
          <w:szCs w:val="28"/>
          <w:lang w:eastAsia="ru-RU"/>
        </w:rPr>
        <w:t>7 601 обращение</w:t>
      </w:r>
      <w:r w:rsidRPr="00FE417F">
        <w:rPr>
          <w:rFonts w:ascii="PT Astra Serif" w:eastAsia="Times New Roman" w:hAnsi="PT Astra Serif" w:cs="Times New Roman"/>
          <w:szCs w:val="28"/>
          <w:lang w:eastAsia="ru-RU"/>
        </w:rPr>
        <w:t xml:space="preserve"> граждан и организаций (далее - обращения), в которых поставлено </w:t>
      </w:r>
      <w:bookmarkStart w:id="67" w:name="_Hlk219466901"/>
      <w:r w:rsidRPr="00FE417F">
        <w:rPr>
          <w:rFonts w:ascii="PT Astra Serif" w:eastAsia="Times New Roman" w:hAnsi="PT Astra Serif" w:cs="Times New Roman"/>
          <w:b/>
          <w:bCs/>
          <w:szCs w:val="28"/>
          <w:lang w:eastAsia="ru-RU"/>
        </w:rPr>
        <w:t>10 870</w:t>
      </w:r>
      <w:bookmarkEnd w:id="67"/>
      <w:r w:rsidRPr="00FE417F">
        <w:rPr>
          <w:rFonts w:ascii="PT Astra Serif" w:eastAsia="Times New Roman" w:hAnsi="PT Astra Serif" w:cs="Times New Roman"/>
          <w:b/>
          <w:bCs/>
          <w:szCs w:val="28"/>
          <w:lang w:eastAsia="ru-RU"/>
        </w:rPr>
        <w:t xml:space="preserve"> вопросов.</w:t>
      </w:r>
    </w:p>
    <w:p w14:paraId="7CFB6949" w14:textId="77777777" w:rsidR="00FE417F" w:rsidRPr="00FE417F" w:rsidRDefault="00FE417F" w:rsidP="00FE417F">
      <w:pPr>
        <w:widowControl w:val="0"/>
        <w:tabs>
          <w:tab w:val="left" w:pos="900"/>
        </w:tabs>
        <w:overflowPunct w:val="0"/>
        <w:autoSpaceDE w:val="0"/>
        <w:autoSpaceDN w:val="0"/>
        <w:adjustRightInd w:val="0"/>
        <w:spacing w:line="244" w:lineRule="auto"/>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Все поступившие обращения зарегистрированы в </w:t>
      </w:r>
      <w:r w:rsidRPr="00FE417F">
        <w:rPr>
          <w:rFonts w:ascii="PT Astra Serif" w:eastAsia="Times New Roman" w:hAnsi="PT Astra Serif" w:cs="Times New Roman"/>
          <w:b/>
          <w:bCs/>
          <w:szCs w:val="28"/>
          <w:lang w:eastAsia="ru-RU"/>
        </w:rPr>
        <w:t>единой системе электронного документооборота Правительства Ульяновской области</w:t>
      </w:r>
      <w:r w:rsidRPr="00FE417F">
        <w:rPr>
          <w:rFonts w:ascii="PT Astra Serif" w:eastAsia="Times New Roman" w:hAnsi="PT Astra Serif" w:cs="Times New Roman"/>
          <w:b/>
          <w:bCs/>
          <w:szCs w:val="28"/>
          <w:lang w:eastAsia="ru-RU"/>
        </w:rPr>
        <w:br/>
        <w:t>и исполнительных органов Ульяновской области</w:t>
      </w:r>
      <w:r w:rsidRPr="00FE417F">
        <w:rPr>
          <w:rFonts w:ascii="PT Astra Serif" w:eastAsia="Times New Roman" w:hAnsi="PT Astra Serif" w:cs="Times New Roman"/>
          <w:szCs w:val="28"/>
          <w:lang w:eastAsia="ru-RU"/>
        </w:rPr>
        <w:t>.</w:t>
      </w:r>
    </w:p>
    <w:p w14:paraId="540300AB" w14:textId="77777777" w:rsidR="00FE417F" w:rsidRPr="00FE417F" w:rsidRDefault="00FE417F" w:rsidP="00FE417F">
      <w:pPr>
        <w:widowControl w:val="0"/>
        <w:tabs>
          <w:tab w:val="left" w:pos="900"/>
        </w:tabs>
        <w:overflowPunct w:val="0"/>
        <w:autoSpaceDE w:val="0"/>
        <w:autoSpaceDN w:val="0"/>
        <w:adjustRightInd w:val="0"/>
        <w:spacing w:line="244" w:lineRule="auto"/>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Общее количество</w:t>
      </w:r>
      <w:r w:rsidRPr="00FE417F">
        <w:rPr>
          <w:rFonts w:ascii="PT Astra Serif" w:eastAsia="Times New Roman" w:hAnsi="PT Astra Serif" w:cs="Times New Roman"/>
          <w:b/>
          <w:bCs/>
          <w:szCs w:val="28"/>
          <w:lang w:eastAsia="ru-RU"/>
        </w:rPr>
        <w:t xml:space="preserve"> обращений уменьшилось на 37%</w:t>
      </w:r>
      <w:r w:rsidRPr="00FE417F">
        <w:rPr>
          <w:rFonts w:ascii="PT Astra Serif" w:eastAsia="Times New Roman" w:hAnsi="PT Astra Serif" w:cs="Times New Roman"/>
          <w:b/>
          <w:szCs w:val="28"/>
          <w:lang w:eastAsia="ru-RU"/>
        </w:rPr>
        <w:t xml:space="preserve"> </w:t>
      </w:r>
      <w:r w:rsidRPr="00FE417F">
        <w:rPr>
          <w:rFonts w:ascii="PT Astra Serif" w:eastAsia="Times New Roman" w:hAnsi="PT Astra Serif" w:cs="Times New Roman"/>
          <w:szCs w:val="28"/>
          <w:lang w:eastAsia="ru-RU"/>
        </w:rPr>
        <w:t xml:space="preserve">относительно 2024 года (12 072). Общее количество </w:t>
      </w:r>
      <w:r w:rsidRPr="00FE417F">
        <w:rPr>
          <w:rFonts w:ascii="PT Astra Serif" w:eastAsia="Times New Roman" w:hAnsi="PT Astra Serif" w:cs="Times New Roman"/>
          <w:b/>
          <w:bCs/>
          <w:szCs w:val="28"/>
          <w:lang w:eastAsia="ru-RU"/>
        </w:rPr>
        <w:t>вопросов</w:t>
      </w:r>
      <w:r w:rsidRPr="00FE417F">
        <w:rPr>
          <w:rFonts w:ascii="PT Astra Serif" w:eastAsia="Times New Roman" w:hAnsi="PT Astra Serif" w:cs="Times New Roman"/>
          <w:szCs w:val="28"/>
          <w:lang w:eastAsia="ru-RU"/>
        </w:rPr>
        <w:t xml:space="preserve"> </w:t>
      </w:r>
      <w:r w:rsidRPr="00FE417F">
        <w:rPr>
          <w:rFonts w:ascii="PT Astra Serif" w:eastAsia="Times New Roman" w:hAnsi="PT Astra Serif" w:cs="Times New Roman"/>
          <w:b/>
          <w:bCs/>
          <w:szCs w:val="28"/>
          <w:lang w:eastAsia="ru-RU"/>
        </w:rPr>
        <w:t>уменьшилось на 25%</w:t>
      </w:r>
      <w:r w:rsidRPr="00FE417F">
        <w:rPr>
          <w:rFonts w:ascii="PT Astra Serif" w:eastAsia="Times New Roman" w:hAnsi="PT Astra Serif" w:cs="Times New Roman"/>
          <w:szCs w:val="28"/>
          <w:lang w:eastAsia="ru-RU"/>
        </w:rPr>
        <w:t xml:space="preserve"> по сравнению с 2024 годом (14 526).</w:t>
      </w:r>
    </w:p>
    <w:p w14:paraId="123D705F" w14:textId="77777777" w:rsidR="00FE417F" w:rsidRPr="00FE417F" w:rsidRDefault="00FE417F" w:rsidP="00FE417F">
      <w:pPr>
        <w:widowControl w:val="0"/>
        <w:tabs>
          <w:tab w:val="left" w:pos="900"/>
        </w:tabs>
        <w:overflowPunct w:val="0"/>
        <w:autoSpaceDE w:val="0"/>
        <w:autoSpaceDN w:val="0"/>
        <w:adjustRightInd w:val="0"/>
        <w:spacing w:line="244" w:lineRule="auto"/>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Уменьшение количества обращений, поступивших в обзорном периоде в Правительство, обусловлено внесением изменений в Федеральный закон от 02.05.2006 № 59-ФЗ «О порядке рассмотрения обращений граждан Российской Федерации» (в ред. Федерального закона от 28.12.2024 № 547-ФЗ), </w:t>
      </w:r>
      <w:r w:rsidRPr="00FE417F">
        <w:rPr>
          <w:rFonts w:ascii="PT Astra Serif" w:eastAsia="Times New Roman" w:hAnsi="PT Astra Serif" w:cs="Times New Roman"/>
          <w:szCs w:val="28"/>
          <w:lang w:eastAsia="ru-RU"/>
        </w:rPr>
        <w:br/>
        <w:t>в соответствии с которыми с 30 марта 2025 года прекращён приём обращений в форме электронного документа посредством электронной почты, а также через «Личный кабинет» Губернатора и Правительства Ульяновской области.</w:t>
      </w:r>
    </w:p>
    <w:p w14:paraId="5A0CB497" w14:textId="77777777" w:rsidR="00FE417F" w:rsidRPr="00C72F5D" w:rsidRDefault="00FE417F" w:rsidP="00FE417F">
      <w:pPr>
        <w:widowControl w:val="0"/>
        <w:tabs>
          <w:tab w:val="left" w:pos="900"/>
        </w:tabs>
        <w:overflowPunct w:val="0"/>
        <w:autoSpaceDE w:val="0"/>
        <w:autoSpaceDN w:val="0"/>
        <w:adjustRightInd w:val="0"/>
        <w:spacing w:line="244" w:lineRule="auto"/>
        <w:textAlignment w:val="baseline"/>
        <w:rPr>
          <w:rFonts w:ascii="PT Astra Serif" w:eastAsia="Times New Roman" w:hAnsi="PT Astra Serif" w:cs="Times New Roman"/>
          <w:sz w:val="20"/>
          <w:szCs w:val="20"/>
          <w:lang w:eastAsia="ru-RU"/>
        </w:rPr>
      </w:pPr>
    </w:p>
    <w:p w14:paraId="3478FB05" w14:textId="77777777" w:rsidR="00FE417F" w:rsidRPr="00FE417F" w:rsidRDefault="00FE417F" w:rsidP="00FE417F">
      <w:pPr>
        <w:widowControl w:val="0"/>
        <w:tabs>
          <w:tab w:val="left" w:pos="900"/>
        </w:tabs>
        <w:overflowPunct w:val="0"/>
        <w:autoSpaceDE w:val="0"/>
        <w:autoSpaceDN w:val="0"/>
        <w:adjustRightInd w:val="0"/>
        <w:ind w:firstLine="0"/>
        <w:jc w:val="center"/>
        <w:textAlignment w:val="baseline"/>
        <w:rPr>
          <w:rFonts w:ascii="PT Astra Serif" w:eastAsia="Times New Roman" w:hAnsi="PT Astra Serif" w:cs="Times New Roman"/>
          <w:b/>
          <w:sz w:val="20"/>
          <w:szCs w:val="20"/>
          <w:lang w:eastAsia="ru-RU"/>
        </w:rPr>
      </w:pPr>
      <w:proofErr w:type="spellStart"/>
      <w:r w:rsidRPr="00FE417F">
        <w:rPr>
          <w:rFonts w:ascii="PT Astra Serif" w:eastAsia="Times New Roman" w:hAnsi="PT Astra Serif" w:cs="Times New Roman"/>
          <w:b/>
          <w:sz w:val="20"/>
          <w:szCs w:val="20"/>
          <w:lang w:val="uk-UA" w:eastAsia="ru-RU"/>
        </w:rPr>
        <w:t>Соотношение</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количества</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обращений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вопросов</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поступивших</w:t>
      </w:r>
      <w:proofErr w:type="spellEnd"/>
      <w:r w:rsidRPr="00FE417F">
        <w:rPr>
          <w:rFonts w:ascii="PT Astra Serif" w:eastAsia="Times New Roman" w:hAnsi="PT Astra Serif" w:cs="Times New Roman"/>
          <w:b/>
          <w:sz w:val="20"/>
          <w:szCs w:val="20"/>
          <w:lang w:val="uk-UA" w:eastAsia="ru-RU"/>
        </w:rPr>
        <w:t xml:space="preserve"> в </w:t>
      </w:r>
      <w:proofErr w:type="spellStart"/>
      <w:r w:rsidRPr="00FE417F">
        <w:rPr>
          <w:rFonts w:ascii="PT Astra Serif" w:eastAsia="Times New Roman" w:hAnsi="PT Astra Serif" w:cs="Times New Roman"/>
          <w:b/>
          <w:sz w:val="20"/>
          <w:szCs w:val="20"/>
          <w:lang w:val="uk-UA" w:eastAsia="ru-RU"/>
        </w:rPr>
        <w:t>Правительство</w:t>
      </w:r>
      <w:proofErr w:type="spellEnd"/>
      <w:r w:rsidRPr="00FE417F">
        <w:rPr>
          <w:rFonts w:ascii="PT Astra Serif" w:eastAsia="Times New Roman" w:hAnsi="PT Astra Serif" w:cs="Times New Roman"/>
          <w:b/>
          <w:sz w:val="20"/>
          <w:szCs w:val="20"/>
          <w:lang w:val="uk-UA" w:eastAsia="ru-RU"/>
        </w:rPr>
        <w:t xml:space="preserve"> </w:t>
      </w:r>
      <w:r w:rsidRPr="00FE417F">
        <w:rPr>
          <w:rFonts w:ascii="PT Astra Serif" w:eastAsia="Times New Roman" w:hAnsi="PT Astra Serif" w:cs="Times New Roman"/>
          <w:b/>
          <w:sz w:val="20"/>
          <w:szCs w:val="20"/>
          <w:lang w:val="uk-UA" w:eastAsia="ru-RU"/>
        </w:rPr>
        <w:br/>
      </w:r>
      <w:proofErr w:type="spellStart"/>
      <w:r w:rsidRPr="00FE417F">
        <w:rPr>
          <w:rFonts w:ascii="PT Astra Serif" w:eastAsia="Times New Roman" w:hAnsi="PT Astra Serif" w:cs="Times New Roman"/>
          <w:b/>
          <w:sz w:val="20"/>
          <w:szCs w:val="20"/>
          <w:lang w:val="uk-UA" w:eastAsia="ru-RU"/>
        </w:rPr>
        <w:t>Ульяновской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области</w:t>
      </w:r>
      <w:proofErr w:type="spellEnd"/>
      <w:r w:rsidRPr="00FE417F">
        <w:rPr>
          <w:rFonts w:ascii="PT Astra Serif" w:eastAsia="Times New Roman" w:hAnsi="PT Astra Serif" w:cs="Times New Roman"/>
          <w:b/>
          <w:sz w:val="20"/>
          <w:szCs w:val="20"/>
          <w:lang w:val="uk-UA" w:eastAsia="ru-RU"/>
        </w:rPr>
        <w:t xml:space="preserve"> в 202</w:t>
      </w:r>
      <w:r w:rsidRPr="00FE417F">
        <w:rPr>
          <w:rFonts w:ascii="PT Astra Serif" w:eastAsia="Times New Roman" w:hAnsi="PT Astra Serif" w:cs="Times New Roman"/>
          <w:b/>
          <w:sz w:val="20"/>
          <w:szCs w:val="20"/>
          <w:lang w:eastAsia="ru-RU"/>
        </w:rPr>
        <w:t>5</w:t>
      </w:r>
      <w:r w:rsidRPr="00FE417F">
        <w:rPr>
          <w:rFonts w:ascii="PT Astra Serif" w:eastAsia="Times New Roman" w:hAnsi="PT Astra Serif" w:cs="Times New Roman"/>
          <w:b/>
          <w:sz w:val="20"/>
          <w:szCs w:val="20"/>
          <w:lang w:val="uk-UA" w:eastAsia="ru-RU"/>
        </w:rPr>
        <w:t xml:space="preserve"> году </w:t>
      </w:r>
      <w:r w:rsidRPr="00FE417F">
        <w:rPr>
          <w:rFonts w:ascii="PT Astra Serif" w:eastAsia="Times New Roman" w:hAnsi="PT Astra Serif" w:cs="Times New Roman"/>
          <w:b/>
          <w:sz w:val="20"/>
          <w:szCs w:val="20"/>
          <w:lang w:eastAsia="ru-RU"/>
        </w:rPr>
        <w:t>(в сравнении</w:t>
      </w:r>
      <w:r w:rsidRPr="00FE417F">
        <w:rPr>
          <w:rFonts w:ascii="PT Astra Serif" w:eastAsia="Times New Roman" w:hAnsi="PT Astra Serif" w:cs="Times New Roman"/>
          <w:b/>
          <w:sz w:val="20"/>
          <w:szCs w:val="20"/>
          <w:lang w:val="uk-UA" w:eastAsia="ru-RU"/>
        </w:rPr>
        <w:t xml:space="preserve"> с 202</w:t>
      </w:r>
      <w:r w:rsidRPr="00FE417F">
        <w:rPr>
          <w:rFonts w:ascii="PT Astra Serif" w:eastAsia="Times New Roman" w:hAnsi="PT Astra Serif" w:cs="Times New Roman"/>
          <w:b/>
          <w:sz w:val="20"/>
          <w:szCs w:val="20"/>
          <w:lang w:eastAsia="ru-RU"/>
        </w:rPr>
        <w:t>4</w:t>
      </w:r>
      <w:r w:rsidRPr="00FE417F">
        <w:rPr>
          <w:rFonts w:ascii="PT Astra Serif" w:eastAsia="Times New Roman" w:hAnsi="PT Astra Serif" w:cs="Times New Roman"/>
          <w:b/>
          <w:sz w:val="20"/>
          <w:szCs w:val="20"/>
          <w:lang w:val="uk-UA" w:eastAsia="ru-RU"/>
        </w:rPr>
        <w:t xml:space="preserve"> годом</w:t>
      </w:r>
      <w:r w:rsidRPr="00FE417F">
        <w:rPr>
          <w:rFonts w:ascii="PT Astra Serif" w:eastAsia="Times New Roman" w:hAnsi="PT Astra Serif" w:cs="Times New Roman"/>
          <w:b/>
          <w:sz w:val="20"/>
          <w:szCs w:val="20"/>
          <w:lang w:eastAsia="ru-RU"/>
        </w:rPr>
        <w:t>)</w:t>
      </w:r>
    </w:p>
    <w:p w14:paraId="2042B374" w14:textId="77777777" w:rsidR="00FE417F" w:rsidRPr="00FE417F" w:rsidRDefault="00FE417F" w:rsidP="00FE417F">
      <w:pPr>
        <w:widowControl w:val="0"/>
        <w:tabs>
          <w:tab w:val="left" w:pos="900"/>
        </w:tabs>
        <w:overflowPunct w:val="0"/>
        <w:autoSpaceDE w:val="0"/>
        <w:autoSpaceDN w:val="0"/>
        <w:adjustRightInd w:val="0"/>
        <w:spacing w:line="244" w:lineRule="auto"/>
        <w:ind w:firstLine="0"/>
        <w:textAlignment w:val="baseline"/>
        <w:rPr>
          <w:rFonts w:ascii="Calibri" w:eastAsia="Calibri" w:hAnsi="Calibri" w:cs="Times New Roman"/>
          <w:noProof/>
          <w:sz w:val="22"/>
          <w:lang w:val="uk-UA"/>
        </w:rPr>
      </w:pPr>
      <w:r w:rsidRPr="00FE417F">
        <w:rPr>
          <w:rFonts w:ascii="Calibri" w:eastAsia="Calibri" w:hAnsi="Calibri" w:cs="Times New Roman"/>
          <w:noProof/>
          <w:sz w:val="22"/>
          <w:lang w:eastAsia="ru-RU"/>
        </w:rPr>
        <w:drawing>
          <wp:inline distT="0" distB="0" distL="0" distR="0" wp14:anchorId="756210B2" wp14:editId="2F45314C">
            <wp:extent cx="5688510" cy="1958453"/>
            <wp:effectExtent l="0" t="0" r="7620" b="3810"/>
            <wp:docPr id="947458944" name="Диаграмма 9474589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9EB2B4E"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В обзорном периоде в Правительстве от жителей Ульяновской области получено:</w:t>
      </w:r>
    </w:p>
    <w:p w14:paraId="0DE911BA"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4 954 обращения в форме электронного документа (65% от общего объёма обращений);</w:t>
      </w:r>
    </w:p>
    <w:p w14:paraId="4159BD80"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2 371 обращение в письменной форме (31% от общего объёма обращений);</w:t>
      </w:r>
    </w:p>
    <w:p w14:paraId="2AC7A26E"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276 обращений в устной форме (4% от общего объёма обращений).</w:t>
      </w:r>
    </w:p>
    <w:p w14:paraId="47AF2203"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Сравнительный анализ </w:t>
      </w:r>
      <w:r w:rsidRPr="00FE417F">
        <w:rPr>
          <w:rFonts w:ascii="PT Astra Serif" w:eastAsia="Times New Roman" w:hAnsi="PT Astra Serif" w:cs="Times New Roman"/>
          <w:b/>
          <w:szCs w:val="28"/>
          <w:lang w:eastAsia="ru-RU"/>
        </w:rPr>
        <w:t>ключевых показателей</w:t>
      </w:r>
      <w:r w:rsidRPr="00FE417F">
        <w:rPr>
          <w:rFonts w:ascii="PT Astra Serif" w:eastAsia="Times New Roman" w:hAnsi="PT Astra Serif" w:cs="Times New Roman"/>
          <w:szCs w:val="28"/>
          <w:lang w:eastAsia="ru-RU"/>
        </w:rPr>
        <w:t xml:space="preserve"> в работе с обращениями относительно 2024 года выявил следующие тенденции:</w:t>
      </w:r>
    </w:p>
    <w:p w14:paraId="24B8B4F1"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b/>
          <w:bCs/>
          <w:szCs w:val="28"/>
          <w:lang w:eastAsia="ru-RU"/>
        </w:rPr>
        <w:t xml:space="preserve">уменьшение </w:t>
      </w:r>
      <w:r w:rsidRPr="00FE417F">
        <w:rPr>
          <w:rFonts w:ascii="PT Astra Serif" w:eastAsia="Times New Roman" w:hAnsi="PT Astra Serif" w:cs="Times New Roman"/>
          <w:szCs w:val="28"/>
          <w:lang w:eastAsia="ru-RU"/>
        </w:rPr>
        <w:t xml:space="preserve">числа </w:t>
      </w:r>
      <w:r w:rsidRPr="00FE417F">
        <w:rPr>
          <w:rFonts w:ascii="PT Astra Serif" w:eastAsia="Times New Roman" w:hAnsi="PT Astra Serif" w:cs="Times New Roman"/>
          <w:b/>
          <w:szCs w:val="28"/>
          <w:lang w:eastAsia="ru-RU"/>
        </w:rPr>
        <w:t xml:space="preserve">коллективных обращений на 19 % </w:t>
      </w:r>
      <w:r w:rsidRPr="00FE417F">
        <w:rPr>
          <w:rFonts w:ascii="PT Astra Serif" w:eastAsia="Times New Roman" w:hAnsi="PT Astra Serif" w:cs="Times New Roman"/>
          <w:szCs w:val="28"/>
          <w:lang w:eastAsia="ru-RU"/>
        </w:rPr>
        <w:t>(425 против 522);</w:t>
      </w:r>
    </w:p>
    <w:p w14:paraId="5D0251F3"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b/>
          <w:bCs/>
          <w:szCs w:val="28"/>
          <w:lang w:eastAsia="ru-RU"/>
        </w:rPr>
        <w:t>рост</w:t>
      </w:r>
      <w:r w:rsidRPr="00FE417F">
        <w:rPr>
          <w:rFonts w:ascii="PT Astra Serif" w:eastAsia="Times New Roman" w:hAnsi="PT Astra Serif" w:cs="Times New Roman"/>
          <w:szCs w:val="28"/>
          <w:lang w:eastAsia="ru-RU"/>
        </w:rPr>
        <w:t xml:space="preserve"> количества </w:t>
      </w:r>
      <w:r w:rsidRPr="00FE417F">
        <w:rPr>
          <w:rFonts w:ascii="PT Astra Serif" w:eastAsia="Times New Roman" w:hAnsi="PT Astra Serif" w:cs="Times New Roman"/>
          <w:b/>
          <w:szCs w:val="28"/>
          <w:lang w:eastAsia="ru-RU"/>
        </w:rPr>
        <w:t xml:space="preserve">повторных обращений в 3,4 раза или на 241 % </w:t>
      </w:r>
      <w:r w:rsidRPr="00FE417F">
        <w:rPr>
          <w:rFonts w:ascii="PT Astra Serif" w:eastAsia="Times New Roman" w:hAnsi="PT Astra Serif" w:cs="Times New Roman"/>
          <w:szCs w:val="28"/>
          <w:lang w:eastAsia="ru-RU"/>
        </w:rPr>
        <w:t>(1824 против 535).</w:t>
      </w:r>
    </w:p>
    <w:p w14:paraId="3D0EAD4C"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Относительно </w:t>
      </w:r>
      <w:r w:rsidRPr="00FE417F">
        <w:rPr>
          <w:rFonts w:ascii="PT Astra Serif" w:eastAsia="Times New Roman" w:hAnsi="PT Astra Serif" w:cs="Times New Roman"/>
          <w:b/>
          <w:szCs w:val="28"/>
          <w:lang w:eastAsia="ru-RU"/>
        </w:rPr>
        <w:t>видов обращений</w:t>
      </w:r>
      <w:r w:rsidRPr="00FE417F">
        <w:rPr>
          <w:rFonts w:ascii="PT Astra Serif" w:eastAsia="Times New Roman" w:hAnsi="PT Astra Serif" w:cs="Times New Roman"/>
          <w:szCs w:val="28"/>
          <w:lang w:eastAsia="ru-RU"/>
        </w:rPr>
        <w:t>, направленных в Правительство, следует отметить следующие тенденции относительно 2024 года:</w:t>
      </w:r>
    </w:p>
    <w:p w14:paraId="771B042A"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Cs/>
          <w:szCs w:val="28"/>
          <w:lang w:eastAsia="ru-RU"/>
        </w:rPr>
      </w:pPr>
      <w:r w:rsidRPr="00FE417F">
        <w:rPr>
          <w:rFonts w:ascii="PT Astra Serif" w:eastAsia="Times New Roman" w:hAnsi="PT Astra Serif" w:cs="Times New Roman"/>
          <w:b/>
          <w:szCs w:val="28"/>
          <w:lang w:eastAsia="ru-RU"/>
        </w:rPr>
        <w:lastRenderedPageBreak/>
        <w:t>уменьшение</w:t>
      </w:r>
      <w:r w:rsidRPr="00FE417F">
        <w:rPr>
          <w:rFonts w:ascii="PT Astra Serif" w:eastAsia="Times New Roman" w:hAnsi="PT Astra Serif" w:cs="Times New Roman"/>
          <w:bCs/>
          <w:szCs w:val="28"/>
          <w:lang w:eastAsia="ru-RU"/>
        </w:rPr>
        <w:t xml:space="preserve"> количества </w:t>
      </w:r>
      <w:r w:rsidRPr="00FE417F">
        <w:rPr>
          <w:rFonts w:ascii="PT Astra Serif" w:eastAsia="Times New Roman" w:hAnsi="PT Astra Serif" w:cs="Times New Roman"/>
          <w:b/>
          <w:szCs w:val="28"/>
          <w:lang w:eastAsia="ru-RU"/>
        </w:rPr>
        <w:t>предложений</w:t>
      </w:r>
      <w:r w:rsidRPr="00FE417F">
        <w:rPr>
          <w:rFonts w:ascii="PT Astra Serif" w:eastAsia="Times New Roman" w:hAnsi="PT Astra Serif" w:cs="Times New Roman"/>
          <w:bCs/>
          <w:szCs w:val="28"/>
          <w:lang w:eastAsia="ru-RU"/>
        </w:rPr>
        <w:t xml:space="preserve"> </w:t>
      </w:r>
      <w:r w:rsidRPr="00FE417F">
        <w:rPr>
          <w:rFonts w:ascii="PT Astra Serif" w:eastAsia="Times New Roman" w:hAnsi="PT Astra Serif" w:cs="Times New Roman"/>
          <w:b/>
          <w:szCs w:val="28"/>
          <w:lang w:eastAsia="ru-RU"/>
        </w:rPr>
        <w:t>на 50 %</w:t>
      </w:r>
      <w:r w:rsidRPr="00FE417F">
        <w:rPr>
          <w:rFonts w:ascii="PT Astra Serif" w:eastAsia="Times New Roman" w:hAnsi="PT Astra Serif" w:cs="Times New Roman"/>
          <w:bCs/>
          <w:szCs w:val="28"/>
          <w:lang w:eastAsia="ru-RU"/>
        </w:rPr>
        <w:t xml:space="preserve"> (53 против 107);</w:t>
      </w:r>
    </w:p>
    <w:p w14:paraId="627BAB01"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Cs/>
          <w:szCs w:val="28"/>
          <w:lang w:eastAsia="ru-RU"/>
        </w:rPr>
      </w:pPr>
      <w:r w:rsidRPr="00FE417F">
        <w:rPr>
          <w:rFonts w:ascii="PT Astra Serif" w:eastAsia="Times New Roman" w:hAnsi="PT Astra Serif" w:cs="Times New Roman"/>
          <w:b/>
          <w:szCs w:val="28"/>
          <w:lang w:eastAsia="ru-RU"/>
        </w:rPr>
        <w:t>рост</w:t>
      </w:r>
      <w:r w:rsidRPr="00FE417F">
        <w:rPr>
          <w:rFonts w:ascii="PT Astra Serif" w:eastAsia="Times New Roman" w:hAnsi="PT Astra Serif" w:cs="Times New Roman"/>
          <w:bCs/>
          <w:szCs w:val="28"/>
          <w:lang w:eastAsia="ru-RU"/>
        </w:rPr>
        <w:t xml:space="preserve"> количества </w:t>
      </w:r>
      <w:r w:rsidRPr="00FE417F">
        <w:rPr>
          <w:rFonts w:ascii="PT Astra Serif" w:eastAsia="Times New Roman" w:hAnsi="PT Astra Serif" w:cs="Times New Roman"/>
          <w:b/>
          <w:szCs w:val="28"/>
          <w:lang w:eastAsia="ru-RU"/>
        </w:rPr>
        <w:t>жалоб в 4 раза или на 298 %</w:t>
      </w:r>
      <w:r w:rsidRPr="00FE417F">
        <w:rPr>
          <w:rFonts w:ascii="PT Astra Serif" w:eastAsia="Times New Roman" w:hAnsi="PT Astra Serif" w:cs="Times New Roman"/>
          <w:bCs/>
          <w:szCs w:val="28"/>
          <w:lang w:eastAsia="ru-RU"/>
        </w:rPr>
        <w:t xml:space="preserve"> (470 против 118).</w:t>
      </w:r>
    </w:p>
    <w:p w14:paraId="3D5C26FF" w14:textId="77777777" w:rsidR="00FE417F" w:rsidRPr="00FE417F" w:rsidRDefault="00FE417F" w:rsidP="00FE417F">
      <w:pPr>
        <w:widowControl w:val="0"/>
        <w:ind w:firstLine="0"/>
        <w:jc w:val="center"/>
        <w:rPr>
          <w:rFonts w:ascii="PT Astra Serif" w:eastAsia="Calibri" w:hAnsi="PT Astra Serif" w:cs="Times New Roman"/>
          <w:b/>
          <w:sz w:val="20"/>
          <w:szCs w:val="20"/>
          <w:lang w:val="uk-UA"/>
        </w:rPr>
      </w:pPr>
    </w:p>
    <w:p w14:paraId="1350D21E" w14:textId="77777777" w:rsidR="00FE417F" w:rsidRPr="00FE417F" w:rsidRDefault="00FE417F" w:rsidP="00FE417F">
      <w:pPr>
        <w:widowControl w:val="0"/>
        <w:ind w:firstLine="0"/>
        <w:jc w:val="center"/>
        <w:rPr>
          <w:rFonts w:ascii="PT Astra Serif" w:eastAsia="Calibri" w:hAnsi="PT Astra Serif" w:cs="Times New Roman"/>
          <w:b/>
          <w:sz w:val="20"/>
          <w:szCs w:val="20"/>
          <w:lang w:val="uk-UA"/>
        </w:rPr>
      </w:pPr>
      <w:proofErr w:type="spellStart"/>
      <w:r w:rsidRPr="00FE417F">
        <w:rPr>
          <w:rFonts w:ascii="PT Astra Serif" w:eastAsia="Calibri" w:hAnsi="PT Astra Serif" w:cs="Times New Roman"/>
          <w:b/>
          <w:sz w:val="20"/>
          <w:szCs w:val="20"/>
          <w:lang w:val="uk-UA"/>
        </w:rPr>
        <w:t>Соотношение</w:t>
      </w:r>
      <w:proofErr w:type="spellEnd"/>
      <w:r w:rsidRPr="00FE417F">
        <w:rPr>
          <w:rFonts w:ascii="PT Astra Serif" w:eastAsia="Calibri" w:hAnsi="PT Astra Serif" w:cs="Times New Roman"/>
          <w:b/>
          <w:sz w:val="20"/>
          <w:szCs w:val="20"/>
          <w:lang w:val="uk-UA"/>
        </w:rPr>
        <w:t xml:space="preserve"> </w:t>
      </w:r>
      <w:proofErr w:type="spellStart"/>
      <w:r w:rsidRPr="00FE417F">
        <w:rPr>
          <w:rFonts w:ascii="PT Astra Serif" w:eastAsia="Calibri" w:hAnsi="PT Astra Serif" w:cs="Times New Roman"/>
          <w:b/>
          <w:sz w:val="20"/>
          <w:szCs w:val="20"/>
          <w:lang w:val="uk-UA"/>
        </w:rPr>
        <w:t>количества</w:t>
      </w:r>
      <w:proofErr w:type="spellEnd"/>
      <w:r w:rsidRPr="00FE417F">
        <w:rPr>
          <w:rFonts w:ascii="PT Astra Serif" w:eastAsia="Calibri" w:hAnsi="PT Astra Serif" w:cs="Times New Roman"/>
          <w:b/>
          <w:sz w:val="20"/>
          <w:szCs w:val="20"/>
          <w:lang w:val="uk-UA"/>
        </w:rPr>
        <w:t xml:space="preserve"> </w:t>
      </w:r>
      <w:proofErr w:type="spellStart"/>
      <w:r w:rsidRPr="00FE417F">
        <w:rPr>
          <w:rFonts w:ascii="PT Astra Serif" w:eastAsia="Calibri" w:hAnsi="PT Astra Serif" w:cs="Times New Roman"/>
          <w:b/>
          <w:sz w:val="20"/>
          <w:szCs w:val="20"/>
          <w:lang w:val="uk-UA"/>
        </w:rPr>
        <w:t>обращений</w:t>
      </w:r>
      <w:proofErr w:type="spellEnd"/>
      <w:r w:rsidRPr="00FE417F">
        <w:rPr>
          <w:rFonts w:ascii="PT Astra Serif" w:eastAsia="Calibri" w:hAnsi="PT Astra Serif" w:cs="Times New Roman"/>
          <w:b/>
          <w:sz w:val="20"/>
          <w:szCs w:val="20"/>
          <w:lang w:val="uk-UA"/>
        </w:rPr>
        <w:t xml:space="preserve"> по </w:t>
      </w:r>
      <w:proofErr w:type="spellStart"/>
      <w:r w:rsidRPr="00FE417F">
        <w:rPr>
          <w:rFonts w:ascii="PT Astra Serif" w:eastAsia="Calibri" w:hAnsi="PT Astra Serif" w:cs="Times New Roman"/>
          <w:b/>
          <w:sz w:val="20"/>
          <w:szCs w:val="20"/>
          <w:lang w:val="uk-UA"/>
        </w:rPr>
        <w:t>форме</w:t>
      </w:r>
      <w:proofErr w:type="spellEnd"/>
      <w:r w:rsidRPr="00FE417F">
        <w:rPr>
          <w:rFonts w:ascii="PT Astra Serif" w:eastAsia="Calibri" w:hAnsi="PT Astra Serif" w:cs="Times New Roman"/>
          <w:b/>
          <w:sz w:val="20"/>
          <w:szCs w:val="20"/>
          <w:lang w:val="uk-UA"/>
        </w:rPr>
        <w:t xml:space="preserve"> </w:t>
      </w:r>
      <w:proofErr w:type="spellStart"/>
      <w:r w:rsidRPr="00FE417F">
        <w:rPr>
          <w:rFonts w:ascii="PT Astra Serif" w:eastAsia="Calibri" w:hAnsi="PT Astra Serif" w:cs="Times New Roman"/>
          <w:b/>
          <w:sz w:val="20"/>
          <w:szCs w:val="20"/>
          <w:lang w:val="uk-UA"/>
        </w:rPr>
        <w:t>их</w:t>
      </w:r>
      <w:proofErr w:type="spellEnd"/>
      <w:r w:rsidRPr="00FE417F">
        <w:rPr>
          <w:rFonts w:ascii="PT Astra Serif" w:eastAsia="Calibri" w:hAnsi="PT Astra Serif" w:cs="Times New Roman"/>
          <w:b/>
          <w:sz w:val="20"/>
          <w:szCs w:val="20"/>
          <w:lang w:val="uk-UA"/>
        </w:rPr>
        <w:t xml:space="preserve"> </w:t>
      </w:r>
      <w:proofErr w:type="spellStart"/>
      <w:r w:rsidRPr="00FE417F">
        <w:rPr>
          <w:rFonts w:ascii="PT Astra Serif" w:eastAsia="Calibri" w:hAnsi="PT Astra Serif" w:cs="Times New Roman"/>
          <w:b/>
          <w:sz w:val="20"/>
          <w:szCs w:val="20"/>
          <w:lang w:val="uk-UA"/>
        </w:rPr>
        <w:t>поступления</w:t>
      </w:r>
      <w:proofErr w:type="spellEnd"/>
      <w:r w:rsidRPr="00FE417F">
        <w:rPr>
          <w:rFonts w:ascii="PT Astra Serif" w:eastAsia="Calibri" w:hAnsi="PT Astra Serif" w:cs="Times New Roman"/>
          <w:b/>
          <w:sz w:val="20"/>
          <w:szCs w:val="20"/>
          <w:lang w:val="uk-UA"/>
        </w:rPr>
        <w:t xml:space="preserve"> в </w:t>
      </w:r>
      <w:proofErr w:type="spellStart"/>
      <w:r w:rsidRPr="00FE417F">
        <w:rPr>
          <w:rFonts w:ascii="PT Astra Serif" w:eastAsia="Calibri" w:hAnsi="PT Astra Serif" w:cs="Times New Roman"/>
          <w:b/>
          <w:sz w:val="20"/>
          <w:szCs w:val="20"/>
          <w:lang w:val="uk-UA"/>
        </w:rPr>
        <w:t>Правительство</w:t>
      </w:r>
      <w:proofErr w:type="spellEnd"/>
      <w:r w:rsidRPr="00FE417F">
        <w:rPr>
          <w:rFonts w:ascii="PT Astra Serif" w:eastAsia="Calibri" w:hAnsi="PT Astra Serif" w:cs="Times New Roman"/>
          <w:b/>
          <w:sz w:val="20"/>
          <w:szCs w:val="20"/>
          <w:lang w:val="uk-UA"/>
        </w:rPr>
        <w:t xml:space="preserve"> </w:t>
      </w:r>
      <w:r w:rsidRPr="00FE417F">
        <w:rPr>
          <w:rFonts w:ascii="PT Astra Serif" w:eastAsia="Calibri" w:hAnsi="PT Astra Serif" w:cs="Times New Roman"/>
          <w:b/>
          <w:sz w:val="20"/>
          <w:szCs w:val="20"/>
          <w:lang w:val="uk-UA"/>
        </w:rPr>
        <w:br/>
      </w:r>
      <w:proofErr w:type="spellStart"/>
      <w:r w:rsidRPr="00FE417F">
        <w:rPr>
          <w:rFonts w:ascii="PT Astra Serif" w:eastAsia="Calibri" w:hAnsi="PT Astra Serif" w:cs="Times New Roman"/>
          <w:b/>
          <w:sz w:val="20"/>
          <w:szCs w:val="20"/>
          <w:lang w:val="uk-UA"/>
        </w:rPr>
        <w:t>Ульяновской</w:t>
      </w:r>
      <w:proofErr w:type="spellEnd"/>
      <w:r w:rsidRPr="00FE417F">
        <w:rPr>
          <w:rFonts w:ascii="PT Astra Serif" w:eastAsia="Calibri" w:hAnsi="PT Astra Serif" w:cs="Times New Roman"/>
          <w:b/>
          <w:sz w:val="20"/>
          <w:szCs w:val="20"/>
          <w:lang w:val="uk-UA"/>
        </w:rPr>
        <w:t xml:space="preserve"> </w:t>
      </w:r>
      <w:proofErr w:type="spellStart"/>
      <w:r w:rsidRPr="00FE417F">
        <w:rPr>
          <w:rFonts w:ascii="PT Astra Serif" w:eastAsia="Calibri" w:hAnsi="PT Astra Serif" w:cs="Times New Roman"/>
          <w:b/>
          <w:sz w:val="20"/>
          <w:szCs w:val="20"/>
          <w:lang w:val="uk-UA"/>
        </w:rPr>
        <w:t>области</w:t>
      </w:r>
      <w:proofErr w:type="spellEnd"/>
      <w:r w:rsidRPr="00FE417F">
        <w:rPr>
          <w:rFonts w:ascii="PT Astra Serif" w:eastAsia="Calibri" w:hAnsi="PT Astra Serif" w:cs="Times New Roman"/>
          <w:b/>
          <w:sz w:val="20"/>
          <w:szCs w:val="20"/>
          <w:lang w:val="uk-UA"/>
        </w:rPr>
        <w:t xml:space="preserve"> в 202</w:t>
      </w:r>
      <w:r w:rsidRPr="00FE417F">
        <w:rPr>
          <w:rFonts w:ascii="PT Astra Serif" w:eastAsia="Calibri" w:hAnsi="PT Astra Serif" w:cs="Times New Roman"/>
          <w:b/>
          <w:sz w:val="20"/>
          <w:szCs w:val="20"/>
        </w:rPr>
        <w:t>5</w:t>
      </w:r>
      <w:r w:rsidRPr="00FE417F">
        <w:rPr>
          <w:rFonts w:ascii="PT Astra Serif" w:eastAsia="Calibri" w:hAnsi="PT Astra Serif" w:cs="Times New Roman"/>
          <w:b/>
          <w:sz w:val="20"/>
          <w:szCs w:val="20"/>
          <w:lang w:val="uk-UA"/>
        </w:rPr>
        <w:t xml:space="preserve"> году </w:t>
      </w:r>
      <w:r w:rsidRPr="00FE417F">
        <w:rPr>
          <w:rFonts w:ascii="PT Astra Serif" w:eastAsia="Calibri" w:hAnsi="PT Astra Serif" w:cs="Times New Roman"/>
          <w:b/>
          <w:sz w:val="20"/>
          <w:szCs w:val="20"/>
        </w:rPr>
        <w:t xml:space="preserve">(в сравнении </w:t>
      </w:r>
      <w:r w:rsidRPr="00FE417F">
        <w:rPr>
          <w:rFonts w:ascii="PT Astra Serif" w:eastAsia="Calibri" w:hAnsi="PT Astra Serif" w:cs="Times New Roman"/>
          <w:b/>
          <w:sz w:val="20"/>
          <w:szCs w:val="20"/>
          <w:lang w:val="uk-UA"/>
        </w:rPr>
        <w:t>с 202</w:t>
      </w:r>
      <w:r w:rsidRPr="00FE417F">
        <w:rPr>
          <w:rFonts w:ascii="PT Astra Serif" w:eastAsia="Calibri" w:hAnsi="PT Astra Serif" w:cs="Times New Roman"/>
          <w:b/>
          <w:sz w:val="20"/>
          <w:szCs w:val="20"/>
        </w:rPr>
        <w:t>4)</w:t>
      </w:r>
      <w:r w:rsidRPr="00FE417F">
        <w:rPr>
          <w:rFonts w:ascii="PT Astra Serif" w:eastAsia="Calibri" w:hAnsi="PT Astra Serif" w:cs="Times New Roman"/>
          <w:b/>
          <w:sz w:val="20"/>
          <w:szCs w:val="20"/>
          <w:lang w:val="uk-UA"/>
        </w:rPr>
        <w:t xml:space="preserve"> годом</w:t>
      </w:r>
    </w:p>
    <w:p w14:paraId="1E997555" w14:textId="77777777" w:rsidR="00FE417F" w:rsidRPr="00FE417F" w:rsidRDefault="00FE417F" w:rsidP="00FE417F">
      <w:pPr>
        <w:widowControl w:val="0"/>
        <w:tabs>
          <w:tab w:val="left" w:pos="0"/>
        </w:tabs>
        <w:overflowPunct w:val="0"/>
        <w:autoSpaceDE w:val="0"/>
        <w:autoSpaceDN w:val="0"/>
        <w:adjustRightInd w:val="0"/>
        <w:spacing w:line="264" w:lineRule="auto"/>
        <w:ind w:firstLine="0"/>
        <w:jc w:val="center"/>
        <w:textAlignment w:val="baseline"/>
        <w:rPr>
          <w:rFonts w:ascii="PT Astra Serif" w:eastAsia="Times New Roman" w:hAnsi="PT Astra Serif" w:cs="Times New Roman"/>
          <w:szCs w:val="28"/>
          <w:highlight w:val="yellow"/>
          <w:lang w:eastAsia="ru-RU"/>
        </w:rPr>
      </w:pPr>
      <w:r w:rsidRPr="00FE417F">
        <w:rPr>
          <w:rFonts w:ascii="Calibri" w:eastAsia="Calibri" w:hAnsi="Calibri" w:cs="Times New Roman"/>
          <w:noProof/>
          <w:sz w:val="22"/>
          <w:lang w:eastAsia="ru-RU"/>
        </w:rPr>
        <w:drawing>
          <wp:inline distT="0" distB="0" distL="0" distR="0" wp14:anchorId="59AF3C42" wp14:editId="4283B05E">
            <wp:extent cx="6048375" cy="1995170"/>
            <wp:effectExtent l="0" t="0" r="0" b="5080"/>
            <wp:docPr id="947458945" name="Рисунок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0370CB5"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b/>
          <w:szCs w:val="28"/>
          <w:lang w:eastAsia="ru-RU"/>
        </w:rPr>
        <w:t xml:space="preserve">Средний </w:t>
      </w:r>
      <w:r w:rsidRPr="00FE417F">
        <w:rPr>
          <w:rFonts w:ascii="PT Astra Serif" w:eastAsia="Times New Roman" w:hAnsi="PT Astra Serif" w:cs="Times New Roman"/>
          <w:bCs/>
          <w:szCs w:val="28"/>
          <w:lang w:eastAsia="ru-RU"/>
        </w:rPr>
        <w:t>по Ульяновской области</w:t>
      </w:r>
      <w:r w:rsidRPr="00FE417F">
        <w:rPr>
          <w:rFonts w:ascii="PT Astra Serif" w:eastAsia="Times New Roman" w:hAnsi="PT Astra Serif" w:cs="Times New Roman"/>
          <w:b/>
          <w:szCs w:val="28"/>
          <w:lang w:eastAsia="ru-RU"/>
        </w:rPr>
        <w:t xml:space="preserve"> показатель активности</w:t>
      </w:r>
      <w:r w:rsidRPr="00FE417F">
        <w:rPr>
          <w:rFonts w:ascii="PT Astra Serif" w:eastAsia="Times New Roman" w:hAnsi="PT Astra Serif" w:cs="Times New Roman"/>
          <w:szCs w:val="28"/>
          <w:lang w:eastAsia="ru-RU"/>
        </w:rPr>
        <w:t xml:space="preserve"> </w:t>
      </w:r>
      <w:r w:rsidRPr="00FE417F">
        <w:rPr>
          <w:rFonts w:ascii="PT Astra Serif" w:eastAsia="Times New Roman" w:hAnsi="PT Astra Serif" w:cs="Times New Roman"/>
          <w:b/>
          <w:szCs w:val="28"/>
          <w:lang w:eastAsia="ru-RU"/>
        </w:rPr>
        <w:t>обращений</w:t>
      </w:r>
      <w:r w:rsidRPr="00FE417F">
        <w:rPr>
          <w:rFonts w:ascii="PT Astra Serif" w:eastAsia="Times New Roman" w:hAnsi="PT Astra Serif" w:cs="Times New Roman"/>
          <w:szCs w:val="28"/>
          <w:lang w:eastAsia="ru-RU"/>
        </w:rPr>
        <w:t xml:space="preserve"> в расчёте на 10 тысяч населения (далее – средний по области показатель) составил 65,2, это </w:t>
      </w:r>
      <w:r w:rsidRPr="00FE417F">
        <w:rPr>
          <w:rFonts w:ascii="PT Astra Serif" w:eastAsia="Times New Roman" w:hAnsi="PT Astra Serif" w:cs="Times New Roman"/>
          <w:b/>
          <w:bCs/>
          <w:szCs w:val="28"/>
          <w:lang w:eastAsia="ru-RU"/>
        </w:rPr>
        <w:t>на 37% меньше</w:t>
      </w:r>
      <w:r w:rsidRPr="00FE417F">
        <w:rPr>
          <w:rFonts w:ascii="PT Astra Serif" w:eastAsia="Times New Roman" w:hAnsi="PT Astra Serif" w:cs="Times New Roman"/>
          <w:szCs w:val="28"/>
          <w:lang w:eastAsia="ru-RU"/>
        </w:rPr>
        <w:t>, чем в 2024 году (103).</w:t>
      </w:r>
    </w:p>
    <w:p w14:paraId="5AEF3286"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Анализ </w:t>
      </w:r>
      <w:r w:rsidRPr="00FE417F">
        <w:rPr>
          <w:rFonts w:ascii="PT Astra Serif" w:eastAsia="Times New Roman" w:hAnsi="PT Astra Serif" w:cs="Times New Roman"/>
          <w:b/>
          <w:szCs w:val="28"/>
          <w:lang w:eastAsia="ru-RU"/>
        </w:rPr>
        <w:t>активности обращений</w:t>
      </w:r>
      <w:r w:rsidRPr="00FE417F">
        <w:rPr>
          <w:rFonts w:ascii="PT Astra Serif" w:eastAsia="Times New Roman" w:hAnsi="PT Astra Serif" w:cs="Times New Roman"/>
          <w:szCs w:val="28"/>
          <w:lang w:eastAsia="ru-RU"/>
        </w:rPr>
        <w:t xml:space="preserve"> в муниципальных образованиях Ульяновской области в отчётном интервале позволил выявить следующие тенденции.</w:t>
      </w:r>
    </w:p>
    <w:p w14:paraId="2572366B" w14:textId="77777777" w:rsidR="00FE417F" w:rsidRPr="00FE417F" w:rsidRDefault="00FE417F" w:rsidP="00FE417F">
      <w:pPr>
        <w:tabs>
          <w:tab w:val="left" w:pos="900"/>
        </w:tabs>
        <w:overflowPunct w:val="0"/>
        <w:autoSpaceDE w:val="0"/>
        <w:autoSpaceDN w:val="0"/>
        <w:adjustRightInd w:val="0"/>
        <w:ind w:firstLine="0"/>
        <w:jc w:val="center"/>
        <w:textAlignment w:val="baseline"/>
        <w:rPr>
          <w:rFonts w:ascii="PT Astra Serif" w:eastAsia="Times New Roman" w:hAnsi="PT Astra Serif" w:cs="Times New Roman"/>
          <w:b/>
          <w:sz w:val="20"/>
          <w:szCs w:val="20"/>
          <w:lang w:val="uk-UA" w:eastAsia="ru-RU"/>
        </w:rPr>
      </w:pPr>
    </w:p>
    <w:p w14:paraId="299E72C6" w14:textId="77777777" w:rsidR="00FE417F" w:rsidRPr="00FE417F" w:rsidRDefault="00FE417F" w:rsidP="00FE417F">
      <w:pPr>
        <w:tabs>
          <w:tab w:val="left" w:pos="900"/>
        </w:tabs>
        <w:overflowPunct w:val="0"/>
        <w:autoSpaceDE w:val="0"/>
        <w:autoSpaceDN w:val="0"/>
        <w:adjustRightInd w:val="0"/>
        <w:ind w:firstLine="0"/>
        <w:jc w:val="center"/>
        <w:textAlignment w:val="baseline"/>
        <w:rPr>
          <w:rFonts w:ascii="PT Astra Serif" w:eastAsia="Times New Roman" w:hAnsi="PT Astra Serif" w:cs="Times New Roman"/>
          <w:b/>
          <w:sz w:val="20"/>
          <w:szCs w:val="20"/>
          <w:lang w:val="uk-UA" w:eastAsia="ru-RU"/>
        </w:rPr>
      </w:pPr>
      <w:proofErr w:type="spellStart"/>
      <w:r w:rsidRPr="00FE417F">
        <w:rPr>
          <w:rFonts w:ascii="PT Astra Serif" w:eastAsia="Times New Roman" w:hAnsi="PT Astra Serif" w:cs="Times New Roman"/>
          <w:b/>
          <w:sz w:val="20"/>
          <w:szCs w:val="20"/>
          <w:lang w:val="uk-UA" w:eastAsia="ru-RU"/>
        </w:rPr>
        <w:t>Соотношение</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показателей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активности</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обращений</w:t>
      </w:r>
      <w:proofErr w:type="spellEnd"/>
      <w:r w:rsidRPr="00FE417F">
        <w:rPr>
          <w:rFonts w:ascii="PT Astra Serif" w:eastAsia="Times New Roman" w:hAnsi="PT Astra Serif" w:cs="Times New Roman"/>
          <w:b/>
          <w:sz w:val="20"/>
          <w:szCs w:val="20"/>
          <w:lang w:val="uk-UA" w:eastAsia="ru-RU"/>
        </w:rPr>
        <w:t xml:space="preserve"> в </w:t>
      </w:r>
      <w:proofErr w:type="spellStart"/>
      <w:r w:rsidRPr="00FE417F">
        <w:rPr>
          <w:rFonts w:ascii="PT Astra Serif" w:eastAsia="Times New Roman" w:hAnsi="PT Astra Serif" w:cs="Times New Roman"/>
          <w:b/>
          <w:sz w:val="20"/>
          <w:szCs w:val="20"/>
          <w:lang w:val="uk-UA" w:eastAsia="ru-RU"/>
        </w:rPr>
        <w:t>муниципальных</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образованиях</w:t>
      </w:r>
      <w:proofErr w:type="spellEnd"/>
      <w:r w:rsidRPr="00FE417F">
        <w:rPr>
          <w:rFonts w:ascii="PT Astra Serif" w:eastAsia="Times New Roman" w:hAnsi="PT Astra Serif" w:cs="Times New Roman"/>
          <w:b/>
          <w:sz w:val="20"/>
          <w:szCs w:val="20"/>
          <w:lang w:val="uk-UA" w:eastAsia="ru-RU"/>
        </w:rPr>
        <w:t xml:space="preserve"> </w:t>
      </w:r>
      <w:r w:rsidRPr="00FE417F">
        <w:rPr>
          <w:rFonts w:ascii="PT Astra Serif" w:eastAsia="Times New Roman" w:hAnsi="PT Astra Serif" w:cs="Times New Roman"/>
          <w:b/>
          <w:sz w:val="20"/>
          <w:szCs w:val="20"/>
          <w:lang w:val="uk-UA" w:eastAsia="ru-RU"/>
        </w:rPr>
        <w:br/>
      </w:r>
      <w:proofErr w:type="spellStart"/>
      <w:r w:rsidRPr="00FE417F">
        <w:rPr>
          <w:rFonts w:ascii="PT Astra Serif" w:eastAsia="Times New Roman" w:hAnsi="PT Astra Serif" w:cs="Times New Roman"/>
          <w:b/>
          <w:sz w:val="20"/>
          <w:szCs w:val="20"/>
          <w:lang w:val="uk-UA" w:eastAsia="ru-RU"/>
        </w:rPr>
        <w:t>Ульяновской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области</w:t>
      </w:r>
      <w:proofErr w:type="spellEnd"/>
      <w:r w:rsidRPr="00FE417F">
        <w:rPr>
          <w:rFonts w:ascii="PT Astra Serif" w:eastAsia="Times New Roman" w:hAnsi="PT Astra Serif" w:cs="Times New Roman"/>
          <w:b/>
          <w:sz w:val="20"/>
          <w:szCs w:val="20"/>
          <w:lang w:val="uk-UA" w:eastAsia="ru-RU"/>
        </w:rPr>
        <w:t xml:space="preserve"> за 202</w:t>
      </w:r>
      <w:r w:rsidRPr="00FE417F">
        <w:rPr>
          <w:rFonts w:ascii="PT Astra Serif" w:eastAsia="Times New Roman" w:hAnsi="PT Astra Serif" w:cs="Times New Roman"/>
          <w:b/>
          <w:sz w:val="20"/>
          <w:szCs w:val="20"/>
          <w:lang w:eastAsia="ru-RU"/>
        </w:rPr>
        <w:t>5</w:t>
      </w:r>
      <w:r w:rsidRPr="00FE417F">
        <w:rPr>
          <w:rFonts w:ascii="PT Astra Serif" w:eastAsia="Times New Roman" w:hAnsi="PT Astra Serif" w:cs="Times New Roman"/>
          <w:b/>
          <w:sz w:val="20"/>
          <w:szCs w:val="20"/>
          <w:lang w:val="uk-UA" w:eastAsia="ru-RU"/>
        </w:rPr>
        <w:t xml:space="preserve"> год </w:t>
      </w:r>
      <w:proofErr w:type="spellStart"/>
      <w:r w:rsidRPr="00FE417F">
        <w:rPr>
          <w:rFonts w:ascii="PT Astra Serif" w:eastAsia="Times New Roman" w:hAnsi="PT Astra Serif" w:cs="Times New Roman"/>
          <w:b/>
          <w:sz w:val="20"/>
          <w:szCs w:val="20"/>
          <w:lang w:val="uk-UA" w:eastAsia="ru-RU"/>
        </w:rPr>
        <w:t>со</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средним</w:t>
      </w:r>
      <w:proofErr w:type="spellEnd"/>
      <w:r w:rsidRPr="00FE417F">
        <w:rPr>
          <w:rFonts w:ascii="PT Astra Serif" w:eastAsia="Times New Roman" w:hAnsi="PT Astra Serif" w:cs="Times New Roman"/>
          <w:b/>
          <w:sz w:val="20"/>
          <w:szCs w:val="20"/>
          <w:lang w:val="uk-UA" w:eastAsia="ru-RU"/>
        </w:rPr>
        <w:t xml:space="preserve"> по </w:t>
      </w:r>
      <w:proofErr w:type="spellStart"/>
      <w:r w:rsidRPr="00FE417F">
        <w:rPr>
          <w:rFonts w:ascii="PT Astra Serif" w:eastAsia="Times New Roman" w:hAnsi="PT Astra Serif" w:cs="Times New Roman"/>
          <w:b/>
          <w:sz w:val="20"/>
          <w:szCs w:val="20"/>
          <w:lang w:val="uk-UA" w:eastAsia="ru-RU"/>
        </w:rPr>
        <w:t>области</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показателем</w:t>
      </w:r>
      <w:proofErr w:type="spellEnd"/>
      <w:r w:rsidRPr="00FE417F">
        <w:rPr>
          <w:rFonts w:ascii="PT Astra Serif" w:eastAsia="Times New Roman" w:hAnsi="PT Astra Serif" w:cs="Times New Roman"/>
          <w:b/>
          <w:sz w:val="20"/>
          <w:szCs w:val="20"/>
          <w:lang w:val="uk-UA" w:eastAsia="ru-RU"/>
        </w:rPr>
        <w:t xml:space="preserve"> (</w:t>
      </w:r>
      <w:r w:rsidRPr="00FE417F">
        <w:rPr>
          <w:rFonts w:ascii="PT Astra Serif" w:eastAsia="Times New Roman" w:hAnsi="PT Astra Serif" w:cs="Times New Roman"/>
          <w:b/>
          <w:sz w:val="20"/>
          <w:szCs w:val="20"/>
          <w:lang w:eastAsia="ru-RU"/>
        </w:rPr>
        <w:t>65,2</w:t>
      </w:r>
      <w:r w:rsidRPr="00FE417F">
        <w:rPr>
          <w:rFonts w:ascii="PT Astra Serif" w:eastAsia="Times New Roman" w:hAnsi="PT Astra Serif" w:cs="Times New Roman"/>
          <w:b/>
          <w:sz w:val="20"/>
          <w:szCs w:val="20"/>
          <w:lang w:val="uk-UA" w:eastAsia="ru-RU"/>
        </w:rPr>
        <w:t>)</w:t>
      </w:r>
    </w:p>
    <w:p w14:paraId="3EA5EFD8" w14:textId="77777777" w:rsidR="00FE417F" w:rsidRPr="00FE417F" w:rsidRDefault="00FE417F" w:rsidP="00FE417F">
      <w:pPr>
        <w:widowControl w:val="0"/>
        <w:tabs>
          <w:tab w:val="left" w:pos="0"/>
        </w:tabs>
        <w:overflowPunct w:val="0"/>
        <w:autoSpaceDE w:val="0"/>
        <w:autoSpaceDN w:val="0"/>
        <w:adjustRightInd w:val="0"/>
        <w:spacing w:line="232" w:lineRule="auto"/>
        <w:ind w:firstLine="0"/>
        <w:textAlignment w:val="baseline"/>
        <w:rPr>
          <w:rFonts w:eastAsia="Times New Roman" w:cs="Times New Roman"/>
          <w:b/>
          <w:i/>
          <w:color w:val="2F5496"/>
          <w:szCs w:val="28"/>
          <w:lang w:eastAsia="ru-RU"/>
        </w:rPr>
      </w:pPr>
      <w:r w:rsidRPr="00FE417F">
        <w:rPr>
          <w:rFonts w:ascii="Calibri" w:eastAsia="Calibri" w:hAnsi="Calibri" w:cs="Times New Roman"/>
          <w:noProof/>
          <w:sz w:val="22"/>
          <w:lang w:eastAsia="ru-RU"/>
        </w:rPr>
        <w:drawing>
          <wp:inline distT="0" distB="0" distL="0" distR="0" wp14:anchorId="6421DD46" wp14:editId="04A0E943">
            <wp:extent cx="5890895" cy="3179928"/>
            <wp:effectExtent l="0" t="0" r="0" b="1905"/>
            <wp:docPr id="947458946" name="Рисунок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836954D" w14:textId="77777777" w:rsidR="00FE417F" w:rsidRPr="00C72F5D"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 w:val="20"/>
          <w:szCs w:val="20"/>
          <w:lang w:eastAsia="ru-RU"/>
        </w:rPr>
      </w:pPr>
    </w:p>
    <w:p w14:paraId="7EEF0A1B" w14:textId="36A6CDEC"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
          <w:szCs w:val="28"/>
          <w:lang w:eastAsia="ru-RU"/>
        </w:rPr>
      </w:pPr>
      <w:r w:rsidRPr="00FE417F">
        <w:rPr>
          <w:rFonts w:ascii="PT Astra Serif" w:eastAsia="Times New Roman" w:hAnsi="PT Astra Serif" w:cs="Times New Roman"/>
          <w:szCs w:val="28"/>
          <w:lang w:eastAsia="ru-RU"/>
        </w:rPr>
        <w:t xml:space="preserve">В текущем периоде средний по области показатель </w:t>
      </w:r>
      <w:r w:rsidRPr="00FE417F">
        <w:rPr>
          <w:rFonts w:ascii="PT Astra Serif" w:eastAsia="Times New Roman" w:hAnsi="PT Astra Serif" w:cs="Times New Roman"/>
          <w:b/>
          <w:szCs w:val="28"/>
          <w:lang w:eastAsia="ru-RU"/>
        </w:rPr>
        <w:t>превышен по двум муниципальным образованиям Ульяновской области:</w:t>
      </w:r>
    </w:p>
    <w:p w14:paraId="3363A971"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Cs/>
          <w:szCs w:val="28"/>
          <w:lang w:eastAsia="ru-RU"/>
        </w:rPr>
      </w:pPr>
      <w:r w:rsidRPr="00FE417F">
        <w:rPr>
          <w:rFonts w:ascii="PT Astra Serif" w:eastAsia="Times New Roman" w:hAnsi="PT Astra Serif" w:cs="Times New Roman"/>
          <w:bCs/>
          <w:szCs w:val="28"/>
          <w:lang w:eastAsia="ru-RU"/>
        </w:rPr>
        <w:t>«город Ульяновск» (68,1; превышение на 4%);</w:t>
      </w:r>
    </w:p>
    <w:p w14:paraId="116822CE"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Cs/>
          <w:szCs w:val="28"/>
          <w:lang w:eastAsia="ru-RU"/>
        </w:rPr>
      </w:pPr>
      <w:r w:rsidRPr="00FE417F">
        <w:rPr>
          <w:rFonts w:ascii="PT Astra Serif" w:eastAsia="Times New Roman" w:hAnsi="PT Astra Serif" w:cs="Times New Roman"/>
          <w:bCs/>
          <w:szCs w:val="28"/>
          <w:lang w:eastAsia="ru-RU"/>
        </w:rPr>
        <w:t>«Вешкаймский район» (106; превышение на 3%).</w:t>
      </w:r>
    </w:p>
    <w:p w14:paraId="630BE8A3"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 xml:space="preserve">К муниципальным образованиям Ульяновской области, в которых показатель </w:t>
      </w:r>
      <w:r w:rsidRPr="00FE417F">
        <w:rPr>
          <w:rFonts w:ascii="PT Astra Serif" w:eastAsia="Times New Roman" w:hAnsi="PT Astra Serif" w:cs="Times New Roman"/>
          <w:b/>
          <w:szCs w:val="28"/>
          <w:lang w:eastAsia="ru-RU"/>
        </w:rPr>
        <w:t xml:space="preserve">активности </w:t>
      </w:r>
      <w:r w:rsidRPr="00FE417F">
        <w:rPr>
          <w:rFonts w:ascii="PT Astra Serif" w:eastAsia="Times New Roman" w:hAnsi="PT Astra Serif" w:cs="Times New Roman"/>
          <w:szCs w:val="28"/>
          <w:lang w:eastAsia="ru-RU"/>
        </w:rPr>
        <w:t xml:space="preserve">обращений </w:t>
      </w:r>
      <w:r w:rsidRPr="00FE417F">
        <w:rPr>
          <w:rFonts w:ascii="PT Astra Serif" w:eastAsia="Times New Roman" w:hAnsi="PT Astra Serif" w:cs="Times New Roman"/>
          <w:b/>
          <w:szCs w:val="28"/>
          <w:lang w:eastAsia="ru-RU"/>
        </w:rPr>
        <w:t xml:space="preserve">значительно ниже среднего по области </w:t>
      </w:r>
      <w:r w:rsidRPr="00FE417F">
        <w:rPr>
          <w:rFonts w:ascii="PT Astra Serif" w:eastAsia="Times New Roman" w:hAnsi="PT Astra Serif" w:cs="Times New Roman"/>
          <w:b/>
          <w:szCs w:val="28"/>
          <w:lang w:eastAsia="ru-RU"/>
        </w:rPr>
        <w:lastRenderedPageBreak/>
        <w:t>показателя</w:t>
      </w:r>
      <w:r w:rsidRPr="00FE417F">
        <w:rPr>
          <w:rFonts w:ascii="PT Astra Serif" w:eastAsia="Times New Roman" w:hAnsi="PT Astra Serif" w:cs="Times New Roman"/>
          <w:szCs w:val="28"/>
          <w:lang w:eastAsia="ru-RU"/>
        </w:rPr>
        <w:t xml:space="preserve"> в текущем периоде, относятся следующие 6:</w:t>
      </w:r>
    </w:p>
    <w:p w14:paraId="5AE8B112"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«Николаевский район» (27,3; снижение на 58%);</w:t>
      </w:r>
    </w:p>
    <w:p w14:paraId="2BDDE30C"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«Сурский район» (31,2; снижение на 52%);</w:t>
      </w:r>
    </w:p>
    <w:p w14:paraId="7A5BFF39"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Базарносызганский муниципальный округ (36,8; снижение на 44%);</w:t>
      </w:r>
    </w:p>
    <w:p w14:paraId="365B32EE"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«Майнский район» (37,0; снижение на 43%);</w:t>
      </w:r>
    </w:p>
    <w:p w14:paraId="63BDACCD"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szCs w:val="28"/>
          <w:lang w:eastAsia="ru-RU"/>
        </w:rPr>
      </w:pPr>
      <w:r w:rsidRPr="00FE417F">
        <w:rPr>
          <w:rFonts w:ascii="PT Astra Serif" w:eastAsia="Times New Roman" w:hAnsi="PT Astra Serif" w:cs="Times New Roman"/>
          <w:szCs w:val="28"/>
          <w:lang w:eastAsia="ru-RU"/>
        </w:rPr>
        <w:t>«Чердаклинский район» (38; снижение на 42%);</w:t>
      </w:r>
    </w:p>
    <w:p w14:paraId="7E9B143A" w14:textId="77777777" w:rsidR="00FE417F" w:rsidRPr="00FE417F" w:rsidRDefault="00FE417F" w:rsidP="00FE417F">
      <w:pPr>
        <w:widowControl w:val="0"/>
        <w:tabs>
          <w:tab w:val="left" w:pos="900"/>
        </w:tabs>
        <w:overflowPunct w:val="0"/>
        <w:autoSpaceDE w:val="0"/>
        <w:autoSpaceDN w:val="0"/>
        <w:adjustRightInd w:val="0"/>
        <w:textAlignment w:val="baseline"/>
        <w:rPr>
          <w:rFonts w:ascii="PT Astra Serif" w:eastAsia="Times New Roman" w:hAnsi="PT Astra Serif" w:cs="Times New Roman"/>
          <w:bCs/>
          <w:szCs w:val="28"/>
          <w:lang w:eastAsia="ru-RU"/>
        </w:rPr>
      </w:pPr>
      <w:r w:rsidRPr="00FE417F">
        <w:rPr>
          <w:rFonts w:ascii="PT Astra Serif" w:eastAsia="Times New Roman" w:hAnsi="PT Astra Serif" w:cs="Times New Roman"/>
          <w:szCs w:val="28"/>
          <w:lang w:eastAsia="ru-RU"/>
        </w:rPr>
        <w:t>«Новомалыклинский район» (38,4; снижение на 41%).</w:t>
      </w:r>
      <w:r w:rsidRPr="00FE417F">
        <w:rPr>
          <w:rFonts w:ascii="PT Astra Serif" w:eastAsia="Times New Roman" w:hAnsi="PT Astra Serif" w:cs="Times New Roman"/>
          <w:bCs/>
          <w:szCs w:val="28"/>
          <w:lang w:eastAsia="ru-RU"/>
        </w:rPr>
        <w:t xml:space="preserve"> </w:t>
      </w:r>
    </w:p>
    <w:p w14:paraId="1E63FA85" w14:textId="77777777" w:rsidR="00FE417F" w:rsidRPr="00FE417F" w:rsidRDefault="00FE417F" w:rsidP="00FE417F">
      <w:pPr>
        <w:widowControl w:val="0"/>
        <w:spacing w:line="244" w:lineRule="auto"/>
        <w:rPr>
          <w:rFonts w:ascii="PT Astra Serif" w:eastAsia="Times New Roman" w:hAnsi="PT Astra Serif" w:cs="Times New Roman"/>
          <w:szCs w:val="28"/>
        </w:rPr>
      </w:pPr>
      <w:r w:rsidRPr="00FE417F">
        <w:rPr>
          <w:rFonts w:ascii="PT Astra Serif" w:eastAsia="Times New Roman" w:hAnsi="PT Astra Serif" w:cs="Times New Roman"/>
          <w:szCs w:val="28"/>
        </w:rPr>
        <w:t xml:space="preserve">За 2025 год в Правительство из </w:t>
      </w:r>
      <w:r w:rsidRPr="00FE417F">
        <w:rPr>
          <w:rFonts w:ascii="PT Astra Serif" w:eastAsia="Times New Roman" w:hAnsi="PT Astra Serif" w:cs="Times New Roman"/>
          <w:b/>
          <w:szCs w:val="28"/>
        </w:rPr>
        <w:t>Управления Президента Российской Федерации по работе с обращениями граждан и организаций</w:t>
      </w:r>
      <w:r w:rsidRPr="00FE417F">
        <w:rPr>
          <w:rFonts w:ascii="PT Astra Serif" w:eastAsia="Times New Roman" w:hAnsi="PT Astra Serif" w:cs="Times New Roman"/>
          <w:szCs w:val="28"/>
        </w:rPr>
        <w:t xml:space="preserve"> поступило </w:t>
      </w:r>
      <w:r w:rsidRPr="00FE417F">
        <w:rPr>
          <w:rFonts w:ascii="PT Astra Serif" w:eastAsia="Times New Roman" w:hAnsi="PT Astra Serif" w:cs="Times New Roman"/>
          <w:b/>
          <w:bCs/>
          <w:szCs w:val="28"/>
        </w:rPr>
        <w:t>1 919 обращений</w:t>
      </w:r>
      <w:r w:rsidRPr="00FE417F">
        <w:rPr>
          <w:rFonts w:ascii="PT Astra Serif" w:eastAsia="Times New Roman" w:hAnsi="PT Astra Serif" w:cs="Times New Roman"/>
          <w:szCs w:val="28"/>
        </w:rPr>
        <w:t xml:space="preserve">, это </w:t>
      </w:r>
      <w:r w:rsidRPr="00FE417F">
        <w:rPr>
          <w:rFonts w:ascii="PT Astra Serif" w:eastAsia="Times New Roman" w:hAnsi="PT Astra Serif" w:cs="Times New Roman"/>
          <w:b/>
          <w:bCs/>
          <w:szCs w:val="28"/>
        </w:rPr>
        <w:t>на 23% меньше</w:t>
      </w:r>
      <w:r w:rsidRPr="00FE417F">
        <w:rPr>
          <w:rFonts w:ascii="PT Astra Serif" w:eastAsia="Times New Roman" w:hAnsi="PT Astra Serif" w:cs="Times New Roman"/>
          <w:szCs w:val="28"/>
        </w:rPr>
        <w:t>, чем в 2024 году (2 488).</w:t>
      </w:r>
    </w:p>
    <w:p w14:paraId="7C8E871F" w14:textId="77777777" w:rsidR="00FE417F" w:rsidRPr="00FE417F" w:rsidRDefault="00FE417F" w:rsidP="00FE417F">
      <w:pPr>
        <w:widowControl w:val="0"/>
        <w:tabs>
          <w:tab w:val="left" w:pos="900"/>
        </w:tabs>
        <w:overflowPunct w:val="0"/>
        <w:autoSpaceDE w:val="0"/>
        <w:autoSpaceDN w:val="0"/>
        <w:adjustRightInd w:val="0"/>
        <w:ind w:firstLine="0"/>
        <w:jc w:val="center"/>
        <w:textAlignment w:val="baseline"/>
        <w:rPr>
          <w:rFonts w:ascii="PT Astra Serif" w:eastAsia="Times New Roman" w:hAnsi="PT Astra Serif" w:cs="Times New Roman"/>
          <w:b/>
          <w:sz w:val="20"/>
          <w:szCs w:val="20"/>
          <w:lang w:val="uk-UA" w:eastAsia="ru-RU"/>
        </w:rPr>
      </w:pPr>
    </w:p>
    <w:p w14:paraId="02E2A30E" w14:textId="77777777" w:rsidR="00FE417F" w:rsidRPr="00FE417F" w:rsidRDefault="00FE417F" w:rsidP="00FE417F">
      <w:pPr>
        <w:widowControl w:val="0"/>
        <w:tabs>
          <w:tab w:val="left" w:pos="900"/>
        </w:tabs>
        <w:overflowPunct w:val="0"/>
        <w:autoSpaceDE w:val="0"/>
        <w:autoSpaceDN w:val="0"/>
        <w:adjustRightInd w:val="0"/>
        <w:ind w:firstLine="0"/>
        <w:jc w:val="center"/>
        <w:textAlignment w:val="baseline"/>
        <w:rPr>
          <w:rFonts w:ascii="PT Astra Serif" w:eastAsia="Times New Roman" w:hAnsi="PT Astra Serif" w:cs="Times New Roman"/>
          <w:b/>
          <w:sz w:val="20"/>
          <w:szCs w:val="20"/>
          <w:lang w:eastAsia="ru-RU"/>
        </w:rPr>
      </w:pPr>
      <w:proofErr w:type="spellStart"/>
      <w:r w:rsidRPr="00FE417F">
        <w:rPr>
          <w:rFonts w:ascii="PT Astra Serif" w:eastAsia="Times New Roman" w:hAnsi="PT Astra Serif" w:cs="Times New Roman"/>
          <w:b/>
          <w:sz w:val="20"/>
          <w:szCs w:val="20"/>
          <w:lang w:val="uk-UA" w:eastAsia="ru-RU"/>
        </w:rPr>
        <w:t>Соотношение</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количества</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обращений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направленных</w:t>
      </w:r>
      <w:proofErr w:type="spellEnd"/>
      <w:r w:rsidRPr="00FE417F">
        <w:rPr>
          <w:rFonts w:ascii="PT Astra Serif" w:eastAsia="Times New Roman" w:hAnsi="PT Astra Serif" w:cs="Times New Roman"/>
          <w:b/>
          <w:sz w:val="20"/>
          <w:szCs w:val="20"/>
          <w:lang w:val="uk-UA" w:eastAsia="ru-RU"/>
        </w:rPr>
        <w:t xml:space="preserve"> в </w:t>
      </w:r>
      <w:proofErr w:type="spellStart"/>
      <w:r w:rsidRPr="00FE417F">
        <w:rPr>
          <w:rFonts w:ascii="PT Astra Serif" w:eastAsia="Times New Roman" w:hAnsi="PT Astra Serif" w:cs="Times New Roman"/>
          <w:b/>
          <w:sz w:val="20"/>
          <w:szCs w:val="20"/>
          <w:lang w:val="uk-UA" w:eastAsia="ru-RU"/>
        </w:rPr>
        <w:t>Правительство</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Ульяновской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области</w:t>
      </w:r>
      <w:proofErr w:type="spellEnd"/>
      <w:r w:rsidRPr="00FE417F">
        <w:rPr>
          <w:rFonts w:ascii="PT Astra Serif" w:eastAsia="Times New Roman" w:hAnsi="PT Astra Serif" w:cs="Times New Roman"/>
          <w:b/>
          <w:sz w:val="20"/>
          <w:szCs w:val="20"/>
          <w:lang w:val="uk-UA" w:eastAsia="ru-RU"/>
        </w:rPr>
        <w:t xml:space="preserve"> </w:t>
      </w:r>
      <w:r w:rsidRPr="00FE417F">
        <w:rPr>
          <w:rFonts w:ascii="PT Astra Serif" w:eastAsia="Times New Roman" w:hAnsi="PT Astra Serif" w:cs="Times New Roman"/>
          <w:b/>
          <w:sz w:val="20"/>
          <w:szCs w:val="20"/>
          <w:lang w:val="uk-UA" w:eastAsia="ru-RU"/>
        </w:rPr>
        <w:br/>
        <w:t xml:space="preserve">и </w:t>
      </w:r>
      <w:proofErr w:type="spellStart"/>
      <w:r w:rsidRPr="00FE417F">
        <w:rPr>
          <w:rFonts w:ascii="PT Astra Serif" w:eastAsia="Times New Roman" w:hAnsi="PT Astra Serif" w:cs="Times New Roman"/>
          <w:b/>
          <w:sz w:val="20"/>
          <w:szCs w:val="20"/>
          <w:lang w:val="uk-UA" w:eastAsia="ru-RU"/>
        </w:rPr>
        <w:t>Администрацию</w:t>
      </w:r>
      <w:proofErr w:type="spellEnd"/>
      <w:r w:rsidRPr="00FE417F">
        <w:rPr>
          <w:rFonts w:ascii="PT Astra Serif" w:eastAsia="Times New Roman" w:hAnsi="PT Astra Serif" w:cs="Times New Roman"/>
          <w:b/>
          <w:sz w:val="20"/>
          <w:szCs w:val="20"/>
          <w:lang w:val="uk-UA" w:eastAsia="ru-RU"/>
        </w:rPr>
        <w:t xml:space="preserve"> Президента РФ в 202</w:t>
      </w:r>
      <w:r w:rsidRPr="00FE417F">
        <w:rPr>
          <w:rFonts w:ascii="PT Astra Serif" w:eastAsia="Times New Roman" w:hAnsi="PT Astra Serif" w:cs="Times New Roman"/>
          <w:b/>
          <w:sz w:val="20"/>
          <w:szCs w:val="20"/>
          <w:lang w:eastAsia="ru-RU"/>
        </w:rPr>
        <w:t>5</w:t>
      </w:r>
      <w:r w:rsidRPr="00FE417F">
        <w:rPr>
          <w:rFonts w:ascii="PT Astra Serif" w:eastAsia="Times New Roman" w:hAnsi="PT Astra Serif" w:cs="Times New Roman"/>
          <w:b/>
          <w:sz w:val="20"/>
          <w:szCs w:val="20"/>
          <w:lang w:val="uk-UA" w:eastAsia="ru-RU"/>
        </w:rPr>
        <w:t xml:space="preserve"> году </w:t>
      </w:r>
      <w:r w:rsidRPr="00FE417F">
        <w:rPr>
          <w:rFonts w:ascii="PT Astra Serif" w:eastAsia="Times New Roman" w:hAnsi="PT Astra Serif" w:cs="Times New Roman"/>
          <w:b/>
          <w:sz w:val="20"/>
          <w:szCs w:val="20"/>
          <w:lang w:eastAsia="ru-RU"/>
        </w:rPr>
        <w:t>(в</w:t>
      </w:r>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сравнени</w:t>
      </w:r>
      <w:proofErr w:type="spellEnd"/>
      <w:r w:rsidRPr="00FE417F">
        <w:rPr>
          <w:rFonts w:ascii="PT Astra Serif" w:eastAsia="Times New Roman" w:hAnsi="PT Astra Serif" w:cs="Times New Roman"/>
          <w:b/>
          <w:sz w:val="20"/>
          <w:szCs w:val="20"/>
          <w:lang w:eastAsia="ru-RU"/>
        </w:rPr>
        <w:t>и</w:t>
      </w:r>
      <w:r w:rsidRPr="00FE417F">
        <w:rPr>
          <w:rFonts w:ascii="PT Astra Serif" w:eastAsia="Times New Roman" w:hAnsi="PT Astra Serif" w:cs="Times New Roman"/>
          <w:b/>
          <w:sz w:val="20"/>
          <w:szCs w:val="20"/>
          <w:lang w:val="uk-UA" w:eastAsia="ru-RU"/>
        </w:rPr>
        <w:t xml:space="preserve"> с 20</w:t>
      </w:r>
      <w:r w:rsidRPr="00FE417F">
        <w:rPr>
          <w:rFonts w:ascii="PT Astra Serif" w:eastAsia="Times New Roman" w:hAnsi="PT Astra Serif" w:cs="Times New Roman"/>
          <w:b/>
          <w:sz w:val="20"/>
          <w:szCs w:val="20"/>
          <w:lang w:eastAsia="ru-RU"/>
        </w:rPr>
        <w:t>24</w:t>
      </w:r>
      <w:r w:rsidRPr="00FE417F">
        <w:rPr>
          <w:rFonts w:ascii="PT Astra Serif" w:eastAsia="Times New Roman" w:hAnsi="PT Astra Serif" w:cs="Times New Roman"/>
          <w:b/>
          <w:sz w:val="20"/>
          <w:szCs w:val="20"/>
          <w:lang w:val="uk-UA" w:eastAsia="ru-RU"/>
        </w:rPr>
        <w:t xml:space="preserve"> годом</w:t>
      </w:r>
      <w:r w:rsidRPr="00FE417F">
        <w:rPr>
          <w:rFonts w:ascii="PT Astra Serif" w:eastAsia="Times New Roman" w:hAnsi="PT Astra Serif" w:cs="Times New Roman"/>
          <w:b/>
          <w:sz w:val="20"/>
          <w:szCs w:val="20"/>
          <w:lang w:eastAsia="ru-RU"/>
        </w:rPr>
        <w:t>)</w:t>
      </w:r>
    </w:p>
    <w:p w14:paraId="4B960E0D" w14:textId="77777777" w:rsidR="00FE417F" w:rsidRPr="00FE417F" w:rsidRDefault="00FE417F" w:rsidP="00FE417F">
      <w:pPr>
        <w:widowControl w:val="0"/>
        <w:spacing w:line="244" w:lineRule="auto"/>
        <w:ind w:firstLine="0"/>
        <w:rPr>
          <w:rFonts w:ascii="PT Astra Serif" w:eastAsia="Times New Roman" w:hAnsi="PT Astra Serif" w:cs="Times New Roman"/>
          <w:szCs w:val="28"/>
        </w:rPr>
      </w:pPr>
      <w:r w:rsidRPr="00FE417F">
        <w:rPr>
          <w:rFonts w:ascii="Calibri" w:eastAsia="Calibri" w:hAnsi="Calibri" w:cs="Times New Roman"/>
          <w:noProof/>
          <w:sz w:val="22"/>
          <w:lang w:eastAsia="ru-RU"/>
        </w:rPr>
        <w:drawing>
          <wp:inline distT="0" distB="0" distL="0" distR="0" wp14:anchorId="6B3E289B" wp14:editId="506F9A2C">
            <wp:extent cx="6048375" cy="1645920"/>
            <wp:effectExtent l="0" t="0" r="0" b="0"/>
            <wp:docPr id="947458947" name="Рисунок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6A5EAE1" w14:textId="77777777" w:rsidR="00FE417F" w:rsidRPr="00FE417F" w:rsidRDefault="00FE417F" w:rsidP="00FE417F">
      <w:pPr>
        <w:widowControl w:val="0"/>
        <w:spacing w:line="244" w:lineRule="auto"/>
        <w:rPr>
          <w:rFonts w:ascii="PT Astra Serif" w:eastAsia="Times New Roman" w:hAnsi="PT Astra Serif" w:cs="Times New Roman"/>
          <w:szCs w:val="28"/>
        </w:rPr>
      </w:pPr>
      <w:r w:rsidRPr="00FE417F">
        <w:rPr>
          <w:rFonts w:ascii="PT Astra Serif" w:eastAsia="Times New Roman" w:hAnsi="PT Astra Serif" w:cs="Times New Roman"/>
          <w:b/>
          <w:szCs w:val="28"/>
        </w:rPr>
        <w:t>Доля обращений</w:t>
      </w:r>
      <w:r w:rsidRPr="00FE417F">
        <w:rPr>
          <w:rFonts w:ascii="PT Astra Serif" w:eastAsia="Times New Roman" w:hAnsi="PT Astra Serif" w:cs="Times New Roman"/>
          <w:szCs w:val="28"/>
        </w:rPr>
        <w:t xml:space="preserve">, поступивших за анализируемый период из Управления Президента Российской Федерации по работе с обращениями граждан и организаций и перенаправленных для рассмотрения по компетенции в Правительство, составила </w:t>
      </w:r>
      <w:r w:rsidRPr="00FE417F">
        <w:rPr>
          <w:rFonts w:ascii="PT Astra Serif" w:eastAsia="Times New Roman" w:hAnsi="PT Astra Serif" w:cs="Times New Roman"/>
          <w:b/>
          <w:bCs/>
          <w:szCs w:val="28"/>
        </w:rPr>
        <w:t>25%</w:t>
      </w:r>
      <w:r w:rsidRPr="00FE417F">
        <w:rPr>
          <w:rFonts w:ascii="PT Astra Serif" w:eastAsia="Times New Roman" w:hAnsi="PT Astra Serif" w:cs="Times New Roman"/>
          <w:szCs w:val="28"/>
        </w:rPr>
        <w:t xml:space="preserve"> от</w:t>
      </w:r>
      <w:r w:rsidRPr="00FE417F">
        <w:rPr>
          <w:rFonts w:ascii="PT Astra Serif" w:eastAsia="Times New Roman" w:hAnsi="PT Astra Serif" w:cs="Times New Roman"/>
          <w:b/>
          <w:szCs w:val="28"/>
        </w:rPr>
        <w:t xml:space="preserve"> общего объёма</w:t>
      </w:r>
      <w:r w:rsidRPr="00FE417F">
        <w:rPr>
          <w:rFonts w:ascii="PT Astra Serif" w:eastAsia="Times New Roman" w:hAnsi="PT Astra Serif" w:cs="Times New Roman"/>
          <w:szCs w:val="28"/>
        </w:rPr>
        <w:t xml:space="preserve"> обращений, направленных в Правительство (7 601 обращение), что на 4% больше</w:t>
      </w:r>
      <w:r w:rsidRPr="00FE417F">
        <w:rPr>
          <w:rFonts w:ascii="PT Astra Serif" w:eastAsia="Times New Roman" w:hAnsi="PT Astra Serif" w:cs="Times New Roman"/>
          <w:color w:val="FFFFFF"/>
          <w:szCs w:val="28"/>
        </w:rPr>
        <w:t xml:space="preserve"> </w:t>
      </w:r>
      <w:r w:rsidRPr="00FE417F">
        <w:rPr>
          <w:rFonts w:ascii="PT Astra Serif" w:eastAsia="Times New Roman" w:hAnsi="PT Astra Serif" w:cs="Times New Roman"/>
          <w:szCs w:val="28"/>
        </w:rPr>
        <w:t>доли обращений за 2024 год (21%).</w:t>
      </w:r>
    </w:p>
    <w:p w14:paraId="3630A8A2" w14:textId="77777777" w:rsidR="00FE417F" w:rsidRPr="00FE417F" w:rsidRDefault="00FE417F" w:rsidP="00FE417F">
      <w:pPr>
        <w:widowControl w:val="0"/>
        <w:autoSpaceDE w:val="0"/>
        <w:autoSpaceDN w:val="0"/>
        <w:adjustRightInd w:val="0"/>
        <w:spacing w:line="244" w:lineRule="auto"/>
        <w:rPr>
          <w:rFonts w:ascii="PT Astra Serif" w:eastAsia="Times New Roman" w:hAnsi="PT Astra Serif" w:cs="Times New Roman"/>
          <w:szCs w:val="28"/>
          <w:lang w:eastAsia="ar-SA"/>
        </w:rPr>
      </w:pPr>
      <w:r w:rsidRPr="00FE417F">
        <w:rPr>
          <w:rFonts w:ascii="PT Astra Serif" w:eastAsia="Times New Roman" w:hAnsi="PT Astra Serif" w:cs="Times New Roman"/>
          <w:szCs w:val="28"/>
          <w:lang w:eastAsia="ar-SA"/>
        </w:rPr>
        <w:t xml:space="preserve">Мониторинг </w:t>
      </w:r>
      <w:r w:rsidRPr="00FE417F">
        <w:rPr>
          <w:rFonts w:ascii="PT Astra Serif" w:eastAsia="Times New Roman" w:hAnsi="PT Astra Serif" w:cs="Times New Roman"/>
          <w:b/>
          <w:szCs w:val="28"/>
        </w:rPr>
        <w:t>тематических предпочтений</w:t>
      </w:r>
      <w:r w:rsidRPr="00FE417F">
        <w:rPr>
          <w:rFonts w:ascii="PT Astra Serif" w:eastAsia="Times New Roman" w:hAnsi="PT Astra Serif" w:cs="Times New Roman"/>
          <w:szCs w:val="28"/>
          <w:lang w:eastAsia="ar-SA"/>
        </w:rPr>
        <w:t xml:space="preserve"> населения Ульяновской области, раскрытых в обращениях, направленных в отчётном периоде </w:t>
      </w:r>
      <w:r w:rsidRPr="00FE417F">
        <w:rPr>
          <w:rFonts w:ascii="PT Astra Serif" w:eastAsia="Times New Roman" w:hAnsi="PT Astra Serif" w:cs="Times New Roman"/>
          <w:szCs w:val="28"/>
          <w:lang w:eastAsia="ar-SA"/>
        </w:rPr>
        <w:br/>
        <w:t>в Правительство, позволил выстроить следующий рейтинг.</w:t>
      </w:r>
    </w:p>
    <w:p w14:paraId="03C2221A" w14:textId="77777777" w:rsidR="00FE417F" w:rsidRPr="00FE417F" w:rsidRDefault="00FE417F" w:rsidP="00FE417F">
      <w:pPr>
        <w:widowControl w:val="0"/>
        <w:autoSpaceDE w:val="0"/>
        <w:autoSpaceDN w:val="0"/>
        <w:adjustRightInd w:val="0"/>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 xml:space="preserve">5 </w:t>
      </w:r>
      <w:proofErr w:type="spellStart"/>
      <w:r w:rsidRPr="00FE417F">
        <w:rPr>
          <w:rFonts w:ascii="PT Astra Serif" w:eastAsia="Times New Roman" w:hAnsi="PT Astra Serif" w:cs="Times New Roman"/>
          <w:b/>
          <w:bCs/>
          <w:szCs w:val="28"/>
          <w:lang w:eastAsia="ar-SA"/>
        </w:rPr>
        <w:t>топовых</w:t>
      </w:r>
      <w:proofErr w:type="spellEnd"/>
      <w:r w:rsidRPr="00FE417F">
        <w:rPr>
          <w:rFonts w:ascii="PT Astra Serif" w:eastAsia="Times New Roman" w:hAnsi="PT Astra Serif" w:cs="Times New Roman"/>
          <w:szCs w:val="28"/>
          <w:lang w:eastAsia="ar-SA"/>
        </w:rPr>
        <w:t xml:space="preserve"> позиций в соответствии с приоритетностью занимают следующие темы:</w:t>
      </w:r>
    </w:p>
    <w:p w14:paraId="49A2EB5A" w14:textId="77777777" w:rsidR="00FE417F" w:rsidRPr="00FE417F" w:rsidRDefault="00FE417F" w:rsidP="00FE417F">
      <w:pPr>
        <w:widowControl w:val="0"/>
        <w:autoSpaceDE w:val="0"/>
        <w:autoSpaceDN w:val="0"/>
        <w:adjustRightInd w:val="0"/>
        <w:contextualSpacing/>
        <w:rPr>
          <w:rFonts w:ascii="PT Astra Serif" w:eastAsia="Calibri" w:hAnsi="PT Astra Serif" w:cs="Times New Roman"/>
          <w:szCs w:val="28"/>
          <w:lang w:val="uk-UA" w:eastAsia="ar-SA"/>
        </w:rPr>
      </w:pPr>
      <w:r w:rsidRPr="00FE417F">
        <w:rPr>
          <w:rFonts w:ascii="PT Astra Serif" w:eastAsia="Calibri" w:hAnsi="PT Astra Serif" w:cs="Times New Roman"/>
          <w:szCs w:val="28"/>
          <w:lang w:eastAsia="ar-SA"/>
        </w:rPr>
        <w:t xml:space="preserve">1. </w:t>
      </w:r>
      <w:r w:rsidRPr="00FE417F">
        <w:rPr>
          <w:rFonts w:ascii="PT Astra Serif" w:eastAsia="Calibri" w:hAnsi="PT Astra Serif" w:cs="Times New Roman"/>
          <w:szCs w:val="28"/>
          <w:lang w:val="uk-UA" w:eastAsia="ar-SA"/>
        </w:rPr>
        <w:t>«</w:t>
      </w:r>
      <w:proofErr w:type="spellStart"/>
      <w:r w:rsidRPr="00FE417F">
        <w:rPr>
          <w:rFonts w:ascii="PT Astra Serif" w:eastAsia="Calibri" w:hAnsi="PT Astra Serif" w:cs="Times New Roman"/>
          <w:b/>
          <w:bCs/>
          <w:szCs w:val="28"/>
          <w:lang w:val="uk-UA" w:eastAsia="ar-SA"/>
        </w:rPr>
        <w:t>Хозяйственная</w:t>
      </w:r>
      <w:proofErr w:type="spellEnd"/>
      <w:r w:rsidRPr="00FE417F">
        <w:rPr>
          <w:rFonts w:ascii="PT Astra Serif" w:eastAsia="Calibri" w:hAnsi="PT Astra Serif" w:cs="Times New Roman"/>
          <w:b/>
          <w:bCs/>
          <w:szCs w:val="28"/>
          <w:lang w:val="uk-UA" w:eastAsia="ar-SA"/>
        </w:rPr>
        <w:t xml:space="preserve"> </w:t>
      </w:r>
      <w:proofErr w:type="spellStart"/>
      <w:r w:rsidRPr="00FE417F">
        <w:rPr>
          <w:rFonts w:ascii="PT Astra Serif" w:eastAsia="Calibri" w:hAnsi="PT Astra Serif" w:cs="Times New Roman"/>
          <w:b/>
          <w:bCs/>
          <w:szCs w:val="28"/>
          <w:lang w:val="uk-UA" w:eastAsia="ar-SA"/>
        </w:rPr>
        <w:t>деятельность</w:t>
      </w:r>
      <w:proofErr w:type="spellEnd"/>
      <w:r w:rsidRPr="00FE417F">
        <w:rPr>
          <w:rFonts w:ascii="PT Astra Serif" w:eastAsia="Calibri" w:hAnsi="PT Astra Serif" w:cs="Times New Roman"/>
          <w:szCs w:val="28"/>
          <w:lang w:val="uk-UA" w:eastAsia="ar-SA"/>
        </w:rPr>
        <w:t xml:space="preserve">» (20,1%; 2180 </w:t>
      </w:r>
      <w:proofErr w:type="spellStart"/>
      <w:r w:rsidRPr="00FE417F">
        <w:rPr>
          <w:rFonts w:ascii="PT Astra Serif" w:eastAsia="Calibri" w:hAnsi="PT Astra Serif" w:cs="Times New Roman"/>
          <w:szCs w:val="28"/>
          <w:lang w:val="uk-UA" w:eastAsia="ar-SA"/>
        </w:rPr>
        <w:t>вопросов</w:t>
      </w:r>
      <w:proofErr w:type="spellEnd"/>
      <w:r w:rsidRPr="00FE417F">
        <w:rPr>
          <w:rFonts w:ascii="PT Astra Serif" w:eastAsia="Calibri" w:hAnsi="PT Astra Serif" w:cs="Times New Roman"/>
          <w:szCs w:val="28"/>
          <w:lang w:val="uk-UA" w:eastAsia="ar-SA"/>
        </w:rPr>
        <w:t>);</w:t>
      </w:r>
    </w:p>
    <w:p w14:paraId="0A2BC679" w14:textId="77777777" w:rsidR="00FE417F" w:rsidRPr="00FE417F" w:rsidRDefault="00FE417F" w:rsidP="00FE417F">
      <w:pPr>
        <w:widowControl w:val="0"/>
        <w:autoSpaceDE w:val="0"/>
        <w:autoSpaceDN w:val="0"/>
        <w:adjustRightInd w:val="0"/>
        <w:contextualSpacing/>
        <w:rPr>
          <w:rFonts w:ascii="PT Astra Serif" w:eastAsia="Calibri" w:hAnsi="PT Astra Serif" w:cs="Times New Roman"/>
          <w:szCs w:val="28"/>
          <w:lang w:val="uk-UA" w:eastAsia="ar-SA"/>
        </w:rPr>
      </w:pPr>
      <w:r w:rsidRPr="00FE417F">
        <w:rPr>
          <w:rFonts w:ascii="PT Astra Serif" w:eastAsia="Calibri" w:hAnsi="PT Astra Serif" w:cs="Times New Roman"/>
          <w:szCs w:val="28"/>
          <w:lang w:eastAsia="ar-SA"/>
        </w:rPr>
        <w:t xml:space="preserve">2. </w:t>
      </w:r>
      <w:r w:rsidRPr="00FE417F">
        <w:rPr>
          <w:rFonts w:ascii="PT Astra Serif" w:eastAsia="Calibri" w:hAnsi="PT Astra Serif" w:cs="Times New Roman"/>
          <w:szCs w:val="28"/>
          <w:lang w:val="uk-UA" w:eastAsia="ar-SA"/>
        </w:rPr>
        <w:t>«</w:t>
      </w:r>
      <w:proofErr w:type="spellStart"/>
      <w:r w:rsidRPr="00FE417F">
        <w:rPr>
          <w:rFonts w:ascii="PT Astra Serif" w:eastAsia="Calibri" w:hAnsi="PT Astra Serif" w:cs="Times New Roman"/>
          <w:b/>
          <w:bCs/>
          <w:szCs w:val="28"/>
          <w:lang w:val="uk-UA" w:eastAsia="ar-SA"/>
        </w:rPr>
        <w:t>Жилище</w:t>
      </w:r>
      <w:proofErr w:type="spellEnd"/>
      <w:r w:rsidRPr="00FE417F">
        <w:rPr>
          <w:rFonts w:ascii="PT Astra Serif" w:eastAsia="Calibri" w:hAnsi="PT Astra Serif" w:cs="Times New Roman"/>
          <w:szCs w:val="28"/>
          <w:lang w:val="uk-UA" w:eastAsia="ar-SA"/>
        </w:rPr>
        <w:t>» (15,4%; 1</w:t>
      </w:r>
      <w:r w:rsidRPr="00FE417F">
        <w:rPr>
          <w:rFonts w:ascii="PT Astra Serif" w:eastAsia="Calibri" w:hAnsi="PT Astra Serif" w:cs="Times New Roman"/>
          <w:szCs w:val="28"/>
          <w:lang w:eastAsia="ar-SA"/>
        </w:rPr>
        <w:t> </w:t>
      </w:r>
      <w:r w:rsidRPr="00FE417F">
        <w:rPr>
          <w:rFonts w:ascii="PT Astra Serif" w:eastAsia="Calibri" w:hAnsi="PT Astra Serif" w:cs="Times New Roman"/>
          <w:szCs w:val="28"/>
          <w:lang w:val="uk-UA" w:eastAsia="ar-SA"/>
        </w:rPr>
        <w:t xml:space="preserve">676 </w:t>
      </w:r>
      <w:proofErr w:type="spellStart"/>
      <w:r w:rsidRPr="00FE417F">
        <w:rPr>
          <w:rFonts w:ascii="PT Astra Serif" w:eastAsia="Calibri" w:hAnsi="PT Astra Serif" w:cs="Times New Roman"/>
          <w:szCs w:val="28"/>
          <w:lang w:val="uk-UA" w:eastAsia="ar-SA"/>
        </w:rPr>
        <w:t>вопросов</w:t>
      </w:r>
      <w:proofErr w:type="spellEnd"/>
      <w:r w:rsidRPr="00FE417F">
        <w:rPr>
          <w:rFonts w:ascii="PT Astra Serif" w:eastAsia="Calibri" w:hAnsi="PT Astra Serif" w:cs="Times New Roman"/>
          <w:szCs w:val="28"/>
          <w:lang w:val="uk-UA" w:eastAsia="ar-SA"/>
        </w:rPr>
        <w:t>);</w:t>
      </w:r>
    </w:p>
    <w:p w14:paraId="4C69BD37" w14:textId="77777777" w:rsidR="00FE417F" w:rsidRPr="00FE417F" w:rsidRDefault="00FE417F" w:rsidP="00FE417F">
      <w:pPr>
        <w:widowControl w:val="0"/>
        <w:autoSpaceDE w:val="0"/>
        <w:autoSpaceDN w:val="0"/>
        <w:adjustRightInd w:val="0"/>
        <w:contextualSpacing/>
        <w:rPr>
          <w:rFonts w:ascii="PT Astra Serif" w:eastAsia="Calibri" w:hAnsi="PT Astra Serif" w:cs="Times New Roman"/>
          <w:szCs w:val="28"/>
          <w:lang w:val="uk-UA" w:eastAsia="ar-SA"/>
        </w:rPr>
      </w:pPr>
      <w:r w:rsidRPr="00FE417F">
        <w:rPr>
          <w:rFonts w:ascii="PT Astra Serif" w:eastAsia="Calibri" w:hAnsi="PT Astra Serif" w:cs="Times New Roman"/>
          <w:szCs w:val="28"/>
          <w:lang w:eastAsia="ar-SA"/>
        </w:rPr>
        <w:t xml:space="preserve">3. </w:t>
      </w:r>
      <w:r w:rsidRPr="00FE417F">
        <w:rPr>
          <w:rFonts w:ascii="PT Astra Serif" w:eastAsia="Calibri" w:hAnsi="PT Astra Serif" w:cs="Times New Roman"/>
          <w:szCs w:val="28"/>
          <w:lang w:val="uk-UA" w:eastAsia="ar-SA"/>
        </w:rPr>
        <w:t>«</w:t>
      </w:r>
      <w:proofErr w:type="spellStart"/>
      <w:r w:rsidRPr="00FE417F">
        <w:rPr>
          <w:rFonts w:ascii="PT Astra Serif" w:eastAsia="Calibri" w:hAnsi="PT Astra Serif" w:cs="Times New Roman"/>
          <w:b/>
          <w:bCs/>
          <w:szCs w:val="28"/>
          <w:lang w:val="uk-UA" w:eastAsia="ar-SA"/>
        </w:rPr>
        <w:t>Социальное</w:t>
      </w:r>
      <w:proofErr w:type="spellEnd"/>
      <w:r w:rsidRPr="00FE417F">
        <w:rPr>
          <w:rFonts w:ascii="PT Astra Serif" w:eastAsia="Calibri" w:hAnsi="PT Astra Serif" w:cs="Times New Roman"/>
          <w:b/>
          <w:bCs/>
          <w:szCs w:val="28"/>
          <w:lang w:val="uk-UA" w:eastAsia="ar-SA"/>
        </w:rPr>
        <w:t xml:space="preserve"> </w:t>
      </w:r>
      <w:proofErr w:type="spellStart"/>
      <w:r w:rsidRPr="00FE417F">
        <w:rPr>
          <w:rFonts w:ascii="PT Astra Serif" w:eastAsia="Calibri" w:hAnsi="PT Astra Serif" w:cs="Times New Roman"/>
          <w:b/>
          <w:bCs/>
          <w:szCs w:val="28"/>
          <w:lang w:val="uk-UA" w:eastAsia="ar-SA"/>
        </w:rPr>
        <w:t>обеспечение</w:t>
      </w:r>
      <w:proofErr w:type="spellEnd"/>
      <w:r w:rsidRPr="00FE417F">
        <w:rPr>
          <w:rFonts w:ascii="PT Astra Serif" w:eastAsia="Calibri" w:hAnsi="PT Astra Serif" w:cs="Times New Roman"/>
          <w:szCs w:val="28"/>
          <w:lang w:val="uk-UA" w:eastAsia="ar-SA"/>
        </w:rPr>
        <w:t xml:space="preserve"> </w:t>
      </w:r>
      <w:r w:rsidRPr="00FE417F">
        <w:rPr>
          <w:rFonts w:ascii="PT Astra Serif" w:eastAsia="Calibri" w:hAnsi="PT Astra Serif" w:cs="Times New Roman"/>
          <w:b/>
          <w:bCs/>
          <w:szCs w:val="28"/>
          <w:lang w:val="uk-UA" w:eastAsia="ar-SA"/>
        </w:rPr>
        <w:t xml:space="preserve">и </w:t>
      </w:r>
      <w:proofErr w:type="spellStart"/>
      <w:r w:rsidRPr="00FE417F">
        <w:rPr>
          <w:rFonts w:ascii="PT Astra Serif" w:eastAsia="Calibri" w:hAnsi="PT Astra Serif" w:cs="Times New Roman"/>
          <w:b/>
          <w:bCs/>
          <w:szCs w:val="28"/>
          <w:lang w:val="uk-UA" w:eastAsia="ar-SA"/>
        </w:rPr>
        <w:t>социальное</w:t>
      </w:r>
      <w:proofErr w:type="spellEnd"/>
      <w:r w:rsidRPr="00FE417F">
        <w:rPr>
          <w:rFonts w:ascii="PT Astra Serif" w:eastAsia="Calibri" w:hAnsi="PT Astra Serif" w:cs="Times New Roman"/>
          <w:b/>
          <w:bCs/>
          <w:szCs w:val="28"/>
          <w:lang w:val="uk-UA" w:eastAsia="ar-SA"/>
        </w:rPr>
        <w:t xml:space="preserve"> </w:t>
      </w:r>
      <w:proofErr w:type="spellStart"/>
      <w:r w:rsidRPr="00FE417F">
        <w:rPr>
          <w:rFonts w:ascii="PT Astra Serif" w:eastAsia="Calibri" w:hAnsi="PT Astra Serif" w:cs="Times New Roman"/>
          <w:b/>
          <w:bCs/>
          <w:szCs w:val="28"/>
          <w:lang w:val="uk-UA" w:eastAsia="ar-SA"/>
        </w:rPr>
        <w:t>страхование</w:t>
      </w:r>
      <w:proofErr w:type="spellEnd"/>
      <w:r w:rsidRPr="00FE417F">
        <w:rPr>
          <w:rFonts w:ascii="PT Astra Serif" w:eastAsia="Calibri" w:hAnsi="PT Astra Serif" w:cs="Times New Roman"/>
          <w:b/>
          <w:bCs/>
          <w:szCs w:val="28"/>
          <w:lang w:val="uk-UA" w:eastAsia="ar-SA"/>
        </w:rPr>
        <w:t>»</w:t>
      </w:r>
      <w:r w:rsidRPr="00FE417F">
        <w:rPr>
          <w:rFonts w:ascii="PT Astra Serif" w:eastAsia="Calibri" w:hAnsi="PT Astra Serif" w:cs="Times New Roman"/>
          <w:szCs w:val="28"/>
          <w:lang w:val="uk-UA" w:eastAsia="ar-SA"/>
        </w:rPr>
        <w:t xml:space="preserve"> (12,6%; 1</w:t>
      </w:r>
      <w:r w:rsidRPr="00FE417F">
        <w:rPr>
          <w:rFonts w:ascii="PT Astra Serif" w:eastAsia="Calibri" w:hAnsi="PT Astra Serif" w:cs="Times New Roman"/>
          <w:szCs w:val="28"/>
          <w:lang w:eastAsia="ar-SA"/>
        </w:rPr>
        <w:t> </w:t>
      </w:r>
      <w:r w:rsidRPr="00FE417F">
        <w:rPr>
          <w:rFonts w:ascii="PT Astra Serif" w:eastAsia="Calibri" w:hAnsi="PT Astra Serif" w:cs="Times New Roman"/>
          <w:szCs w:val="28"/>
          <w:lang w:val="uk-UA" w:eastAsia="ar-SA"/>
        </w:rPr>
        <w:t xml:space="preserve">375 </w:t>
      </w:r>
      <w:proofErr w:type="spellStart"/>
      <w:r w:rsidRPr="00FE417F">
        <w:rPr>
          <w:rFonts w:ascii="PT Astra Serif" w:eastAsia="Calibri" w:hAnsi="PT Astra Serif" w:cs="Times New Roman"/>
          <w:szCs w:val="28"/>
          <w:lang w:val="uk-UA" w:eastAsia="ar-SA"/>
        </w:rPr>
        <w:t>вопросов</w:t>
      </w:r>
      <w:proofErr w:type="spellEnd"/>
      <w:r w:rsidRPr="00FE417F">
        <w:rPr>
          <w:rFonts w:ascii="PT Astra Serif" w:eastAsia="Calibri" w:hAnsi="PT Astra Serif" w:cs="Times New Roman"/>
          <w:szCs w:val="28"/>
          <w:lang w:val="uk-UA" w:eastAsia="ar-SA"/>
        </w:rPr>
        <w:t>);</w:t>
      </w:r>
    </w:p>
    <w:p w14:paraId="0F8CB5BC" w14:textId="77777777" w:rsidR="00FE417F" w:rsidRPr="00FE417F" w:rsidRDefault="00FE417F" w:rsidP="00FE417F">
      <w:pPr>
        <w:widowControl w:val="0"/>
        <w:autoSpaceDE w:val="0"/>
        <w:autoSpaceDN w:val="0"/>
        <w:adjustRightInd w:val="0"/>
        <w:contextualSpacing/>
        <w:rPr>
          <w:rFonts w:ascii="PT Astra Serif" w:eastAsia="Calibri" w:hAnsi="PT Astra Serif" w:cs="Times New Roman"/>
          <w:szCs w:val="28"/>
          <w:lang w:val="uk-UA" w:eastAsia="ar-SA"/>
        </w:rPr>
      </w:pPr>
      <w:r w:rsidRPr="00FE417F">
        <w:rPr>
          <w:rFonts w:ascii="PT Astra Serif" w:eastAsia="Calibri" w:hAnsi="PT Astra Serif" w:cs="Times New Roman"/>
          <w:szCs w:val="28"/>
          <w:lang w:eastAsia="ar-SA"/>
        </w:rPr>
        <w:t xml:space="preserve">4. </w:t>
      </w:r>
      <w:r w:rsidRPr="00FE417F">
        <w:rPr>
          <w:rFonts w:ascii="PT Astra Serif" w:eastAsia="Calibri" w:hAnsi="PT Astra Serif" w:cs="Times New Roman"/>
          <w:szCs w:val="28"/>
          <w:lang w:val="uk-UA" w:eastAsia="ar-SA"/>
        </w:rPr>
        <w:t>«</w:t>
      </w:r>
      <w:proofErr w:type="spellStart"/>
      <w:r w:rsidRPr="00FE417F">
        <w:rPr>
          <w:rFonts w:ascii="PT Astra Serif" w:eastAsia="Calibri" w:hAnsi="PT Astra Serif" w:cs="Times New Roman"/>
          <w:b/>
          <w:bCs/>
          <w:szCs w:val="28"/>
          <w:lang w:val="uk-UA" w:eastAsia="ar-SA"/>
        </w:rPr>
        <w:t>Здравоохранение</w:t>
      </w:r>
      <w:proofErr w:type="spellEnd"/>
      <w:r w:rsidRPr="00FE417F">
        <w:rPr>
          <w:rFonts w:ascii="PT Astra Serif" w:eastAsia="Calibri" w:hAnsi="PT Astra Serif" w:cs="Times New Roman"/>
          <w:szCs w:val="28"/>
          <w:lang w:val="uk-UA" w:eastAsia="ar-SA"/>
        </w:rPr>
        <w:t xml:space="preserve">. </w:t>
      </w:r>
      <w:proofErr w:type="spellStart"/>
      <w:r w:rsidRPr="00FE417F">
        <w:rPr>
          <w:rFonts w:ascii="PT Astra Serif" w:eastAsia="Calibri" w:hAnsi="PT Astra Serif" w:cs="Times New Roman"/>
          <w:b/>
          <w:bCs/>
          <w:szCs w:val="28"/>
          <w:lang w:val="uk-UA" w:eastAsia="ar-SA"/>
        </w:rPr>
        <w:t>Физическая</w:t>
      </w:r>
      <w:proofErr w:type="spellEnd"/>
      <w:r w:rsidRPr="00FE417F">
        <w:rPr>
          <w:rFonts w:ascii="PT Astra Serif" w:eastAsia="Calibri" w:hAnsi="PT Astra Serif" w:cs="Times New Roman"/>
          <w:b/>
          <w:bCs/>
          <w:szCs w:val="28"/>
          <w:lang w:val="uk-UA" w:eastAsia="ar-SA"/>
        </w:rPr>
        <w:t xml:space="preserve"> культура и спорт. Туризм»</w:t>
      </w:r>
      <w:r w:rsidRPr="00FE417F">
        <w:rPr>
          <w:rFonts w:ascii="PT Astra Serif" w:eastAsia="Calibri" w:hAnsi="PT Astra Serif" w:cs="Times New Roman"/>
          <w:szCs w:val="28"/>
          <w:lang w:eastAsia="ar-SA"/>
        </w:rPr>
        <w:t xml:space="preserve"> </w:t>
      </w:r>
      <w:r w:rsidRPr="00FE417F">
        <w:rPr>
          <w:rFonts w:ascii="PT Astra Serif" w:eastAsia="Calibri" w:hAnsi="PT Astra Serif" w:cs="Times New Roman"/>
          <w:szCs w:val="28"/>
          <w:lang w:val="uk-UA" w:eastAsia="ar-SA"/>
        </w:rPr>
        <w:t>(9,7%; 1</w:t>
      </w:r>
      <w:r w:rsidRPr="00FE417F">
        <w:rPr>
          <w:rFonts w:ascii="PT Astra Serif" w:eastAsia="Calibri" w:hAnsi="PT Astra Serif" w:cs="Times New Roman"/>
          <w:szCs w:val="28"/>
          <w:lang w:eastAsia="ar-SA"/>
        </w:rPr>
        <w:t xml:space="preserve"> </w:t>
      </w:r>
      <w:r w:rsidRPr="00FE417F">
        <w:rPr>
          <w:rFonts w:ascii="PT Astra Serif" w:eastAsia="Calibri" w:hAnsi="PT Astra Serif" w:cs="Times New Roman"/>
          <w:szCs w:val="28"/>
          <w:lang w:val="uk-UA" w:eastAsia="ar-SA"/>
        </w:rPr>
        <w:t xml:space="preserve">056 </w:t>
      </w:r>
      <w:proofErr w:type="spellStart"/>
      <w:r w:rsidRPr="00FE417F">
        <w:rPr>
          <w:rFonts w:ascii="PT Astra Serif" w:eastAsia="Calibri" w:hAnsi="PT Astra Serif" w:cs="Times New Roman"/>
          <w:szCs w:val="28"/>
          <w:lang w:val="uk-UA" w:eastAsia="ar-SA"/>
        </w:rPr>
        <w:t>вопросов</w:t>
      </w:r>
      <w:proofErr w:type="spellEnd"/>
      <w:r w:rsidRPr="00FE417F">
        <w:rPr>
          <w:rFonts w:ascii="PT Astra Serif" w:eastAsia="Calibri" w:hAnsi="PT Astra Serif" w:cs="Times New Roman"/>
          <w:szCs w:val="28"/>
          <w:lang w:eastAsia="ar-SA"/>
        </w:rPr>
        <w:t>)</w:t>
      </w:r>
      <w:r w:rsidRPr="00FE417F">
        <w:rPr>
          <w:rFonts w:ascii="PT Astra Serif" w:eastAsia="Calibri" w:hAnsi="PT Astra Serif" w:cs="Times New Roman"/>
          <w:szCs w:val="28"/>
          <w:lang w:val="uk-UA" w:eastAsia="ar-SA"/>
        </w:rPr>
        <w:t>.</w:t>
      </w:r>
    </w:p>
    <w:p w14:paraId="24249D1A" w14:textId="77777777" w:rsidR="00FE417F" w:rsidRPr="00FE417F" w:rsidRDefault="00FE417F" w:rsidP="00FE417F">
      <w:pPr>
        <w:widowControl w:val="0"/>
        <w:autoSpaceDE w:val="0"/>
        <w:autoSpaceDN w:val="0"/>
        <w:adjustRightInd w:val="0"/>
        <w:contextualSpacing/>
        <w:rPr>
          <w:rFonts w:ascii="PT Astra Serif" w:eastAsia="Calibri" w:hAnsi="PT Astra Serif" w:cs="Times New Roman"/>
          <w:szCs w:val="28"/>
          <w:lang w:val="uk-UA" w:eastAsia="ar-SA"/>
        </w:rPr>
      </w:pPr>
      <w:r w:rsidRPr="00FE417F">
        <w:rPr>
          <w:rFonts w:ascii="PT Astra Serif" w:eastAsia="Calibri" w:hAnsi="PT Astra Serif" w:cs="Times New Roman"/>
          <w:szCs w:val="28"/>
          <w:lang w:eastAsia="ar-SA"/>
        </w:rPr>
        <w:t xml:space="preserve">5. </w:t>
      </w:r>
      <w:r w:rsidRPr="00FE417F">
        <w:rPr>
          <w:rFonts w:ascii="PT Astra Serif" w:eastAsia="Calibri" w:hAnsi="PT Astra Serif" w:cs="Times New Roman"/>
          <w:szCs w:val="28"/>
          <w:lang w:val="uk-UA" w:eastAsia="ar-SA"/>
        </w:rPr>
        <w:t>«</w:t>
      </w:r>
      <w:proofErr w:type="spellStart"/>
      <w:r w:rsidRPr="00FE417F">
        <w:rPr>
          <w:rFonts w:ascii="PT Astra Serif" w:eastAsia="Calibri" w:hAnsi="PT Astra Serif" w:cs="Times New Roman"/>
          <w:b/>
          <w:bCs/>
          <w:szCs w:val="28"/>
          <w:lang w:val="uk-UA" w:eastAsia="ar-SA"/>
        </w:rPr>
        <w:t>Основы</w:t>
      </w:r>
      <w:proofErr w:type="spellEnd"/>
      <w:r w:rsidRPr="00FE417F">
        <w:rPr>
          <w:rFonts w:ascii="PT Astra Serif" w:eastAsia="Calibri" w:hAnsi="PT Astra Serif" w:cs="Times New Roman"/>
          <w:szCs w:val="28"/>
          <w:lang w:val="uk-UA" w:eastAsia="ar-SA"/>
        </w:rPr>
        <w:t xml:space="preserve"> </w:t>
      </w:r>
      <w:proofErr w:type="spellStart"/>
      <w:r w:rsidRPr="00FE417F">
        <w:rPr>
          <w:rFonts w:ascii="PT Astra Serif" w:eastAsia="Calibri" w:hAnsi="PT Astra Serif" w:cs="Times New Roman"/>
          <w:b/>
          <w:bCs/>
          <w:szCs w:val="28"/>
          <w:lang w:val="uk-UA" w:eastAsia="ar-SA"/>
        </w:rPr>
        <w:t>государственного</w:t>
      </w:r>
      <w:proofErr w:type="spellEnd"/>
      <w:r w:rsidRPr="00FE417F">
        <w:rPr>
          <w:rFonts w:ascii="PT Astra Serif" w:eastAsia="Calibri" w:hAnsi="PT Astra Serif" w:cs="Times New Roman"/>
          <w:b/>
          <w:bCs/>
          <w:szCs w:val="28"/>
          <w:lang w:val="uk-UA" w:eastAsia="ar-SA"/>
        </w:rPr>
        <w:t xml:space="preserve"> </w:t>
      </w:r>
      <w:proofErr w:type="spellStart"/>
      <w:r w:rsidRPr="00FE417F">
        <w:rPr>
          <w:rFonts w:ascii="PT Astra Serif" w:eastAsia="Calibri" w:hAnsi="PT Astra Serif" w:cs="Times New Roman"/>
          <w:b/>
          <w:bCs/>
          <w:szCs w:val="28"/>
          <w:lang w:val="uk-UA" w:eastAsia="ar-SA"/>
        </w:rPr>
        <w:t>управления</w:t>
      </w:r>
      <w:proofErr w:type="spellEnd"/>
      <w:r w:rsidRPr="00FE417F">
        <w:rPr>
          <w:rFonts w:ascii="PT Astra Serif" w:eastAsia="Calibri" w:hAnsi="PT Astra Serif" w:cs="Times New Roman"/>
          <w:szCs w:val="28"/>
          <w:lang w:val="uk-UA" w:eastAsia="ar-SA"/>
        </w:rPr>
        <w:t>» (9,5%; 1</w:t>
      </w:r>
      <w:r w:rsidRPr="00FE417F">
        <w:rPr>
          <w:rFonts w:ascii="PT Astra Serif" w:eastAsia="Calibri" w:hAnsi="PT Astra Serif" w:cs="Times New Roman"/>
          <w:szCs w:val="28"/>
          <w:lang w:eastAsia="ar-SA"/>
        </w:rPr>
        <w:t> </w:t>
      </w:r>
      <w:r w:rsidRPr="00FE417F">
        <w:rPr>
          <w:rFonts w:ascii="PT Astra Serif" w:eastAsia="Calibri" w:hAnsi="PT Astra Serif" w:cs="Times New Roman"/>
          <w:szCs w:val="28"/>
          <w:lang w:val="uk-UA" w:eastAsia="ar-SA"/>
        </w:rPr>
        <w:t xml:space="preserve">034 </w:t>
      </w:r>
      <w:proofErr w:type="spellStart"/>
      <w:r w:rsidRPr="00FE417F">
        <w:rPr>
          <w:rFonts w:ascii="PT Astra Serif" w:eastAsia="Calibri" w:hAnsi="PT Astra Serif" w:cs="Times New Roman"/>
          <w:szCs w:val="28"/>
          <w:lang w:val="uk-UA" w:eastAsia="ar-SA"/>
        </w:rPr>
        <w:t>вопроса</w:t>
      </w:r>
      <w:proofErr w:type="spellEnd"/>
      <w:r w:rsidRPr="00FE417F">
        <w:rPr>
          <w:rFonts w:ascii="PT Astra Serif" w:eastAsia="Calibri" w:hAnsi="PT Astra Serif" w:cs="Times New Roman"/>
          <w:szCs w:val="28"/>
          <w:lang w:val="uk-UA" w:eastAsia="ar-SA"/>
        </w:rPr>
        <w:t xml:space="preserve">). </w:t>
      </w:r>
    </w:p>
    <w:p w14:paraId="2BABC3F1"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szCs w:val="28"/>
          <w:lang w:eastAsia="ar-SA"/>
        </w:rPr>
        <w:t xml:space="preserve">Лидирующий блок </w:t>
      </w:r>
      <w:r w:rsidRPr="00FE417F">
        <w:rPr>
          <w:rFonts w:ascii="PT Astra Serif" w:eastAsia="Times New Roman" w:hAnsi="PT Astra Serif" w:cs="Times New Roman"/>
          <w:b/>
          <w:szCs w:val="28"/>
          <w:lang w:eastAsia="ar-SA"/>
        </w:rPr>
        <w:t xml:space="preserve">«Хозяйственная деятельность» </w:t>
      </w:r>
      <w:r w:rsidRPr="00FE417F">
        <w:rPr>
          <w:rFonts w:ascii="PT Astra Serif" w:eastAsia="Times New Roman" w:hAnsi="PT Astra Serif" w:cs="Times New Roman"/>
          <w:szCs w:val="28"/>
          <w:lang w:eastAsia="ar-SA"/>
        </w:rPr>
        <w:t>отразил свои приоритеты в разрезе муниципальных образований Ульяновской области следующим образом:</w:t>
      </w:r>
    </w:p>
    <w:p w14:paraId="7788B1B0"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b/>
          <w:szCs w:val="28"/>
          <w:lang w:eastAsia="ar-SA"/>
        </w:rPr>
      </w:pPr>
      <w:r w:rsidRPr="00FE417F">
        <w:rPr>
          <w:rFonts w:ascii="PT Astra Serif" w:eastAsia="Times New Roman" w:hAnsi="PT Astra Serif" w:cs="Times New Roman"/>
          <w:b/>
          <w:szCs w:val="28"/>
          <w:lang w:eastAsia="ar-SA"/>
        </w:rPr>
        <w:t xml:space="preserve">транспортное обслуживание населения </w:t>
      </w:r>
      <w:r w:rsidRPr="00FE417F">
        <w:rPr>
          <w:rFonts w:ascii="PT Astra Serif" w:eastAsia="Times New Roman" w:hAnsi="PT Astra Serif" w:cs="Times New Roman"/>
          <w:bCs/>
          <w:szCs w:val="28"/>
          <w:lang w:eastAsia="ar-SA"/>
        </w:rPr>
        <w:t xml:space="preserve">(2%; 216 вопросов; общее число таких вопросов </w:t>
      </w:r>
      <w:r w:rsidRPr="00FE417F">
        <w:rPr>
          <w:rFonts w:ascii="PT Astra Serif" w:eastAsia="Times New Roman" w:hAnsi="PT Astra Serif" w:cs="Times New Roman"/>
          <w:b/>
          <w:szCs w:val="28"/>
          <w:lang w:eastAsia="ar-SA"/>
        </w:rPr>
        <w:t>уменьшилось на 20%</w:t>
      </w:r>
      <w:r w:rsidRPr="00FE417F">
        <w:rPr>
          <w:rFonts w:ascii="PT Astra Serif" w:eastAsia="Times New Roman" w:hAnsi="PT Astra Serif" w:cs="Times New Roman"/>
          <w:bCs/>
          <w:szCs w:val="28"/>
          <w:lang w:eastAsia="ar-SA"/>
        </w:rPr>
        <w:t xml:space="preserve"> по сравнению с 2024 годом (271); (города Ульяновск, Димитровград, а также Карсунский, Мелекесский, </w:t>
      </w:r>
      <w:r w:rsidRPr="00FE417F">
        <w:rPr>
          <w:rFonts w:ascii="PT Astra Serif" w:eastAsia="Times New Roman" w:hAnsi="PT Astra Serif" w:cs="Times New Roman"/>
          <w:bCs/>
          <w:szCs w:val="28"/>
          <w:lang w:eastAsia="ar-SA"/>
        </w:rPr>
        <w:lastRenderedPageBreak/>
        <w:t>Новоспасский, Тереньгульский, Чердаклинский районы);</w:t>
      </w:r>
    </w:p>
    <w:p w14:paraId="5215B588"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szCs w:val="28"/>
          <w:lang w:eastAsia="ar-SA"/>
        </w:rPr>
        <w:t xml:space="preserve">комплексное благоустройство </w:t>
      </w:r>
      <w:r w:rsidRPr="00FE417F">
        <w:rPr>
          <w:rFonts w:ascii="PT Astra Serif" w:eastAsia="Times New Roman" w:hAnsi="PT Astra Serif" w:cs="Times New Roman"/>
          <w:szCs w:val="28"/>
          <w:lang w:eastAsia="ar-SA"/>
        </w:rPr>
        <w:t xml:space="preserve">(2%; 212 вопросов, общее число которых </w:t>
      </w:r>
      <w:r w:rsidRPr="00FE417F">
        <w:rPr>
          <w:rFonts w:ascii="PT Astra Serif" w:eastAsia="Times New Roman" w:hAnsi="PT Astra Serif" w:cs="Times New Roman"/>
          <w:b/>
          <w:bCs/>
          <w:szCs w:val="28"/>
          <w:lang w:eastAsia="ar-SA"/>
        </w:rPr>
        <w:t>уменьшилось на 34%</w:t>
      </w:r>
      <w:r w:rsidRPr="00FE417F">
        <w:rPr>
          <w:rFonts w:ascii="PT Astra Serif" w:eastAsia="Times New Roman" w:hAnsi="PT Astra Serif" w:cs="Times New Roman"/>
          <w:szCs w:val="28"/>
          <w:lang w:eastAsia="ar-SA"/>
        </w:rPr>
        <w:t xml:space="preserve"> сравнительно с 2024 годом (322); (города Димитровград, Ульяновск, а также Радищевский, Тереньгульский, Ульяновский, Цильнинский Чердаклинский районы);</w:t>
      </w:r>
    </w:p>
    <w:p w14:paraId="25E20158" w14:textId="2873BE0B" w:rsid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 xml:space="preserve">благоустройство и ремонт подъездных дорог, в том числе тротуаров </w:t>
      </w:r>
      <w:r w:rsidRPr="00FE417F">
        <w:rPr>
          <w:rFonts w:ascii="PT Astra Serif" w:eastAsia="Times New Roman" w:hAnsi="PT Astra Serif" w:cs="Times New Roman"/>
          <w:szCs w:val="28"/>
          <w:lang w:eastAsia="ar-SA"/>
        </w:rPr>
        <w:t xml:space="preserve">(2,5%; 161 вопрос, общее количество которых </w:t>
      </w:r>
      <w:r w:rsidRPr="00FE417F">
        <w:rPr>
          <w:rFonts w:ascii="PT Astra Serif" w:eastAsia="Times New Roman" w:hAnsi="PT Astra Serif" w:cs="Times New Roman"/>
          <w:b/>
          <w:bCs/>
          <w:szCs w:val="28"/>
          <w:lang w:eastAsia="ar-SA"/>
        </w:rPr>
        <w:t>уменьшилось на 48%</w:t>
      </w:r>
      <w:r w:rsidRPr="00FE417F">
        <w:rPr>
          <w:rFonts w:ascii="PT Astra Serif" w:eastAsia="Times New Roman" w:hAnsi="PT Astra Serif" w:cs="Times New Roman"/>
          <w:szCs w:val="28"/>
          <w:lang w:eastAsia="ar-SA"/>
        </w:rPr>
        <w:t xml:space="preserve"> по сравнению с 2024 годом (309); (города Димитровград, а также Карсунский, Мелекесский районы).</w:t>
      </w:r>
    </w:p>
    <w:p w14:paraId="7B4E750C"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 w:val="20"/>
          <w:szCs w:val="20"/>
          <w:lang w:eastAsia="ar-SA"/>
        </w:rPr>
      </w:pPr>
    </w:p>
    <w:p w14:paraId="6A5A45C3" w14:textId="77777777" w:rsidR="00FE417F" w:rsidRPr="00FE417F" w:rsidRDefault="00FE417F" w:rsidP="00FE417F">
      <w:pPr>
        <w:widowControl w:val="0"/>
        <w:autoSpaceDE w:val="0"/>
        <w:autoSpaceDN w:val="0"/>
        <w:adjustRightInd w:val="0"/>
        <w:spacing w:after="200" w:line="276" w:lineRule="auto"/>
        <w:ind w:firstLine="0"/>
        <w:jc w:val="center"/>
        <w:rPr>
          <w:rFonts w:ascii="PT Astra Serif" w:eastAsia="Calibri" w:hAnsi="PT Astra Serif" w:cs="Times New Roman"/>
          <w:b/>
          <w:sz w:val="20"/>
          <w:szCs w:val="20"/>
          <w:lang w:eastAsia="ar-SA"/>
        </w:rPr>
      </w:pPr>
      <w:proofErr w:type="spellStart"/>
      <w:r w:rsidRPr="00FE417F">
        <w:rPr>
          <w:rFonts w:ascii="PT Astra Serif" w:eastAsia="Calibri" w:hAnsi="PT Astra Serif" w:cs="Times New Roman"/>
          <w:b/>
          <w:sz w:val="20"/>
          <w:szCs w:val="20"/>
          <w:lang w:val="uk-UA" w:eastAsia="ar-SA"/>
        </w:rPr>
        <w:t>Соотношение</w:t>
      </w:r>
      <w:proofErr w:type="spellEnd"/>
      <w:r w:rsidRPr="00FE417F">
        <w:rPr>
          <w:rFonts w:ascii="PT Astra Serif" w:eastAsia="Calibri" w:hAnsi="PT Astra Serif" w:cs="Times New Roman"/>
          <w:b/>
          <w:sz w:val="20"/>
          <w:szCs w:val="20"/>
          <w:lang w:val="uk-UA" w:eastAsia="ar-SA"/>
        </w:rPr>
        <w:t xml:space="preserve"> </w:t>
      </w:r>
      <w:proofErr w:type="spellStart"/>
      <w:r w:rsidRPr="00FE417F">
        <w:rPr>
          <w:rFonts w:ascii="PT Astra Serif" w:eastAsia="Calibri" w:hAnsi="PT Astra Serif" w:cs="Times New Roman"/>
          <w:b/>
          <w:sz w:val="20"/>
          <w:szCs w:val="20"/>
          <w:lang w:val="uk-UA" w:eastAsia="ar-SA"/>
        </w:rPr>
        <w:t>тематических</w:t>
      </w:r>
      <w:proofErr w:type="spellEnd"/>
      <w:r w:rsidRPr="00FE417F">
        <w:rPr>
          <w:rFonts w:ascii="PT Astra Serif" w:eastAsia="Calibri" w:hAnsi="PT Astra Serif" w:cs="Times New Roman"/>
          <w:b/>
          <w:sz w:val="20"/>
          <w:szCs w:val="20"/>
          <w:lang w:val="uk-UA" w:eastAsia="ar-SA"/>
        </w:rPr>
        <w:t xml:space="preserve"> </w:t>
      </w:r>
      <w:proofErr w:type="spellStart"/>
      <w:r w:rsidRPr="00FE417F">
        <w:rPr>
          <w:rFonts w:ascii="PT Astra Serif" w:eastAsia="Calibri" w:hAnsi="PT Astra Serif" w:cs="Times New Roman"/>
          <w:b/>
          <w:sz w:val="20"/>
          <w:szCs w:val="20"/>
          <w:lang w:val="uk-UA" w:eastAsia="ar-SA"/>
        </w:rPr>
        <w:t>приоритетов</w:t>
      </w:r>
      <w:proofErr w:type="spellEnd"/>
      <w:r w:rsidRPr="00FE417F">
        <w:rPr>
          <w:rFonts w:ascii="PT Astra Serif" w:eastAsia="Calibri" w:hAnsi="PT Astra Serif" w:cs="Times New Roman"/>
          <w:b/>
          <w:sz w:val="20"/>
          <w:szCs w:val="20"/>
          <w:lang w:val="uk-UA" w:eastAsia="ar-SA"/>
        </w:rPr>
        <w:t xml:space="preserve"> в </w:t>
      </w:r>
      <w:proofErr w:type="spellStart"/>
      <w:r w:rsidRPr="00FE417F">
        <w:rPr>
          <w:rFonts w:ascii="PT Astra Serif" w:eastAsia="Calibri" w:hAnsi="PT Astra Serif" w:cs="Times New Roman"/>
          <w:b/>
          <w:sz w:val="20"/>
          <w:szCs w:val="20"/>
          <w:lang w:val="uk-UA" w:eastAsia="ar-SA"/>
        </w:rPr>
        <w:t>обращениях</w:t>
      </w:r>
      <w:proofErr w:type="spellEnd"/>
      <w:r w:rsidRPr="00FE417F">
        <w:rPr>
          <w:rFonts w:ascii="PT Astra Serif" w:eastAsia="Calibri" w:hAnsi="PT Astra Serif" w:cs="Times New Roman"/>
          <w:b/>
          <w:sz w:val="20"/>
          <w:szCs w:val="20"/>
          <w:lang w:val="uk-UA" w:eastAsia="ar-SA"/>
        </w:rPr>
        <w:t xml:space="preserve">, </w:t>
      </w:r>
      <w:proofErr w:type="spellStart"/>
      <w:r w:rsidRPr="00FE417F">
        <w:rPr>
          <w:rFonts w:ascii="PT Astra Serif" w:eastAsia="Calibri" w:hAnsi="PT Astra Serif" w:cs="Times New Roman"/>
          <w:b/>
          <w:sz w:val="20"/>
          <w:szCs w:val="20"/>
          <w:lang w:val="uk-UA" w:eastAsia="ar-SA"/>
        </w:rPr>
        <w:t>направленных</w:t>
      </w:r>
      <w:proofErr w:type="spellEnd"/>
      <w:r w:rsidRPr="00FE417F">
        <w:rPr>
          <w:rFonts w:ascii="PT Astra Serif" w:eastAsia="Calibri" w:hAnsi="PT Astra Serif" w:cs="Times New Roman"/>
          <w:b/>
          <w:sz w:val="20"/>
          <w:szCs w:val="20"/>
          <w:lang w:val="uk-UA" w:eastAsia="ar-SA"/>
        </w:rPr>
        <w:t xml:space="preserve"> в </w:t>
      </w:r>
      <w:proofErr w:type="spellStart"/>
      <w:r w:rsidRPr="00FE417F">
        <w:rPr>
          <w:rFonts w:ascii="PT Astra Serif" w:eastAsia="Times New Roman" w:hAnsi="PT Astra Serif" w:cs="Times New Roman"/>
          <w:b/>
          <w:sz w:val="20"/>
          <w:szCs w:val="20"/>
          <w:lang w:val="uk-UA" w:eastAsia="ru-RU"/>
        </w:rPr>
        <w:t>Правительство</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Ульяновской</w:t>
      </w:r>
      <w:proofErr w:type="spellEnd"/>
      <w:r w:rsidRPr="00FE417F">
        <w:rPr>
          <w:rFonts w:ascii="PT Astra Serif" w:eastAsia="Times New Roman" w:hAnsi="PT Astra Serif" w:cs="Times New Roman"/>
          <w:b/>
          <w:sz w:val="20"/>
          <w:szCs w:val="20"/>
          <w:lang w:val="uk-UA" w:eastAsia="ru-RU"/>
        </w:rPr>
        <w:t xml:space="preserve"> </w:t>
      </w:r>
      <w:proofErr w:type="spellStart"/>
      <w:r w:rsidRPr="00FE417F">
        <w:rPr>
          <w:rFonts w:ascii="PT Astra Serif" w:eastAsia="Times New Roman" w:hAnsi="PT Astra Serif" w:cs="Times New Roman"/>
          <w:b/>
          <w:sz w:val="20"/>
          <w:szCs w:val="20"/>
          <w:lang w:val="uk-UA" w:eastAsia="ru-RU"/>
        </w:rPr>
        <w:t>области</w:t>
      </w:r>
      <w:proofErr w:type="spellEnd"/>
      <w:r w:rsidRPr="00FE417F">
        <w:rPr>
          <w:rFonts w:ascii="PT Astra Serif" w:eastAsia="Times New Roman" w:hAnsi="PT Astra Serif" w:cs="Times New Roman"/>
          <w:b/>
          <w:sz w:val="20"/>
          <w:szCs w:val="20"/>
          <w:lang w:val="uk-UA" w:eastAsia="ru-RU"/>
        </w:rPr>
        <w:t xml:space="preserve"> </w:t>
      </w:r>
      <w:r w:rsidRPr="00FE417F">
        <w:rPr>
          <w:rFonts w:ascii="PT Astra Serif" w:eastAsia="Calibri" w:hAnsi="PT Astra Serif" w:cs="Times New Roman"/>
          <w:b/>
          <w:sz w:val="20"/>
          <w:szCs w:val="20"/>
          <w:lang w:val="uk-UA" w:eastAsia="ar-SA"/>
        </w:rPr>
        <w:t>в 202</w:t>
      </w:r>
      <w:r w:rsidRPr="00FE417F">
        <w:rPr>
          <w:rFonts w:ascii="PT Astra Serif" w:eastAsia="Calibri" w:hAnsi="PT Astra Serif" w:cs="Times New Roman"/>
          <w:b/>
          <w:sz w:val="20"/>
          <w:szCs w:val="20"/>
          <w:lang w:eastAsia="ar-SA"/>
        </w:rPr>
        <w:t>5</w:t>
      </w:r>
      <w:r w:rsidRPr="00FE417F">
        <w:rPr>
          <w:rFonts w:ascii="PT Astra Serif" w:eastAsia="Calibri" w:hAnsi="PT Astra Serif" w:cs="Times New Roman"/>
          <w:b/>
          <w:sz w:val="20"/>
          <w:szCs w:val="20"/>
          <w:lang w:val="uk-UA" w:eastAsia="ar-SA"/>
        </w:rPr>
        <w:t xml:space="preserve"> году (в </w:t>
      </w:r>
      <w:proofErr w:type="spellStart"/>
      <w:r w:rsidRPr="00FE417F">
        <w:rPr>
          <w:rFonts w:ascii="PT Astra Serif" w:eastAsia="Calibri" w:hAnsi="PT Astra Serif" w:cs="Times New Roman"/>
          <w:b/>
          <w:sz w:val="20"/>
          <w:szCs w:val="20"/>
          <w:lang w:val="uk-UA" w:eastAsia="ar-SA"/>
        </w:rPr>
        <w:t>сравнени</w:t>
      </w:r>
      <w:proofErr w:type="spellEnd"/>
      <w:r w:rsidRPr="00FE417F">
        <w:rPr>
          <w:rFonts w:ascii="PT Astra Serif" w:eastAsia="Calibri" w:hAnsi="PT Astra Serif" w:cs="Times New Roman"/>
          <w:b/>
          <w:sz w:val="20"/>
          <w:szCs w:val="20"/>
          <w:lang w:eastAsia="ar-SA"/>
        </w:rPr>
        <w:t>и</w:t>
      </w:r>
      <w:r w:rsidRPr="00FE417F">
        <w:rPr>
          <w:rFonts w:ascii="PT Astra Serif" w:eastAsia="Calibri" w:hAnsi="PT Astra Serif" w:cs="Times New Roman"/>
          <w:b/>
          <w:sz w:val="20"/>
          <w:szCs w:val="20"/>
          <w:lang w:val="uk-UA" w:eastAsia="ar-SA"/>
        </w:rPr>
        <w:t xml:space="preserve"> с 202</w:t>
      </w:r>
      <w:r w:rsidRPr="00FE417F">
        <w:rPr>
          <w:rFonts w:ascii="PT Astra Serif" w:eastAsia="Calibri" w:hAnsi="PT Astra Serif" w:cs="Times New Roman"/>
          <w:b/>
          <w:sz w:val="20"/>
          <w:szCs w:val="20"/>
          <w:lang w:eastAsia="ar-SA"/>
        </w:rPr>
        <w:t>4</w:t>
      </w:r>
      <w:r w:rsidRPr="00FE417F">
        <w:rPr>
          <w:rFonts w:ascii="PT Astra Serif" w:eastAsia="Calibri" w:hAnsi="PT Astra Serif" w:cs="Times New Roman"/>
          <w:b/>
          <w:sz w:val="20"/>
          <w:szCs w:val="20"/>
          <w:lang w:val="uk-UA" w:eastAsia="ar-SA"/>
        </w:rPr>
        <w:t xml:space="preserve"> годом</w:t>
      </w:r>
      <w:r w:rsidRPr="00FE417F">
        <w:rPr>
          <w:rFonts w:ascii="PT Astra Serif" w:eastAsia="Calibri" w:hAnsi="PT Astra Serif" w:cs="Times New Roman"/>
          <w:b/>
          <w:sz w:val="20"/>
          <w:szCs w:val="20"/>
          <w:lang w:eastAsia="ar-SA"/>
        </w:rPr>
        <w:t>)</w:t>
      </w:r>
    </w:p>
    <w:p w14:paraId="24333DE8" w14:textId="77777777" w:rsidR="00FE417F" w:rsidRPr="00FE417F" w:rsidRDefault="00FE417F" w:rsidP="00FE417F">
      <w:pPr>
        <w:widowControl w:val="0"/>
        <w:shd w:val="clear" w:color="auto" w:fill="FFFFFF"/>
        <w:autoSpaceDE w:val="0"/>
        <w:autoSpaceDN w:val="0"/>
        <w:adjustRightInd w:val="0"/>
        <w:spacing w:line="244" w:lineRule="auto"/>
        <w:ind w:firstLine="0"/>
        <w:jc w:val="center"/>
        <w:rPr>
          <w:rFonts w:eastAsia="Times New Roman" w:cs="Times New Roman"/>
          <w:b/>
          <w:i/>
          <w:color w:val="2F5496"/>
          <w:szCs w:val="28"/>
          <w:highlight w:val="yellow"/>
          <w:lang w:eastAsia="ar-SA"/>
        </w:rPr>
      </w:pPr>
      <w:r w:rsidRPr="00FE417F">
        <w:rPr>
          <w:rFonts w:ascii="Calibri" w:eastAsia="Calibri" w:hAnsi="Calibri" w:cs="Times New Roman"/>
          <w:noProof/>
          <w:sz w:val="22"/>
          <w:lang w:eastAsia="ru-RU"/>
        </w:rPr>
        <w:drawing>
          <wp:inline distT="0" distB="0" distL="0" distR="0" wp14:anchorId="468BAC3A" wp14:editId="4D1F4698">
            <wp:extent cx="5916304" cy="2435860"/>
            <wp:effectExtent l="0" t="0" r="8255" b="2540"/>
            <wp:docPr id="947458948" name="Рисунок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CA59635" w14:textId="77777777" w:rsidR="00FE417F" w:rsidRPr="00C72F5D" w:rsidRDefault="00FE417F" w:rsidP="00FE417F">
      <w:pPr>
        <w:widowControl w:val="0"/>
        <w:autoSpaceDE w:val="0"/>
        <w:autoSpaceDN w:val="0"/>
        <w:adjustRightInd w:val="0"/>
        <w:spacing w:line="264" w:lineRule="auto"/>
        <w:rPr>
          <w:rFonts w:ascii="PT Astra Serif" w:eastAsia="Times New Roman" w:hAnsi="PT Astra Serif" w:cs="Times New Roman"/>
          <w:sz w:val="20"/>
          <w:szCs w:val="20"/>
          <w:lang w:eastAsia="ar-SA"/>
        </w:rPr>
      </w:pPr>
    </w:p>
    <w:p w14:paraId="5CDAAE9E" w14:textId="182488EC"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szCs w:val="28"/>
          <w:lang w:eastAsia="ar-SA"/>
        </w:rPr>
        <w:t xml:space="preserve">В обзорном периоде в тематическом разделе </w:t>
      </w:r>
      <w:r w:rsidRPr="00FE417F">
        <w:rPr>
          <w:rFonts w:ascii="PT Astra Serif" w:eastAsia="Times New Roman" w:hAnsi="PT Astra Serif" w:cs="Times New Roman"/>
          <w:b/>
          <w:szCs w:val="28"/>
          <w:lang w:eastAsia="ar-SA"/>
        </w:rPr>
        <w:t xml:space="preserve">«Жилище» </w:t>
      </w:r>
      <w:r w:rsidRPr="00FE417F">
        <w:rPr>
          <w:rFonts w:ascii="PT Astra Serif" w:eastAsia="Times New Roman" w:hAnsi="PT Astra Serif" w:cs="Times New Roman"/>
          <w:bCs/>
          <w:szCs w:val="28"/>
          <w:lang w:eastAsia="ar-SA"/>
        </w:rPr>
        <w:t>(</w:t>
      </w:r>
      <w:r w:rsidRPr="00FE417F">
        <w:rPr>
          <w:rFonts w:ascii="PT Astra Serif" w:eastAsia="Times New Roman" w:hAnsi="PT Astra Serif" w:cs="Times New Roman"/>
          <w:b/>
          <w:szCs w:val="28"/>
          <w:lang w:eastAsia="ar-SA"/>
        </w:rPr>
        <w:t>2-е место</w:t>
      </w:r>
      <w:r w:rsidRPr="00FE417F">
        <w:rPr>
          <w:rFonts w:ascii="PT Astra Serif" w:eastAsia="Times New Roman" w:hAnsi="PT Astra Serif" w:cs="Times New Roman"/>
          <w:bCs/>
          <w:szCs w:val="28"/>
          <w:lang w:eastAsia="ar-SA"/>
        </w:rPr>
        <w:t>)</w:t>
      </w:r>
      <w:r w:rsidRPr="00FE417F">
        <w:rPr>
          <w:rFonts w:ascii="PT Astra Serif" w:eastAsia="Times New Roman" w:hAnsi="PT Astra Serif" w:cs="Times New Roman"/>
          <w:b/>
          <w:szCs w:val="28"/>
          <w:lang w:eastAsia="ar-SA"/>
        </w:rPr>
        <w:t xml:space="preserve"> </w:t>
      </w:r>
      <w:r w:rsidRPr="00FE417F">
        <w:rPr>
          <w:rFonts w:ascii="PT Astra Serif" w:eastAsia="Times New Roman" w:hAnsi="PT Astra Serif" w:cs="Times New Roman"/>
          <w:szCs w:val="28"/>
          <w:lang w:eastAsia="ar-SA"/>
        </w:rPr>
        <w:t>жители Ульяновской области преимущественно обозначали вопросы:</w:t>
      </w:r>
    </w:p>
    <w:p w14:paraId="4C69CC39"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b/>
          <w:szCs w:val="28"/>
          <w:lang w:eastAsia="ar-SA"/>
        </w:rPr>
      </w:pPr>
      <w:r w:rsidRPr="00FE417F">
        <w:rPr>
          <w:rFonts w:ascii="PT Astra Serif" w:eastAsia="Times New Roman" w:hAnsi="PT Astra Serif" w:cs="Times New Roman"/>
          <w:b/>
          <w:spacing w:val="-4"/>
          <w:szCs w:val="28"/>
          <w:lang w:eastAsia="ar-SA"/>
        </w:rPr>
        <w:t xml:space="preserve">подключения земельных участков к инженерной инфраструктуре </w:t>
      </w:r>
      <w:r w:rsidRPr="00FE417F">
        <w:rPr>
          <w:rFonts w:ascii="PT Astra Serif" w:eastAsia="Times New Roman" w:hAnsi="PT Astra Serif" w:cs="Times New Roman"/>
          <w:spacing w:val="-4"/>
          <w:szCs w:val="28"/>
          <w:lang w:eastAsia="ar-SA"/>
        </w:rPr>
        <w:t xml:space="preserve">(1,7%; 182 вопроса, общее число которых </w:t>
      </w:r>
      <w:r w:rsidRPr="00FE417F">
        <w:rPr>
          <w:rFonts w:ascii="PT Astra Serif" w:eastAsia="Times New Roman" w:hAnsi="PT Astra Serif" w:cs="Times New Roman"/>
          <w:b/>
          <w:bCs/>
          <w:szCs w:val="28"/>
          <w:lang w:eastAsia="ar-SA"/>
        </w:rPr>
        <w:t>уменьшилось на 72%</w:t>
      </w:r>
      <w:r w:rsidRPr="00FE417F">
        <w:rPr>
          <w:rFonts w:ascii="PT Astra Serif" w:eastAsia="Times New Roman" w:hAnsi="PT Astra Serif" w:cs="Times New Roman"/>
          <w:color w:val="FFFFFF"/>
          <w:spacing w:val="-4"/>
          <w:szCs w:val="28"/>
          <w:lang w:eastAsia="ar-SA"/>
        </w:rPr>
        <w:t xml:space="preserve">                                </w:t>
      </w:r>
      <w:r w:rsidRPr="00FE417F">
        <w:rPr>
          <w:rFonts w:ascii="PT Astra Serif" w:eastAsia="Times New Roman" w:hAnsi="PT Astra Serif" w:cs="Times New Roman"/>
          <w:spacing w:val="-4"/>
          <w:szCs w:val="28"/>
          <w:lang w:eastAsia="ar-SA"/>
        </w:rPr>
        <w:t>по сравнению с 2024 годом (658); (город Димитровград);</w:t>
      </w:r>
    </w:p>
    <w:p w14:paraId="11CC84F8"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bCs/>
          <w:spacing w:val="-4"/>
          <w:szCs w:val="28"/>
          <w:lang w:eastAsia="ar-SA"/>
        </w:rPr>
      </w:pPr>
      <w:r w:rsidRPr="00FE417F">
        <w:rPr>
          <w:rFonts w:ascii="PT Astra Serif" w:eastAsia="Times New Roman" w:hAnsi="PT Astra Serif" w:cs="Times New Roman"/>
          <w:b/>
          <w:spacing w:val="-4"/>
          <w:szCs w:val="28"/>
          <w:lang w:eastAsia="ar-SA"/>
        </w:rPr>
        <w:t xml:space="preserve">деятельности УК </w:t>
      </w:r>
      <w:r w:rsidRPr="00FE417F">
        <w:rPr>
          <w:rFonts w:ascii="PT Astra Serif" w:eastAsia="Times New Roman" w:hAnsi="PT Astra Serif" w:cs="Times New Roman"/>
          <w:bCs/>
          <w:spacing w:val="-4"/>
          <w:szCs w:val="28"/>
          <w:lang w:eastAsia="ar-SA"/>
        </w:rPr>
        <w:t xml:space="preserve">(1,7%; 181 вопрос, общее количество которых </w:t>
      </w:r>
      <w:r w:rsidRPr="00FE417F">
        <w:rPr>
          <w:rFonts w:ascii="PT Astra Serif" w:eastAsia="Times New Roman" w:hAnsi="PT Astra Serif" w:cs="Times New Roman"/>
          <w:b/>
          <w:spacing w:val="-4"/>
          <w:szCs w:val="28"/>
          <w:lang w:eastAsia="ar-SA"/>
        </w:rPr>
        <w:t>уменьшилось на 23%</w:t>
      </w:r>
      <w:r w:rsidRPr="00FE417F">
        <w:rPr>
          <w:rFonts w:ascii="PT Astra Serif" w:eastAsia="Times New Roman" w:hAnsi="PT Astra Serif" w:cs="Times New Roman"/>
          <w:bCs/>
          <w:spacing w:val="-4"/>
          <w:szCs w:val="28"/>
          <w:lang w:eastAsia="ar-SA"/>
        </w:rPr>
        <w:t xml:space="preserve"> относительно 2024 года (236) (город Ульяновск);</w:t>
      </w:r>
    </w:p>
    <w:p w14:paraId="6E15E4E6"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szCs w:val="28"/>
          <w:lang w:eastAsia="ar-SA"/>
        </w:rPr>
        <w:t>содержания общего имущества МКД</w:t>
      </w:r>
      <w:r w:rsidRPr="00FE417F">
        <w:rPr>
          <w:rFonts w:ascii="PT Astra Serif" w:eastAsia="Times New Roman" w:hAnsi="PT Astra Serif" w:cs="Times New Roman"/>
          <w:szCs w:val="28"/>
          <w:lang w:eastAsia="ar-SA"/>
        </w:rPr>
        <w:t xml:space="preserve"> (1,4%; 148 вопросов, количество которых </w:t>
      </w:r>
      <w:r w:rsidRPr="00FE417F">
        <w:rPr>
          <w:rFonts w:ascii="PT Astra Serif" w:eastAsia="Times New Roman" w:hAnsi="PT Astra Serif" w:cs="Times New Roman"/>
          <w:b/>
          <w:bCs/>
          <w:szCs w:val="28"/>
          <w:lang w:eastAsia="ar-SA"/>
        </w:rPr>
        <w:t>уменьшилось на 37%</w:t>
      </w:r>
      <w:r w:rsidRPr="00FE417F">
        <w:rPr>
          <w:rFonts w:ascii="PT Astra Serif" w:eastAsia="Times New Roman" w:hAnsi="PT Astra Serif" w:cs="Times New Roman"/>
          <w:color w:val="FFFFFF"/>
          <w:szCs w:val="28"/>
          <w:lang w:eastAsia="ar-SA"/>
        </w:rPr>
        <w:t xml:space="preserve"> </w:t>
      </w:r>
      <w:r w:rsidRPr="00FE417F">
        <w:rPr>
          <w:rFonts w:ascii="PT Astra Serif" w:eastAsia="Times New Roman" w:hAnsi="PT Astra Serif" w:cs="Times New Roman"/>
          <w:szCs w:val="28"/>
          <w:lang w:eastAsia="ar-SA"/>
        </w:rPr>
        <w:t>по сравнению с 2024 годом (236); (города Димитровград, Ульяновск);</w:t>
      </w:r>
    </w:p>
    <w:p w14:paraId="58FB3E58"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3-е место</w:t>
      </w:r>
      <w:r w:rsidRPr="00FE417F">
        <w:rPr>
          <w:rFonts w:ascii="PT Astra Serif" w:eastAsia="Times New Roman" w:hAnsi="PT Astra Serif" w:cs="Times New Roman"/>
          <w:szCs w:val="28"/>
          <w:lang w:eastAsia="ar-SA"/>
        </w:rPr>
        <w:t xml:space="preserve"> в тематическом рейтинге заняли следующие вопросы раздела «</w:t>
      </w:r>
      <w:r w:rsidRPr="00FE417F">
        <w:rPr>
          <w:rFonts w:ascii="PT Astra Serif" w:eastAsia="Times New Roman" w:hAnsi="PT Astra Serif" w:cs="Times New Roman"/>
          <w:b/>
          <w:szCs w:val="28"/>
          <w:lang w:eastAsia="ar-SA"/>
        </w:rPr>
        <w:t xml:space="preserve">Социальное обеспечение </w:t>
      </w:r>
      <w:r w:rsidRPr="00FE417F">
        <w:rPr>
          <w:rFonts w:ascii="PT Astra Serif" w:eastAsia="Times New Roman" w:hAnsi="PT Astra Serif" w:cs="Times New Roman"/>
          <w:bCs/>
          <w:szCs w:val="28"/>
          <w:lang w:eastAsia="ar-SA"/>
        </w:rPr>
        <w:t>и</w:t>
      </w:r>
      <w:r w:rsidRPr="00FE417F">
        <w:rPr>
          <w:rFonts w:ascii="PT Astra Serif" w:eastAsia="Times New Roman" w:hAnsi="PT Astra Serif" w:cs="Times New Roman"/>
          <w:b/>
          <w:szCs w:val="28"/>
          <w:lang w:eastAsia="ar-SA"/>
        </w:rPr>
        <w:t xml:space="preserve"> социальное страхование»</w:t>
      </w:r>
      <w:r w:rsidRPr="00FE417F">
        <w:rPr>
          <w:rFonts w:ascii="PT Astra Serif" w:eastAsia="Times New Roman" w:hAnsi="PT Astra Serif" w:cs="Times New Roman"/>
          <w:szCs w:val="28"/>
          <w:lang w:eastAsia="ar-SA"/>
        </w:rPr>
        <w:t>:</w:t>
      </w:r>
    </w:p>
    <w:p w14:paraId="39939A4C"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предоставление дополнительных льгот отдельным категориям граждан (в том числе предоставление земельных участков многодетным семьям)</w:t>
      </w:r>
      <w:r w:rsidRPr="00FE417F">
        <w:rPr>
          <w:rFonts w:ascii="PT Astra Serif" w:eastAsia="Times New Roman" w:hAnsi="PT Astra Serif" w:cs="Times New Roman"/>
          <w:szCs w:val="28"/>
          <w:lang w:eastAsia="ar-SA"/>
        </w:rPr>
        <w:t xml:space="preserve"> (3,6%; 392 вопроса, общее количество которых </w:t>
      </w:r>
      <w:r w:rsidRPr="00FE417F">
        <w:rPr>
          <w:rFonts w:ascii="PT Astra Serif" w:eastAsia="Times New Roman" w:hAnsi="PT Astra Serif" w:cs="Times New Roman"/>
          <w:b/>
          <w:bCs/>
          <w:szCs w:val="28"/>
          <w:lang w:eastAsia="ar-SA"/>
        </w:rPr>
        <w:t>уменьшилось на 83%</w:t>
      </w:r>
      <w:r w:rsidRPr="00FE417F">
        <w:rPr>
          <w:rFonts w:ascii="PT Astra Serif" w:eastAsia="Times New Roman" w:hAnsi="PT Astra Serif" w:cs="Times New Roman"/>
          <w:szCs w:val="28"/>
          <w:lang w:eastAsia="ar-SA"/>
        </w:rPr>
        <w:t xml:space="preserve"> по сравнению с 2024 годом (241) (города Димитровград, Ульяновск);</w:t>
      </w:r>
    </w:p>
    <w:p w14:paraId="6E9337C3"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szCs w:val="28"/>
          <w:lang w:eastAsia="ar-SA"/>
        </w:rPr>
        <w:t xml:space="preserve">социальная поддержка и помощь семьям, имеющим детей, в том </w:t>
      </w:r>
      <w:r w:rsidRPr="00FE417F">
        <w:rPr>
          <w:rFonts w:ascii="PT Astra Serif" w:eastAsia="Times New Roman" w:hAnsi="PT Astra Serif" w:cs="Times New Roman"/>
          <w:b/>
          <w:szCs w:val="28"/>
          <w:lang w:eastAsia="ar-SA"/>
        </w:rPr>
        <w:lastRenderedPageBreak/>
        <w:t>числе многодетным</w:t>
      </w:r>
      <w:r w:rsidRPr="00FE417F">
        <w:rPr>
          <w:rFonts w:ascii="PT Astra Serif" w:eastAsia="Times New Roman" w:hAnsi="PT Astra Serif" w:cs="Times New Roman"/>
          <w:szCs w:val="28"/>
          <w:lang w:eastAsia="ar-SA"/>
        </w:rPr>
        <w:t xml:space="preserve"> (3,5%; 383 вопроса, общее количество которых </w:t>
      </w:r>
      <w:r w:rsidRPr="00FE417F">
        <w:rPr>
          <w:rFonts w:ascii="PT Astra Serif" w:eastAsia="Times New Roman" w:hAnsi="PT Astra Serif" w:cs="Times New Roman"/>
          <w:b/>
          <w:bCs/>
          <w:szCs w:val="28"/>
          <w:lang w:eastAsia="ar-SA"/>
        </w:rPr>
        <w:t xml:space="preserve">сократилось на 17% </w:t>
      </w:r>
      <w:r w:rsidRPr="00FE417F">
        <w:rPr>
          <w:rFonts w:ascii="PT Astra Serif" w:eastAsia="Times New Roman" w:hAnsi="PT Astra Serif" w:cs="Times New Roman"/>
          <w:szCs w:val="28"/>
          <w:lang w:eastAsia="ar-SA"/>
        </w:rPr>
        <w:t>по сравнению с 2024 годом (461); (города Ульяновск, Димитровград, а также Вешкаймский, Кузоватовский, Мелекесский, Новоспасский, Ульяновский и Цильнинский районы).</w:t>
      </w:r>
    </w:p>
    <w:p w14:paraId="20CF3219"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szCs w:val="28"/>
          <w:lang w:eastAsia="ar-SA"/>
        </w:rPr>
        <w:t xml:space="preserve">В тематическом кластере </w:t>
      </w:r>
      <w:r w:rsidRPr="00FE417F">
        <w:rPr>
          <w:rFonts w:ascii="PT Astra Serif" w:eastAsia="Times New Roman" w:hAnsi="PT Astra Serif" w:cs="Times New Roman"/>
          <w:b/>
          <w:szCs w:val="28"/>
          <w:lang w:eastAsia="ar-SA"/>
        </w:rPr>
        <w:t xml:space="preserve">«Здравоохранение. Физическая культура </w:t>
      </w:r>
      <w:r w:rsidRPr="00FE417F">
        <w:rPr>
          <w:rFonts w:ascii="PT Astra Serif" w:eastAsia="Times New Roman" w:hAnsi="PT Astra Serif" w:cs="Times New Roman"/>
          <w:b/>
          <w:szCs w:val="28"/>
          <w:lang w:eastAsia="ar-SA"/>
        </w:rPr>
        <w:br/>
        <w:t>и спорт. Туризм</w:t>
      </w:r>
      <w:r w:rsidRPr="00FE417F">
        <w:rPr>
          <w:rFonts w:ascii="PT Astra Serif" w:eastAsia="Times New Roman" w:hAnsi="PT Astra Serif" w:cs="Times New Roman"/>
          <w:szCs w:val="28"/>
          <w:lang w:eastAsia="ar-SA"/>
        </w:rPr>
        <w:t>» (</w:t>
      </w:r>
      <w:r w:rsidRPr="00FE417F">
        <w:rPr>
          <w:rFonts w:ascii="PT Astra Serif" w:eastAsia="Times New Roman" w:hAnsi="PT Astra Serif" w:cs="Times New Roman"/>
          <w:b/>
          <w:bCs/>
          <w:szCs w:val="28"/>
          <w:lang w:eastAsia="ar-SA"/>
        </w:rPr>
        <w:t>5-е место</w:t>
      </w:r>
      <w:r w:rsidRPr="00FE417F">
        <w:rPr>
          <w:rFonts w:ascii="PT Astra Serif" w:eastAsia="Times New Roman" w:hAnsi="PT Astra Serif" w:cs="Times New Roman"/>
          <w:szCs w:val="28"/>
          <w:lang w:eastAsia="ar-SA"/>
        </w:rPr>
        <w:t>) наиболее актуальными, по мнению жителей Ульяновской области, являлись вопросы:</w:t>
      </w:r>
    </w:p>
    <w:p w14:paraId="47C19F1B"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szCs w:val="28"/>
          <w:lang w:eastAsia="ar-SA"/>
        </w:rPr>
        <w:t>лекарственного обеспечения льготных категорий граждан</w:t>
      </w:r>
      <w:r w:rsidRPr="00FE417F">
        <w:rPr>
          <w:rFonts w:ascii="PT Astra Serif" w:eastAsia="Times New Roman" w:hAnsi="PT Astra Serif" w:cs="Times New Roman"/>
          <w:szCs w:val="28"/>
          <w:lang w:eastAsia="ar-SA"/>
        </w:rPr>
        <w:t xml:space="preserve"> (1,8%; 197 вопросов, общее количество которых </w:t>
      </w:r>
      <w:r w:rsidRPr="00FE417F">
        <w:rPr>
          <w:rFonts w:ascii="PT Astra Serif" w:eastAsia="Times New Roman" w:hAnsi="PT Astra Serif" w:cs="Times New Roman"/>
          <w:b/>
          <w:bCs/>
          <w:szCs w:val="28"/>
          <w:lang w:eastAsia="ar-SA"/>
        </w:rPr>
        <w:t>увеличилось на 41%</w:t>
      </w:r>
      <w:r w:rsidRPr="00FE417F">
        <w:rPr>
          <w:rFonts w:ascii="PT Astra Serif" w:eastAsia="Times New Roman" w:hAnsi="PT Astra Serif" w:cs="Times New Roman"/>
          <w:color w:val="FFFFFF"/>
          <w:szCs w:val="28"/>
          <w:lang w:eastAsia="ar-SA"/>
        </w:rPr>
        <w:t xml:space="preserve"> </w:t>
      </w:r>
      <w:r w:rsidRPr="00FE417F">
        <w:rPr>
          <w:rFonts w:ascii="PT Astra Serif" w:eastAsia="Times New Roman" w:hAnsi="PT Astra Serif" w:cs="Times New Roman"/>
          <w:szCs w:val="28"/>
          <w:lang w:eastAsia="ar-SA"/>
        </w:rPr>
        <w:t>относительно 2024 года (140); (города Димитровград, Ульяновск, а также Мелекесский район);</w:t>
      </w:r>
    </w:p>
    <w:p w14:paraId="6A01A739"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работы медучреждений</w:t>
      </w:r>
      <w:r w:rsidRPr="00FE417F">
        <w:rPr>
          <w:rFonts w:ascii="PT Astra Serif" w:eastAsia="Times New Roman" w:hAnsi="PT Astra Serif" w:cs="Times New Roman"/>
          <w:szCs w:val="28"/>
          <w:lang w:eastAsia="ar-SA"/>
        </w:rPr>
        <w:t xml:space="preserve"> и их сотрудников (1,7%; 180 вопросов, общее количество которых </w:t>
      </w:r>
      <w:r w:rsidRPr="00FE417F">
        <w:rPr>
          <w:rFonts w:ascii="PT Astra Serif" w:eastAsia="Times New Roman" w:hAnsi="PT Astra Serif" w:cs="Times New Roman"/>
          <w:b/>
          <w:bCs/>
          <w:szCs w:val="28"/>
          <w:lang w:eastAsia="ar-SA"/>
        </w:rPr>
        <w:t>уменьшилось на 1,6%</w:t>
      </w:r>
      <w:r w:rsidRPr="00FE417F">
        <w:rPr>
          <w:rFonts w:ascii="PT Astra Serif" w:eastAsia="Times New Roman" w:hAnsi="PT Astra Serif" w:cs="Times New Roman"/>
          <w:szCs w:val="28"/>
          <w:lang w:eastAsia="ar-SA"/>
        </w:rPr>
        <w:t xml:space="preserve"> относительно 2024 года (183); (город Ульяновск, а также Карсунский и Кузоватовский районы);</w:t>
      </w:r>
    </w:p>
    <w:p w14:paraId="5C791C6F"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szCs w:val="28"/>
          <w:lang w:eastAsia="ar-SA"/>
        </w:rPr>
        <w:t>лечения и оказания медицинской помощи</w:t>
      </w:r>
      <w:r w:rsidRPr="00FE417F">
        <w:rPr>
          <w:rFonts w:ascii="PT Astra Serif" w:eastAsia="Times New Roman" w:hAnsi="PT Astra Serif" w:cs="Times New Roman"/>
          <w:szCs w:val="28"/>
          <w:lang w:eastAsia="ar-SA"/>
        </w:rPr>
        <w:t xml:space="preserve"> (1,5%; 158 вопросов, общее число которых </w:t>
      </w:r>
      <w:r w:rsidRPr="00FE417F">
        <w:rPr>
          <w:rFonts w:ascii="PT Astra Serif" w:eastAsia="Times New Roman" w:hAnsi="PT Astra Serif" w:cs="Times New Roman"/>
          <w:b/>
          <w:bCs/>
          <w:szCs w:val="28"/>
          <w:lang w:eastAsia="ar-SA"/>
        </w:rPr>
        <w:t>уменьшилось на 21 %</w:t>
      </w:r>
      <w:r w:rsidRPr="00FE417F">
        <w:rPr>
          <w:rFonts w:ascii="PT Astra Serif" w:eastAsia="Times New Roman" w:hAnsi="PT Astra Serif" w:cs="Times New Roman"/>
          <w:szCs w:val="28"/>
          <w:lang w:eastAsia="ar-SA"/>
        </w:rPr>
        <w:t xml:space="preserve"> по сравнению с 2024 годом (199); (города Димитровград, Ульяновск, а также Вешкаймский, Инзенский, Цильнинский и Чердаклинский районы, а также </w:t>
      </w:r>
      <w:proofErr w:type="spellStart"/>
      <w:r w:rsidRPr="00FE417F">
        <w:rPr>
          <w:rFonts w:ascii="PT Astra Serif" w:eastAsia="Times New Roman" w:hAnsi="PT Astra Serif" w:cs="Times New Roman"/>
          <w:szCs w:val="28"/>
          <w:lang w:eastAsia="ar-SA"/>
        </w:rPr>
        <w:t>м.о</w:t>
      </w:r>
      <w:proofErr w:type="spellEnd"/>
      <w:r w:rsidRPr="00FE417F">
        <w:rPr>
          <w:rFonts w:ascii="PT Astra Serif" w:eastAsia="Times New Roman" w:hAnsi="PT Astra Serif" w:cs="Times New Roman"/>
          <w:szCs w:val="28"/>
          <w:lang w:eastAsia="ar-SA"/>
        </w:rPr>
        <w:t>. Павловский).</w:t>
      </w:r>
    </w:p>
    <w:p w14:paraId="2D44A94A" w14:textId="77777777" w:rsidR="00FE417F" w:rsidRPr="00FE417F" w:rsidRDefault="00FE417F" w:rsidP="00FE417F">
      <w:pPr>
        <w:widowControl w:val="0"/>
        <w:autoSpaceDE w:val="0"/>
        <w:autoSpaceDN w:val="0"/>
        <w:adjustRightInd w:val="0"/>
        <w:spacing w:line="264" w:lineRule="auto"/>
        <w:rPr>
          <w:rFonts w:ascii="PT Astra Serif" w:eastAsia="Times New Roman" w:hAnsi="PT Astra Serif" w:cs="Times New Roman"/>
          <w:bCs/>
          <w:szCs w:val="28"/>
          <w:lang w:eastAsia="ar-SA"/>
        </w:rPr>
      </w:pPr>
      <w:r w:rsidRPr="00FE417F">
        <w:rPr>
          <w:rFonts w:ascii="PT Astra Serif" w:eastAsia="Times New Roman" w:hAnsi="PT Astra Serif" w:cs="Times New Roman"/>
          <w:szCs w:val="28"/>
          <w:lang w:eastAsia="ar-SA"/>
        </w:rPr>
        <w:t xml:space="preserve">В разделе </w:t>
      </w:r>
      <w:r w:rsidRPr="00FE417F">
        <w:rPr>
          <w:rFonts w:ascii="PT Astra Serif" w:eastAsia="Times New Roman" w:hAnsi="PT Astra Serif" w:cs="Times New Roman"/>
          <w:b/>
          <w:szCs w:val="28"/>
          <w:lang w:eastAsia="ar-SA"/>
        </w:rPr>
        <w:t xml:space="preserve">«Основы государственного управления» </w:t>
      </w:r>
      <w:r w:rsidRPr="00FE417F">
        <w:rPr>
          <w:rFonts w:ascii="PT Astra Serif" w:eastAsia="Times New Roman" w:hAnsi="PT Astra Serif" w:cs="Times New Roman"/>
          <w:bCs/>
          <w:szCs w:val="28"/>
          <w:lang w:eastAsia="ar-SA"/>
        </w:rPr>
        <w:t>(6-е место) повышенный интерес для граждан представляли следующие вопросы:</w:t>
      </w:r>
    </w:p>
    <w:p w14:paraId="3E1F42FD" w14:textId="77777777" w:rsidR="00FE417F" w:rsidRPr="00FE417F" w:rsidRDefault="00FE417F" w:rsidP="00FE417F">
      <w:pPr>
        <w:widowControl w:val="0"/>
        <w:autoSpaceDE w:val="0"/>
        <w:autoSpaceDN w:val="0"/>
        <w:adjustRightInd w:val="0"/>
        <w:spacing w:line="256" w:lineRule="auto"/>
        <w:rPr>
          <w:rFonts w:ascii="PT Astra Serif" w:eastAsia="Times New Roman" w:hAnsi="PT Astra Serif" w:cs="Times New Roman"/>
          <w:szCs w:val="28"/>
          <w:lang w:eastAsia="ar-SA"/>
        </w:rPr>
      </w:pPr>
      <w:r w:rsidRPr="00FE417F">
        <w:rPr>
          <w:rFonts w:ascii="PT Astra Serif" w:eastAsia="Times New Roman" w:hAnsi="PT Astra Serif" w:cs="Times New Roman"/>
          <w:b/>
          <w:bCs/>
          <w:szCs w:val="28"/>
          <w:lang w:eastAsia="ar-SA"/>
        </w:rPr>
        <w:t>личный приём высшими должностными лицами субъекта Российской Федерации, а также их заместителями, руководителями исполнительных органов государственной власти Ульяновской области, их заместителями</w:t>
      </w:r>
      <w:r w:rsidRPr="00FE417F">
        <w:rPr>
          <w:rFonts w:ascii="PT Astra Serif" w:eastAsia="Times New Roman" w:hAnsi="PT Astra Serif" w:cs="Times New Roman"/>
          <w:szCs w:val="28"/>
          <w:lang w:eastAsia="ar-SA"/>
        </w:rPr>
        <w:t xml:space="preserve"> (1,8%; 192 вопроса, общее количество которых </w:t>
      </w:r>
      <w:r w:rsidRPr="00FE417F">
        <w:rPr>
          <w:rFonts w:ascii="PT Astra Serif" w:eastAsia="Times New Roman" w:hAnsi="PT Astra Serif" w:cs="Times New Roman"/>
          <w:b/>
          <w:bCs/>
          <w:szCs w:val="28"/>
          <w:lang w:eastAsia="ar-SA"/>
        </w:rPr>
        <w:t>уменьшилось на 31%</w:t>
      </w:r>
      <w:r w:rsidRPr="00FE417F">
        <w:rPr>
          <w:rFonts w:ascii="PT Astra Serif" w:eastAsia="Times New Roman" w:hAnsi="PT Astra Serif" w:cs="Times New Roman"/>
          <w:szCs w:val="28"/>
          <w:lang w:eastAsia="ar-SA"/>
        </w:rPr>
        <w:t xml:space="preserve"> относительно 2024 года (278); (вопросы от </w:t>
      </w:r>
      <w:proofErr w:type="spellStart"/>
      <w:r w:rsidRPr="00FE417F">
        <w:rPr>
          <w:rFonts w:ascii="PT Astra Serif" w:eastAsia="Times New Roman" w:hAnsi="PT Astra Serif" w:cs="Times New Roman"/>
          <w:szCs w:val="28"/>
          <w:lang w:eastAsia="ar-SA"/>
        </w:rPr>
        <w:t>многопишущих</w:t>
      </w:r>
      <w:proofErr w:type="spellEnd"/>
      <w:r w:rsidRPr="00FE417F">
        <w:rPr>
          <w:rFonts w:ascii="PT Astra Serif" w:eastAsia="Times New Roman" w:hAnsi="PT Astra Serif" w:cs="Times New Roman"/>
          <w:szCs w:val="28"/>
          <w:lang w:eastAsia="ar-SA"/>
        </w:rPr>
        <w:t xml:space="preserve"> граждан поступали от жителей города Ульяновска, а также Барышского и Ульяновского районов);</w:t>
      </w:r>
    </w:p>
    <w:p w14:paraId="5059CC36" w14:textId="77777777" w:rsidR="00FE417F" w:rsidRPr="00FE417F" w:rsidRDefault="00FE417F" w:rsidP="00FE417F">
      <w:pPr>
        <w:widowControl w:val="0"/>
        <w:autoSpaceDE w:val="0"/>
        <w:autoSpaceDN w:val="0"/>
        <w:adjustRightInd w:val="0"/>
        <w:spacing w:line="256" w:lineRule="auto"/>
        <w:rPr>
          <w:rFonts w:ascii="PT Astra Serif" w:eastAsia="Times New Roman" w:hAnsi="PT Astra Serif" w:cs="Times New Roman"/>
          <w:bCs/>
          <w:szCs w:val="28"/>
          <w:lang w:eastAsia="ar-SA"/>
        </w:rPr>
      </w:pPr>
      <w:r w:rsidRPr="00FE417F">
        <w:rPr>
          <w:rFonts w:ascii="PT Astra Serif" w:eastAsia="Times New Roman" w:hAnsi="PT Astra Serif" w:cs="Times New Roman"/>
          <w:b/>
          <w:szCs w:val="28"/>
          <w:lang w:eastAsia="ar-SA"/>
        </w:rPr>
        <w:t>почтовые отправления</w:t>
      </w:r>
      <w:r w:rsidRPr="00FE417F">
        <w:rPr>
          <w:rFonts w:ascii="PT Astra Serif" w:eastAsia="Times New Roman" w:hAnsi="PT Astra Serif" w:cs="Times New Roman"/>
          <w:bCs/>
          <w:szCs w:val="28"/>
          <w:lang w:eastAsia="ar-SA"/>
        </w:rPr>
        <w:t>, содержащие</w:t>
      </w:r>
      <w:r w:rsidRPr="00FE417F">
        <w:rPr>
          <w:rFonts w:ascii="PT Astra Serif" w:eastAsia="Times New Roman" w:hAnsi="PT Astra Serif" w:cs="Times New Roman"/>
          <w:b/>
          <w:szCs w:val="28"/>
          <w:lang w:eastAsia="ar-SA"/>
        </w:rPr>
        <w:t xml:space="preserve"> рассуждения общего характера </w:t>
      </w:r>
      <w:r w:rsidRPr="00FE417F">
        <w:rPr>
          <w:rFonts w:ascii="PT Astra Serif" w:eastAsia="Times New Roman" w:hAnsi="PT Astra Serif" w:cs="Times New Roman"/>
          <w:bCs/>
          <w:szCs w:val="28"/>
          <w:lang w:eastAsia="ar-SA"/>
        </w:rPr>
        <w:t xml:space="preserve">(1,3%; 145 вопросов, общее количество которых </w:t>
      </w:r>
      <w:r w:rsidRPr="00FE417F">
        <w:rPr>
          <w:rFonts w:ascii="PT Astra Serif" w:eastAsia="Times New Roman" w:hAnsi="PT Astra Serif" w:cs="Times New Roman"/>
          <w:b/>
          <w:szCs w:val="28"/>
          <w:lang w:eastAsia="ar-SA"/>
        </w:rPr>
        <w:t>уменьшилось на 64%</w:t>
      </w:r>
      <w:r w:rsidRPr="00FE417F">
        <w:rPr>
          <w:rFonts w:ascii="PT Astra Serif" w:eastAsia="Times New Roman" w:hAnsi="PT Astra Serif" w:cs="Times New Roman"/>
          <w:bCs/>
          <w:szCs w:val="28"/>
          <w:lang w:eastAsia="ar-SA"/>
        </w:rPr>
        <w:t xml:space="preserve"> по сравнению с 2024 годом (408); (город Ульяновск);</w:t>
      </w:r>
    </w:p>
    <w:p w14:paraId="1FFC0777" w14:textId="77777777" w:rsidR="00FE417F" w:rsidRPr="00FE417F" w:rsidRDefault="00FE417F" w:rsidP="00FE417F">
      <w:pPr>
        <w:widowControl w:val="0"/>
        <w:autoSpaceDE w:val="0"/>
        <w:autoSpaceDN w:val="0"/>
        <w:adjustRightInd w:val="0"/>
        <w:spacing w:line="256" w:lineRule="auto"/>
        <w:rPr>
          <w:rFonts w:ascii="PT Astra Serif" w:eastAsia="Times New Roman" w:hAnsi="PT Astra Serif" w:cs="Times New Roman"/>
          <w:bCs/>
          <w:szCs w:val="28"/>
          <w:lang w:eastAsia="ar-SA"/>
        </w:rPr>
      </w:pPr>
      <w:r w:rsidRPr="00FE417F">
        <w:rPr>
          <w:rFonts w:ascii="PT Astra Serif" w:eastAsia="Times New Roman" w:hAnsi="PT Astra Serif" w:cs="Times New Roman"/>
          <w:b/>
          <w:szCs w:val="28"/>
          <w:lang w:eastAsia="ar-SA"/>
        </w:rPr>
        <w:t>деятельность органов исполнительной власти субъектов Российской Федерации; принимаемые решения</w:t>
      </w:r>
      <w:r w:rsidRPr="00FE417F">
        <w:rPr>
          <w:rFonts w:ascii="PT Astra Serif" w:eastAsia="Times New Roman" w:hAnsi="PT Astra Serif" w:cs="Times New Roman"/>
          <w:bCs/>
          <w:szCs w:val="28"/>
          <w:lang w:eastAsia="ar-SA"/>
        </w:rPr>
        <w:t xml:space="preserve"> (1,3%; 141 вопрос, общее количество которых </w:t>
      </w:r>
      <w:r w:rsidRPr="00FE417F">
        <w:rPr>
          <w:rFonts w:ascii="PT Astra Serif" w:eastAsia="Times New Roman" w:hAnsi="PT Astra Serif" w:cs="Times New Roman"/>
          <w:b/>
          <w:szCs w:val="28"/>
          <w:lang w:eastAsia="ar-SA"/>
        </w:rPr>
        <w:t>уменьшилось на 17%</w:t>
      </w:r>
      <w:r w:rsidRPr="00FE417F">
        <w:rPr>
          <w:rFonts w:ascii="PT Astra Serif" w:eastAsia="Times New Roman" w:hAnsi="PT Astra Serif" w:cs="Times New Roman"/>
          <w:bCs/>
          <w:szCs w:val="28"/>
          <w:lang w:eastAsia="ar-SA"/>
        </w:rPr>
        <w:t xml:space="preserve"> по сравнению с 2024 годом (170); (города Ульяновск, Димитровград).</w:t>
      </w:r>
    </w:p>
    <w:p w14:paraId="22B71D86" w14:textId="77777777" w:rsidR="00FE417F" w:rsidRPr="00FE417F" w:rsidRDefault="00FE417F" w:rsidP="00FE417F">
      <w:pPr>
        <w:widowControl w:val="0"/>
        <w:rPr>
          <w:rFonts w:ascii="PT Astra Serif" w:eastAsia="Calibri" w:hAnsi="PT Astra Serif" w:cs="Times New Roman"/>
          <w:szCs w:val="28"/>
          <w:lang w:val="uk-UA"/>
        </w:rPr>
      </w:pPr>
      <w:proofErr w:type="spellStart"/>
      <w:r w:rsidRPr="00FE417F">
        <w:rPr>
          <w:rFonts w:ascii="PT Astra Serif" w:eastAsia="Calibri" w:hAnsi="PT Astra Serif" w:cs="Times New Roman"/>
          <w:szCs w:val="28"/>
          <w:lang w:val="uk-UA"/>
        </w:rPr>
        <w:t>Анализ</w:t>
      </w:r>
      <w:proofErr w:type="spellEnd"/>
      <w:r w:rsidRPr="00FE417F">
        <w:rPr>
          <w:rFonts w:ascii="PT Astra Serif" w:eastAsia="Calibri" w:hAnsi="PT Astra Serif" w:cs="Times New Roman"/>
          <w:szCs w:val="28"/>
          <w:lang w:val="uk-UA"/>
        </w:rPr>
        <w:t xml:space="preserve"> об</w:t>
      </w:r>
      <w:r w:rsidRPr="00FE417F">
        <w:rPr>
          <w:rFonts w:ascii="PT Astra Serif" w:eastAsia="Calibri" w:hAnsi="PT Astra Serif" w:cs="Times New Roman"/>
          <w:szCs w:val="28"/>
        </w:rPr>
        <w:t>р</w:t>
      </w:r>
      <w:proofErr w:type="spellStart"/>
      <w:r w:rsidRPr="00FE417F">
        <w:rPr>
          <w:rFonts w:ascii="PT Astra Serif" w:eastAsia="Calibri" w:hAnsi="PT Astra Serif" w:cs="Times New Roman"/>
          <w:szCs w:val="28"/>
          <w:lang w:val="uk-UA"/>
        </w:rPr>
        <w:t>ащений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граждан</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направленных</w:t>
      </w:r>
      <w:proofErr w:type="spellEnd"/>
      <w:r w:rsidRPr="00FE417F">
        <w:rPr>
          <w:rFonts w:ascii="PT Astra Serif" w:eastAsia="Calibri" w:hAnsi="PT Astra Serif" w:cs="Times New Roman"/>
          <w:szCs w:val="28"/>
          <w:lang w:val="uk-UA"/>
        </w:rPr>
        <w:t xml:space="preserve"> в </w:t>
      </w:r>
      <w:proofErr w:type="spellStart"/>
      <w:r w:rsidRPr="00FE417F">
        <w:rPr>
          <w:rFonts w:ascii="PT Astra Serif" w:eastAsia="Calibri" w:hAnsi="PT Astra Serif" w:cs="Times New Roman"/>
          <w:szCs w:val="28"/>
          <w:lang w:val="uk-UA"/>
        </w:rPr>
        <w:t>Правительство</w:t>
      </w:r>
      <w:proofErr w:type="spellEnd"/>
      <w:r w:rsidRPr="00FE417F">
        <w:rPr>
          <w:rFonts w:ascii="PT Astra Serif" w:eastAsia="Calibri" w:hAnsi="PT Astra Serif" w:cs="Times New Roman"/>
          <w:szCs w:val="28"/>
        </w:rPr>
        <w:t xml:space="preserve"> </w:t>
      </w:r>
      <w:r w:rsidRPr="00FE417F">
        <w:rPr>
          <w:rFonts w:ascii="PT Astra Serif" w:eastAsia="Calibri" w:hAnsi="PT Astra Serif" w:cs="Times New Roman"/>
          <w:szCs w:val="28"/>
        </w:rPr>
        <w:br/>
      </w:r>
      <w:r w:rsidRPr="00FE417F">
        <w:rPr>
          <w:rFonts w:ascii="PT Astra Serif" w:eastAsia="Calibri" w:hAnsi="PT Astra Serif" w:cs="Times New Roman"/>
          <w:szCs w:val="28"/>
          <w:lang w:val="uk-UA"/>
        </w:rPr>
        <w:t xml:space="preserve">в </w:t>
      </w:r>
      <w:proofErr w:type="spellStart"/>
      <w:r w:rsidRPr="00FE417F">
        <w:rPr>
          <w:rFonts w:ascii="PT Astra Serif" w:eastAsia="Calibri" w:hAnsi="PT Astra Serif" w:cs="Times New Roman"/>
          <w:szCs w:val="28"/>
          <w:lang w:val="uk-UA"/>
        </w:rPr>
        <w:t>обзорном</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периоде</w:t>
      </w:r>
      <w:proofErr w:type="spellEnd"/>
      <w:r w:rsidRPr="00FE417F">
        <w:rPr>
          <w:rFonts w:ascii="PT Astra Serif" w:eastAsia="Calibri" w:hAnsi="PT Astra Serif" w:cs="Times New Roman"/>
          <w:szCs w:val="28"/>
          <w:lang w:val="uk-UA"/>
        </w:rPr>
        <w:t xml:space="preserve">, на </w:t>
      </w:r>
      <w:r w:rsidRPr="00FE417F">
        <w:rPr>
          <w:rFonts w:ascii="PT Astra Serif" w:eastAsia="Calibri" w:hAnsi="PT Astra Serif" w:cs="Times New Roman"/>
          <w:b/>
          <w:bCs/>
          <w:szCs w:val="28"/>
          <w:lang w:val="uk-UA"/>
        </w:rPr>
        <w:t xml:space="preserve">предмет </w:t>
      </w:r>
      <w:proofErr w:type="spellStart"/>
      <w:r w:rsidRPr="00FE417F">
        <w:rPr>
          <w:rFonts w:ascii="PT Astra Serif" w:eastAsia="Calibri" w:hAnsi="PT Astra Serif" w:cs="Times New Roman"/>
          <w:b/>
          <w:bCs/>
          <w:szCs w:val="28"/>
          <w:lang w:val="uk-UA"/>
        </w:rPr>
        <w:t>результативности</w:t>
      </w:r>
      <w:proofErr w:type="spellEnd"/>
      <w:r w:rsidRPr="00FE417F">
        <w:rPr>
          <w:rFonts w:ascii="PT Astra Serif" w:eastAsia="Calibri" w:hAnsi="PT Astra Serif" w:cs="Times New Roman"/>
          <w:b/>
          <w:bCs/>
          <w:szCs w:val="28"/>
          <w:lang w:val="uk-UA"/>
        </w:rPr>
        <w:t xml:space="preserve"> </w:t>
      </w:r>
      <w:proofErr w:type="spellStart"/>
      <w:r w:rsidRPr="00FE417F">
        <w:rPr>
          <w:rFonts w:ascii="PT Astra Serif" w:eastAsia="Calibri" w:hAnsi="PT Astra Serif" w:cs="Times New Roman"/>
          <w:b/>
          <w:bCs/>
          <w:szCs w:val="28"/>
          <w:lang w:val="uk-UA"/>
        </w:rPr>
        <w:t>их</w:t>
      </w:r>
      <w:proofErr w:type="spellEnd"/>
      <w:r w:rsidRPr="00FE417F">
        <w:rPr>
          <w:rFonts w:ascii="PT Astra Serif" w:eastAsia="Calibri" w:hAnsi="PT Astra Serif" w:cs="Times New Roman"/>
          <w:b/>
          <w:bCs/>
          <w:szCs w:val="28"/>
          <w:lang w:val="uk-UA"/>
        </w:rPr>
        <w:t xml:space="preserve"> </w:t>
      </w:r>
      <w:proofErr w:type="spellStart"/>
      <w:r w:rsidRPr="00FE417F">
        <w:rPr>
          <w:rFonts w:ascii="PT Astra Serif" w:eastAsia="Calibri" w:hAnsi="PT Astra Serif" w:cs="Times New Roman"/>
          <w:b/>
          <w:bCs/>
          <w:szCs w:val="28"/>
          <w:lang w:val="uk-UA"/>
        </w:rPr>
        <w:t>рассмотрения</w:t>
      </w:r>
      <w:proofErr w:type="spellEnd"/>
      <w:r w:rsidRPr="00FE417F">
        <w:rPr>
          <w:rFonts w:ascii="PT Astra Serif" w:eastAsia="Calibri" w:hAnsi="PT Astra Serif" w:cs="Times New Roman"/>
          <w:b/>
          <w:bCs/>
          <w:szCs w:val="28"/>
          <w:lang w:val="uk-UA"/>
        </w:rPr>
        <w:t xml:space="preserve"> </w:t>
      </w:r>
      <w:proofErr w:type="spellStart"/>
      <w:r w:rsidRPr="00FE417F">
        <w:rPr>
          <w:rFonts w:ascii="PT Astra Serif" w:eastAsia="Calibri" w:hAnsi="PT Astra Serif" w:cs="Times New Roman"/>
          <w:b/>
          <w:bCs/>
          <w:szCs w:val="28"/>
          <w:lang w:val="uk-UA"/>
        </w:rPr>
        <w:t>выявил</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следующее</w:t>
      </w:r>
      <w:proofErr w:type="spellEnd"/>
      <w:r w:rsidRPr="00FE417F">
        <w:rPr>
          <w:rFonts w:ascii="PT Astra Serif" w:eastAsia="Calibri" w:hAnsi="PT Astra Serif" w:cs="Times New Roman"/>
          <w:szCs w:val="28"/>
        </w:rPr>
        <w:t>:</w:t>
      </w:r>
    </w:p>
    <w:p w14:paraId="65F4677B" w14:textId="77777777" w:rsidR="00FE417F" w:rsidRPr="00FE417F" w:rsidRDefault="00FE417F" w:rsidP="00FE417F">
      <w:pPr>
        <w:widowControl w:val="0"/>
        <w:rPr>
          <w:rFonts w:ascii="PT Astra Serif" w:eastAsia="Calibri" w:hAnsi="PT Astra Serif" w:cs="Times New Roman"/>
          <w:sz w:val="22"/>
          <w:lang w:val="uk-UA"/>
        </w:rPr>
      </w:pPr>
      <w:r w:rsidRPr="00FE417F">
        <w:rPr>
          <w:rFonts w:ascii="PT Astra Serif" w:eastAsia="Calibri" w:hAnsi="PT Astra Serif" w:cs="Times New Roman"/>
          <w:szCs w:val="28"/>
          <w:lang w:val="uk-UA"/>
        </w:rPr>
        <w:t xml:space="preserve">9% </w:t>
      </w:r>
      <w:proofErr w:type="spellStart"/>
      <w:r w:rsidRPr="00FE417F">
        <w:rPr>
          <w:rFonts w:ascii="PT Astra Serif" w:eastAsia="Calibri" w:hAnsi="PT Astra Serif" w:cs="Times New Roman"/>
          <w:szCs w:val="28"/>
          <w:lang w:val="uk-UA"/>
        </w:rPr>
        <w:t>обращений</w:t>
      </w:r>
      <w:proofErr w:type="spellEnd"/>
      <w:r w:rsidRPr="00FE417F">
        <w:rPr>
          <w:rFonts w:ascii="PT Astra Serif" w:eastAsia="Calibri" w:hAnsi="PT Astra Serif" w:cs="Times New Roman"/>
          <w:szCs w:val="28"/>
          <w:lang w:val="uk-UA"/>
        </w:rPr>
        <w:t xml:space="preserve"> от </w:t>
      </w:r>
      <w:proofErr w:type="spellStart"/>
      <w:r w:rsidRPr="00FE417F">
        <w:rPr>
          <w:rFonts w:ascii="PT Astra Serif" w:eastAsia="Calibri" w:hAnsi="PT Astra Serif" w:cs="Times New Roman"/>
          <w:szCs w:val="28"/>
          <w:lang w:val="uk-UA"/>
        </w:rPr>
        <w:t>общего</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объёма</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находятся</w:t>
      </w:r>
      <w:proofErr w:type="spellEnd"/>
      <w:r w:rsidRPr="00FE417F">
        <w:rPr>
          <w:rFonts w:ascii="PT Astra Serif" w:eastAsia="Calibri" w:hAnsi="PT Astra Serif" w:cs="Times New Roman"/>
          <w:szCs w:val="28"/>
          <w:lang w:val="uk-UA"/>
        </w:rPr>
        <w:t xml:space="preserve"> в </w:t>
      </w:r>
      <w:proofErr w:type="spellStart"/>
      <w:r w:rsidRPr="00FE417F">
        <w:rPr>
          <w:rFonts w:ascii="PT Astra Serif" w:eastAsia="Calibri" w:hAnsi="PT Astra Serif" w:cs="Times New Roman"/>
          <w:szCs w:val="28"/>
          <w:lang w:val="uk-UA"/>
        </w:rPr>
        <w:t>работе</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согласно</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установленным</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законодательством</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срокам</w:t>
      </w:r>
      <w:proofErr w:type="spellEnd"/>
      <w:r w:rsidRPr="00FE417F">
        <w:rPr>
          <w:rFonts w:ascii="PT Astra Serif" w:eastAsia="Calibri" w:hAnsi="PT Astra Serif" w:cs="Times New Roman"/>
          <w:szCs w:val="28"/>
          <w:lang w:val="uk-UA"/>
        </w:rPr>
        <w:t xml:space="preserve">, 65% – </w:t>
      </w:r>
      <w:proofErr w:type="spellStart"/>
      <w:r w:rsidRPr="00FE417F">
        <w:rPr>
          <w:rFonts w:ascii="PT Astra Serif" w:eastAsia="Calibri" w:hAnsi="PT Astra Serif" w:cs="Times New Roman"/>
          <w:szCs w:val="28"/>
          <w:lang w:val="uk-UA"/>
        </w:rPr>
        <w:t>направлен</w:t>
      </w:r>
      <w:proofErr w:type="spellEnd"/>
      <w:r w:rsidRPr="00FE417F">
        <w:rPr>
          <w:rFonts w:ascii="PT Astra Serif" w:eastAsia="Calibri" w:hAnsi="PT Astra Serif" w:cs="Times New Roman"/>
          <w:szCs w:val="28"/>
        </w:rPr>
        <w:t xml:space="preserve">ы </w:t>
      </w:r>
      <w:r w:rsidRPr="00FE417F">
        <w:rPr>
          <w:rFonts w:ascii="PT Astra Serif" w:eastAsia="Calibri" w:hAnsi="PT Astra Serif" w:cs="Times New Roman"/>
          <w:szCs w:val="28"/>
          <w:lang w:val="uk-UA"/>
        </w:rPr>
        <w:t xml:space="preserve">в </w:t>
      </w:r>
      <w:proofErr w:type="spellStart"/>
      <w:r w:rsidRPr="00FE417F">
        <w:rPr>
          <w:rFonts w:ascii="PT Astra Serif" w:eastAsia="Calibri" w:hAnsi="PT Astra Serif" w:cs="Times New Roman"/>
          <w:szCs w:val="28"/>
          <w:lang w:val="uk-UA"/>
        </w:rPr>
        <w:t>соответствии</w:t>
      </w:r>
      <w:proofErr w:type="spellEnd"/>
      <w:r w:rsidRPr="00FE417F">
        <w:rPr>
          <w:rFonts w:ascii="PT Astra Serif" w:eastAsia="Calibri" w:hAnsi="PT Astra Serif" w:cs="Times New Roman"/>
          <w:szCs w:val="28"/>
          <w:lang w:val="uk-UA"/>
        </w:rPr>
        <w:t xml:space="preserve"> с </w:t>
      </w:r>
      <w:proofErr w:type="spellStart"/>
      <w:r w:rsidRPr="00FE417F">
        <w:rPr>
          <w:rFonts w:ascii="PT Astra Serif" w:eastAsia="Calibri" w:hAnsi="PT Astra Serif" w:cs="Times New Roman"/>
          <w:szCs w:val="28"/>
          <w:lang w:val="uk-UA"/>
        </w:rPr>
        <w:t>частью</w:t>
      </w:r>
      <w:proofErr w:type="spellEnd"/>
      <w:r w:rsidRPr="00FE417F">
        <w:rPr>
          <w:rFonts w:ascii="PT Astra Serif" w:eastAsia="Calibri" w:hAnsi="PT Astra Serif" w:cs="Times New Roman"/>
          <w:szCs w:val="28"/>
          <w:lang w:val="uk-UA"/>
        </w:rPr>
        <w:t xml:space="preserve"> 3 </w:t>
      </w:r>
      <w:proofErr w:type="spellStart"/>
      <w:r w:rsidRPr="00FE417F">
        <w:rPr>
          <w:rFonts w:ascii="PT Astra Serif" w:eastAsia="Calibri" w:hAnsi="PT Astra Serif" w:cs="Times New Roman"/>
          <w:szCs w:val="28"/>
          <w:lang w:val="uk-UA"/>
        </w:rPr>
        <w:t>статьи</w:t>
      </w:r>
      <w:proofErr w:type="spellEnd"/>
      <w:r w:rsidRPr="00FE417F">
        <w:rPr>
          <w:rFonts w:ascii="PT Astra Serif" w:eastAsia="Calibri" w:hAnsi="PT Astra Serif" w:cs="Times New Roman"/>
          <w:szCs w:val="28"/>
          <w:lang w:val="uk-UA"/>
        </w:rPr>
        <w:t xml:space="preserve"> 8 Федерального </w:t>
      </w:r>
      <w:proofErr w:type="spellStart"/>
      <w:r w:rsidRPr="00FE417F">
        <w:rPr>
          <w:rFonts w:ascii="PT Astra Serif" w:eastAsia="Calibri" w:hAnsi="PT Astra Serif" w:cs="Times New Roman"/>
          <w:szCs w:val="28"/>
          <w:lang w:val="uk-UA"/>
        </w:rPr>
        <w:t>закона</w:t>
      </w:r>
      <w:proofErr w:type="spellEnd"/>
      <w:r w:rsidRPr="00FE417F">
        <w:rPr>
          <w:rFonts w:ascii="PT Astra Serif" w:eastAsia="Calibri" w:hAnsi="PT Astra Serif" w:cs="Times New Roman"/>
          <w:szCs w:val="28"/>
          <w:lang w:val="uk-UA"/>
        </w:rPr>
        <w:t xml:space="preserve"> от 02.05.2006 № 59-ФЗ «О </w:t>
      </w:r>
      <w:proofErr w:type="spellStart"/>
      <w:r w:rsidRPr="00FE417F">
        <w:rPr>
          <w:rFonts w:ascii="PT Astra Serif" w:eastAsia="Calibri" w:hAnsi="PT Astra Serif" w:cs="Times New Roman"/>
          <w:szCs w:val="28"/>
          <w:lang w:val="uk-UA"/>
        </w:rPr>
        <w:t>порядке</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рассмотрения</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обращений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граждан</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Российской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Федерации</w:t>
      </w:r>
      <w:proofErr w:type="spellEnd"/>
      <w:r w:rsidRPr="00FE417F">
        <w:rPr>
          <w:rFonts w:ascii="PT Astra Serif" w:eastAsia="Calibri" w:hAnsi="PT Astra Serif" w:cs="Times New Roman"/>
          <w:szCs w:val="28"/>
          <w:lang w:val="uk-UA"/>
        </w:rPr>
        <w:t xml:space="preserve">» по </w:t>
      </w:r>
      <w:proofErr w:type="spellStart"/>
      <w:r w:rsidRPr="00FE417F">
        <w:rPr>
          <w:rFonts w:ascii="PT Astra Serif" w:eastAsia="Calibri" w:hAnsi="PT Astra Serif" w:cs="Times New Roman"/>
          <w:szCs w:val="28"/>
          <w:lang w:val="uk-UA"/>
        </w:rPr>
        <w:t>компетенции</w:t>
      </w:r>
      <w:proofErr w:type="spellEnd"/>
      <w:r w:rsidRPr="00FE417F">
        <w:rPr>
          <w:rFonts w:ascii="PT Astra Serif" w:eastAsia="Calibri" w:hAnsi="PT Astra Serif" w:cs="Times New Roman"/>
          <w:szCs w:val="28"/>
        </w:rPr>
        <w:t xml:space="preserve"> </w:t>
      </w:r>
      <w:r w:rsidRPr="00FE417F">
        <w:rPr>
          <w:rFonts w:ascii="PT Astra Serif" w:eastAsia="Calibri" w:hAnsi="PT Astra Serif" w:cs="Times New Roman"/>
          <w:szCs w:val="28"/>
        </w:rPr>
        <w:br/>
      </w:r>
      <w:r w:rsidRPr="00FE417F">
        <w:rPr>
          <w:rFonts w:ascii="PT Astra Serif" w:eastAsia="Calibri" w:hAnsi="PT Astra Serif" w:cs="Times New Roman"/>
          <w:szCs w:val="28"/>
          <w:lang w:val="uk-UA"/>
        </w:rPr>
        <w:t xml:space="preserve">в </w:t>
      </w:r>
      <w:proofErr w:type="spellStart"/>
      <w:r w:rsidRPr="00FE417F">
        <w:rPr>
          <w:rFonts w:ascii="PT Astra Serif" w:eastAsia="Calibri" w:hAnsi="PT Astra Serif" w:cs="Times New Roman"/>
          <w:szCs w:val="28"/>
          <w:lang w:val="uk-UA"/>
        </w:rPr>
        <w:t>территориальные</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органы</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федеральных</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органов</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государственной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власти</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lastRenderedPageBreak/>
        <w:t>исполнительные</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органы</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Ульяновской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области</w:t>
      </w:r>
      <w:proofErr w:type="spellEnd"/>
      <w:r w:rsidRPr="00FE417F">
        <w:rPr>
          <w:rFonts w:ascii="PT Astra Serif" w:eastAsia="Calibri" w:hAnsi="PT Astra Serif" w:cs="Times New Roman"/>
          <w:szCs w:val="28"/>
        </w:rPr>
        <w:t xml:space="preserve"> </w:t>
      </w:r>
      <w:r w:rsidRPr="00FE417F">
        <w:rPr>
          <w:rFonts w:ascii="PT Astra Serif" w:eastAsia="Calibri" w:hAnsi="PT Astra Serif" w:cs="Times New Roman"/>
          <w:szCs w:val="28"/>
          <w:lang w:val="uk-UA"/>
        </w:rPr>
        <w:t xml:space="preserve">и </w:t>
      </w:r>
      <w:proofErr w:type="spellStart"/>
      <w:r w:rsidRPr="00FE417F">
        <w:rPr>
          <w:rFonts w:ascii="PT Astra Serif" w:eastAsia="Calibri" w:hAnsi="PT Astra Serif" w:cs="Times New Roman"/>
          <w:szCs w:val="28"/>
          <w:lang w:val="uk-UA"/>
        </w:rPr>
        <w:t>органы</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местного</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самоуправления</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муниципальных</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образований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Ульяновской</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области</w:t>
      </w:r>
      <w:proofErr w:type="spellEnd"/>
      <w:r w:rsidRPr="00FE417F">
        <w:rPr>
          <w:rFonts w:ascii="PT Astra Serif" w:eastAsia="Calibri" w:hAnsi="PT Astra Serif" w:cs="Times New Roman"/>
          <w:szCs w:val="28"/>
          <w:lang w:val="uk-UA"/>
        </w:rPr>
        <w:t xml:space="preserve"> для </w:t>
      </w:r>
      <w:proofErr w:type="spellStart"/>
      <w:r w:rsidRPr="00FE417F">
        <w:rPr>
          <w:rFonts w:ascii="PT Astra Serif" w:eastAsia="Calibri" w:hAnsi="PT Astra Serif" w:cs="Times New Roman"/>
          <w:szCs w:val="28"/>
          <w:lang w:val="uk-UA"/>
        </w:rPr>
        <w:t>рассмотрения</w:t>
      </w:r>
      <w:proofErr w:type="spellEnd"/>
      <w:r w:rsidRPr="00FE417F">
        <w:rPr>
          <w:rFonts w:ascii="PT Astra Serif" w:eastAsia="Calibri" w:hAnsi="PT Astra Serif" w:cs="Times New Roman"/>
          <w:szCs w:val="28"/>
          <w:lang w:val="uk-UA"/>
        </w:rPr>
        <w:t xml:space="preserve"> по </w:t>
      </w:r>
      <w:proofErr w:type="spellStart"/>
      <w:r w:rsidRPr="00FE417F">
        <w:rPr>
          <w:rFonts w:ascii="PT Astra Serif" w:eastAsia="Calibri" w:hAnsi="PT Astra Serif" w:cs="Times New Roman"/>
          <w:szCs w:val="28"/>
          <w:lang w:val="uk-UA"/>
        </w:rPr>
        <w:t>существу</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поставленных</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гражданами</w:t>
      </w:r>
      <w:proofErr w:type="spellEnd"/>
      <w:r w:rsidRPr="00FE417F">
        <w:rPr>
          <w:rFonts w:ascii="PT Astra Serif" w:eastAsia="Calibri" w:hAnsi="PT Astra Serif" w:cs="Times New Roman"/>
          <w:szCs w:val="28"/>
          <w:lang w:val="uk-UA"/>
        </w:rPr>
        <w:t xml:space="preserve"> </w:t>
      </w:r>
      <w:proofErr w:type="spellStart"/>
      <w:r w:rsidRPr="00FE417F">
        <w:rPr>
          <w:rFonts w:ascii="PT Astra Serif" w:eastAsia="Calibri" w:hAnsi="PT Astra Serif" w:cs="Times New Roman"/>
          <w:szCs w:val="28"/>
          <w:lang w:val="uk-UA"/>
        </w:rPr>
        <w:t>вопросов</w:t>
      </w:r>
      <w:proofErr w:type="spellEnd"/>
      <w:r w:rsidRPr="00FE417F">
        <w:rPr>
          <w:rFonts w:ascii="PT Astra Serif" w:eastAsia="Calibri" w:hAnsi="PT Astra Serif" w:cs="Times New Roman"/>
          <w:szCs w:val="28"/>
          <w:lang w:val="uk-UA"/>
        </w:rPr>
        <w:t>.</w:t>
      </w:r>
      <w:r w:rsidRPr="00FE417F">
        <w:rPr>
          <w:rFonts w:ascii="PT Astra Serif" w:eastAsia="Calibri" w:hAnsi="PT Astra Serif" w:cs="Times New Roman"/>
          <w:szCs w:val="28"/>
        </w:rPr>
        <w:t xml:space="preserve"> </w:t>
      </w:r>
      <w:r w:rsidRPr="00FE417F">
        <w:rPr>
          <w:rFonts w:ascii="PT Astra Serif" w:eastAsia="Calibri" w:hAnsi="PT Astra Serif" w:cs="Times New Roman"/>
          <w:szCs w:val="28"/>
          <w:lang w:val="uk-UA"/>
        </w:rPr>
        <w:t>По 2</w:t>
      </w:r>
      <w:r w:rsidRPr="00FE417F">
        <w:rPr>
          <w:rFonts w:ascii="PT Astra Serif" w:eastAsia="Calibri" w:hAnsi="PT Astra Serif" w:cs="Times New Roman"/>
          <w:szCs w:val="28"/>
        </w:rPr>
        <w:t>2</w:t>
      </w:r>
      <w:r w:rsidRPr="00FE417F">
        <w:rPr>
          <w:rFonts w:ascii="PT Astra Serif" w:eastAsia="Calibri" w:hAnsi="PT Astra Serif" w:cs="Times New Roman"/>
          <w:szCs w:val="28"/>
          <w:lang w:val="uk-UA"/>
        </w:rPr>
        <w:t>% –</w:t>
      </w:r>
      <w:r w:rsidRPr="00FE417F">
        <w:rPr>
          <w:rFonts w:ascii="PT Astra Serif" w:eastAsia="Calibri" w:hAnsi="PT Astra Serif" w:cs="Times New Roman"/>
          <w:szCs w:val="28"/>
        </w:rPr>
        <w:t xml:space="preserve"> </w:t>
      </w:r>
      <w:proofErr w:type="spellStart"/>
      <w:r w:rsidRPr="00FE417F">
        <w:rPr>
          <w:rFonts w:ascii="PT Astra Serif" w:eastAsia="Calibri" w:hAnsi="PT Astra Serif" w:cs="Times New Roman"/>
          <w:szCs w:val="28"/>
          <w:lang w:val="uk-UA"/>
        </w:rPr>
        <w:t>заявител</w:t>
      </w:r>
      <w:proofErr w:type="spellEnd"/>
      <w:r w:rsidRPr="00FE417F">
        <w:rPr>
          <w:rFonts w:ascii="PT Astra Serif" w:eastAsia="Calibri" w:hAnsi="PT Astra Serif" w:cs="Times New Roman"/>
          <w:szCs w:val="28"/>
        </w:rPr>
        <w:t>и</w:t>
      </w:r>
      <w:r w:rsidRPr="00FE417F">
        <w:rPr>
          <w:rFonts w:ascii="PT Astra Serif" w:eastAsia="Calibri" w:hAnsi="PT Astra Serif" w:cs="Times New Roman"/>
          <w:szCs w:val="28"/>
          <w:lang w:val="uk-UA"/>
        </w:rPr>
        <w:t xml:space="preserve"> </w:t>
      </w:r>
      <w:r w:rsidRPr="00FE417F">
        <w:rPr>
          <w:rFonts w:ascii="PT Astra Serif" w:eastAsia="Calibri" w:hAnsi="PT Astra Serif" w:cs="Times New Roman"/>
          <w:szCs w:val="28"/>
        </w:rPr>
        <w:t>получили</w:t>
      </w:r>
      <w:r w:rsidRPr="00FE417F">
        <w:rPr>
          <w:rFonts w:ascii="PT Astra Serif" w:eastAsia="Calibri" w:hAnsi="PT Astra Serif" w:cs="Times New Roman"/>
          <w:szCs w:val="28"/>
          <w:lang w:val="uk-UA"/>
        </w:rPr>
        <w:t xml:space="preserve"> </w:t>
      </w:r>
      <w:r w:rsidRPr="00FE417F">
        <w:rPr>
          <w:rFonts w:ascii="PT Astra Serif" w:eastAsia="Calibri" w:hAnsi="PT Astra Serif" w:cs="Times New Roman"/>
          <w:szCs w:val="28"/>
        </w:rPr>
        <w:t xml:space="preserve">аргументированные </w:t>
      </w:r>
      <w:proofErr w:type="spellStart"/>
      <w:r w:rsidRPr="00FE417F">
        <w:rPr>
          <w:rFonts w:ascii="PT Astra Serif" w:eastAsia="Calibri" w:hAnsi="PT Astra Serif" w:cs="Times New Roman"/>
          <w:szCs w:val="28"/>
          <w:lang w:val="uk-UA"/>
        </w:rPr>
        <w:t>разъяснения</w:t>
      </w:r>
      <w:proofErr w:type="spellEnd"/>
      <w:r w:rsidRPr="00FE417F">
        <w:rPr>
          <w:rFonts w:ascii="PT Astra Serif" w:eastAsia="Calibri" w:hAnsi="PT Astra Serif" w:cs="Times New Roman"/>
          <w:szCs w:val="28"/>
          <w:lang w:val="uk-UA"/>
        </w:rPr>
        <w:t xml:space="preserve"> в </w:t>
      </w:r>
      <w:proofErr w:type="spellStart"/>
      <w:r w:rsidRPr="00FE417F">
        <w:rPr>
          <w:rFonts w:ascii="PT Astra Serif" w:eastAsia="Calibri" w:hAnsi="PT Astra Serif" w:cs="Times New Roman"/>
          <w:szCs w:val="28"/>
          <w:lang w:val="uk-UA"/>
        </w:rPr>
        <w:t>соответствии</w:t>
      </w:r>
      <w:proofErr w:type="spellEnd"/>
      <w:r w:rsidRPr="00FE417F">
        <w:rPr>
          <w:rFonts w:ascii="PT Astra Serif" w:eastAsia="Calibri" w:hAnsi="PT Astra Serif" w:cs="Times New Roman"/>
          <w:szCs w:val="28"/>
        </w:rPr>
        <w:t xml:space="preserve"> </w:t>
      </w:r>
      <w:r w:rsidRPr="00FE417F">
        <w:rPr>
          <w:rFonts w:ascii="PT Astra Serif" w:eastAsia="Calibri" w:hAnsi="PT Astra Serif" w:cs="Times New Roman"/>
          <w:szCs w:val="28"/>
        </w:rPr>
        <w:br/>
      </w:r>
      <w:r w:rsidRPr="00FE417F">
        <w:rPr>
          <w:rFonts w:ascii="PT Astra Serif" w:eastAsia="Calibri" w:hAnsi="PT Astra Serif" w:cs="Times New Roman"/>
          <w:szCs w:val="28"/>
          <w:lang w:val="uk-UA"/>
        </w:rPr>
        <w:t xml:space="preserve">с </w:t>
      </w:r>
      <w:proofErr w:type="spellStart"/>
      <w:r w:rsidRPr="00FE417F">
        <w:rPr>
          <w:rFonts w:ascii="PT Astra Serif" w:eastAsia="Calibri" w:hAnsi="PT Astra Serif" w:cs="Times New Roman"/>
          <w:szCs w:val="28"/>
          <w:lang w:val="uk-UA"/>
        </w:rPr>
        <w:t>законодательством</w:t>
      </w:r>
      <w:proofErr w:type="spellEnd"/>
      <w:r w:rsidRPr="00FE417F">
        <w:rPr>
          <w:rFonts w:ascii="PT Astra Serif" w:eastAsia="Calibri" w:hAnsi="PT Astra Serif" w:cs="Times New Roman"/>
          <w:szCs w:val="28"/>
        </w:rPr>
        <w:t>, по 4% – меры приняты в полном объёме.</w:t>
      </w:r>
    </w:p>
    <w:p w14:paraId="6C32D6A9" w14:textId="77777777" w:rsidR="00FE417F" w:rsidRPr="00FE417F" w:rsidRDefault="00FE417F" w:rsidP="00FE417F">
      <w:pPr>
        <w:widowControl w:val="0"/>
        <w:ind w:firstLine="720"/>
        <w:rPr>
          <w:rFonts w:ascii="PT Astra Serif" w:hAnsi="PT Astra Serif"/>
          <w:szCs w:val="28"/>
          <w:highlight w:val="yellow"/>
          <w:lang w:eastAsia="ru-RU"/>
        </w:rPr>
      </w:pPr>
    </w:p>
    <w:p w14:paraId="5A9841C2" w14:textId="77777777" w:rsidR="00250BEC" w:rsidRPr="00250BEC" w:rsidRDefault="00250BEC" w:rsidP="00250BEC">
      <w:pPr>
        <w:widowControl w:val="0"/>
        <w:contextualSpacing/>
        <w:rPr>
          <w:rFonts w:ascii="PT Astra Serif" w:hAnsi="PT Astra Serif"/>
          <w:bCs/>
          <w:iCs/>
          <w:szCs w:val="28"/>
        </w:rPr>
      </w:pPr>
    </w:p>
    <w:p w14:paraId="1E9AE511" w14:textId="77777777" w:rsidR="00250BEC" w:rsidRDefault="00250BEC" w:rsidP="00AB3E2D">
      <w:pPr>
        <w:widowControl w:val="0"/>
        <w:rPr>
          <w:rFonts w:ascii="PT Astra Serif" w:eastAsia="Calibri" w:hAnsi="PT Astra Serif" w:cs="Times New Roman"/>
          <w:szCs w:val="28"/>
        </w:rPr>
      </w:pPr>
    </w:p>
    <w:sectPr w:rsidR="00250BEC" w:rsidSect="00B5030C">
      <w:headerReference w:type="default" r:id="rId68"/>
      <w:pgSz w:w="11906" w:h="16838"/>
      <w:pgMar w:top="1134" w:right="851" w:bottom="1134" w:left="1701" w:header="709" w:footer="709"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82FEA5" w14:textId="77777777" w:rsidR="00517ED1" w:rsidRDefault="00517ED1" w:rsidP="00843571">
      <w:r>
        <w:separator/>
      </w:r>
    </w:p>
  </w:endnote>
  <w:endnote w:type="continuationSeparator" w:id="0">
    <w:p w14:paraId="1F88B431" w14:textId="77777777" w:rsidR="00517ED1" w:rsidRDefault="00517ED1" w:rsidP="008435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PT Astra Serif">
    <w:panose1 w:val="020A0603040505020204"/>
    <w:charset w:val="CC"/>
    <w:family w:val="roman"/>
    <w:pitch w:val="variable"/>
    <w:sig w:usb0="A00002EF" w:usb1="5000204B" w:usb2="00000020" w:usb3="00000000" w:csb0="00000097"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OpenSymbol, 'Arial Unicode MS'">
    <w:charset w:val="00"/>
    <w:family w:val="auto"/>
    <w:pitch w:val="variable"/>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Helvetica">
    <w:panose1 w:val="020B0604020202020204"/>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ag_souvenir">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DejaVu Sans">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Liberation Serif">
    <w:charset w:val="CC"/>
    <w:family w:val="roman"/>
    <w:pitch w:val="variable"/>
    <w:sig w:usb0="E0000AFF" w:usb1="500078FF" w:usb2="00000021" w:usb3="00000000" w:csb0="000001BF" w:csb1="00000000"/>
  </w:font>
  <w:font w:name="Noto Sans Devanagari">
    <w:altName w:val="Times New Roman"/>
    <w:charset w:val="00"/>
    <w:family w:val="swiss"/>
    <w:pitch w:val="variable"/>
    <w:sig w:usb0="80008023" w:usb1="00002046" w:usb2="00000000" w:usb3="00000000" w:csb0="00000001" w:csb1="00000000"/>
  </w:font>
  <w:font w:name="timesdl">
    <w:charset w:val="CC"/>
    <w:family w:val="auto"/>
    <w:pitch w:val="variable"/>
    <w:sig w:usb0="00000001" w:usb1="00000000" w:usb2="00000000" w:usb3="00000000" w:csb0="00000005" w:csb1="00000000"/>
  </w:font>
  <w:font w:name="NSimSun">
    <w:panose1 w:val="02010609030101010101"/>
    <w:charset w:val="86"/>
    <w:family w:val="modern"/>
    <w:pitch w:val="fixed"/>
    <w:sig w:usb0="00000003" w:usb1="288F0000" w:usb2="00000016" w:usb3="00000000" w:csb0="00040001" w:csb1="00000000"/>
  </w:font>
  <w:font w:name="minion pro">
    <w:panose1 w:val="00000000000000000000"/>
    <w:charset w:val="00"/>
    <w:family w:val="roman"/>
    <w:notTrueType/>
    <w:pitch w:val="variable"/>
    <w:sig w:usb0="60000287" w:usb1="00000001" w:usb2="00000000" w:usb3="00000000" w:csb0="0000019F" w:csb1="00000000"/>
  </w:font>
  <w:font w:name="font320">
    <w:charset w:val="CC"/>
    <w:family w:val="auto"/>
    <w:pitch w:val="variable"/>
  </w:font>
  <w:font w:name="DengXian">
    <w:altName w:val="等线"/>
    <w:panose1 w:val="02010600030101010101"/>
    <w:charset w:val="86"/>
    <w:family w:val="auto"/>
    <w:pitch w:val="variable"/>
    <w:sig w:usb0="A00002BF" w:usb1="38CF7CFA" w:usb2="00000016" w:usb3="00000000" w:csb0="0004000F" w:csb1="00000000"/>
  </w:font>
  <w:font w:name="helvetica neue">
    <w:charset w:val="00"/>
    <w:family w:val="auto"/>
    <w:pitch w:val="variable"/>
    <w:sig w:usb0="80000067" w:usb1="00000000" w:usb2="00000000" w:usb3="00000000" w:csb0="00000001" w:csb1="00000000"/>
  </w:font>
  <w:font w:name="helveticaneuecyr">
    <w:panose1 w:val="00000000000000000000"/>
    <w:charset w:val="00"/>
    <w:family w:val="swiss"/>
    <w:notTrueType/>
    <w:pitch w:val="default"/>
    <w:sig w:usb0="00000003" w:usb1="00000000" w:usb2="00000000" w:usb3="00000000" w:csb0="00000001" w:csb1="00000000"/>
  </w:font>
  <w:font w:name="PT Sans">
    <w:charset w:val="CC"/>
    <w:family w:val="swiss"/>
    <w:pitch w:val="variable"/>
    <w:sig w:usb0="A00002EF" w:usb1="5000204B" w:usb2="00000000" w:usb3="00000000" w:csb0="00000097" w:csb1="00000000"/>
  </w:font>
  <w:font w:name="neris black">
    <w:altName w:val="Times New Roman"/>
    <w:panose1 w:val="00000000000000000000"/>
    <w:charset w:val="00"/>
    <w:family w:val="roman"/>
    <w:notTrueType/>
    <w:pitch w:val="default"/>
  </w:font>
  <w:font w:name="Noto Sans">
    <w:altName w:val="Arial"/>
    <w:charset w:val="00"/>
    <w:family w:val="swiss"/>
    <w:pitch w:val="variable"/>
    <w:sig w:usb0="E00082FF" w:usb1="400078FF" w:usb2="00000021" w:usb3="00000000" w:csb0="0000019F" w:csb1="00000000"/>
  </w:font>
  <w:font w:name="Liberation Sans">
    <w:charset w:val="00"/>
    <w:family w:val="auto"/>
    <w:pitch w:val="default"/>
  </w:font>
  <w:font w:name="source han sans cn regular">
    <w:charset w:val="01"/>
    <w:family w:val="auto"/>
    <w:pitch w:val="variable"/>
  </w:font>
  <w:font w:name="Angsana New">
    <w:panose1 w:val="02020603050405020304"/>
    <w:charset w:val="00"/>
    <w:family w:val="roman"/>
    <w:pitch w:val="variable"/>
    <w:sig w:usb0="81000003" w:usb1="00000000" w:usb2="00000000" w:usb3="00000000" w:csb0="00010001" w:csb1="00000000"/>
  </w:font>
  <w:font w:name="OpenSymbol">
    <w:charset w:val="01"/>
    <w:family w:val="auto"/>
    <w:pitch w:val="variable"/>
  </w:font>
  <w:font w:name="Consolas">
    <w:panose1 w:val="020B0609020204030204"/>
    <w:charset w:val="CC"/>
    <w:family w:val="modern"/>
    <w:pitch w:val="fixed"/>
    <w:sig w:usb0="E10002FF" w:usb1="4000F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andale sans ui">
    <w:charset w:val="CC"/>
    <w:family w:val="auto"/>
    <w:pitch w:val="variable"/>
  </w:font>
  <w:font w:name="PT Serif">
    <w:altName w:val="Times New Roman"/>
    <w:charset w:val="00"/>
    <w:family w:val="auto"/>
    <w:pitch w:val="default"/>
  </w:font>
  <w:font w:name="Meiryo">
    <w:panose1 w:val="020B0604030504040204"/>
    <w:charset w:val="80"/>
    <w:family w:val="swiss"/>
    <w:pitch w:val="variable"/>
    <w:sig w:usb0="E10102FF" w:usb1="EAC7FFFF" w:usb2="00010012" w:usb3="00000000" w:csb0="0002009F" w:csb1="00000000"/>
  </w:font>
  <w:font w:name="+mn-ea">
    <w:altName w:val="Cambria"/>
    <w:panose1 w:val="00000000000000000000"/>
    <w:charset w:val="00"/>
    <w:family w:val="roman"/>
    <w:notTrueType/>
    <w:pitch w:val="default"/>
  </w:font>
  <w:font w:name="system-ui">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CB44DA" w14:textId="77777777" w:rsidR="00517ED1" w:rsidRDefault="00517ED1" w:rsidP="00843571">
      <w:r>
        <w:separator/>
      </w:r>
    </w:p>
  </w:footnote>
  <w:footnote w:type="continuationSeparator" w:id="0">
    <w:p w14:paraId="0B8E160C" w14:textId="77777777" w:rsidR="00517ED1" w:rsidRDefault="00517ED1" w:rsidP="0084357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400441"/>
      <w:docPartObj>
        <w:docPartGallery w:val="Page Numbers (Top of Page)"/>
        <w:docPartUnique/>
      </w:docPartObj>
    </w:sdtPr>
    <w:sdtEndPr>
      <w:rPr>
        <w:rFonts w:ascii="PT Astra Serif" w:hAnsi="PT Astra Serif"/>
      </w:rPr>
    </w:sdtEndPr>
    <w:sdtContent>
      <w:p w14:paraId="65C22471" w14:textId="1D562686" w:rsidR="009B14F6" w:rsidRPr="004B4863" w:rsidRDefault="009B14F6" w:rsidP="004B4863">
        <w:pPr>
          <w:pStyle w:val="ac"/>
          <w:ind w:firstLine="0"/>
          <w:jc w:val="center"/>
          <w:rPr>
            <w:rFonts w:ascii="PT Astra Serif" w:hAnsi="PT Astra Serif"/>
          </w:rPr>
        </w:pPr>
        <w:r w:rsidRPr="00C04416">
          <w:rPr>
            <w:rFonts w:ascii="PT Astra Serif" w:hAnsi="PT Astra Serif"/>
          </w:rPr>
          <w:fldChar w:fldCharType="begin"/>
        </w:r>
        <w:r w:rsidRPr="00C04416">
          <w:rPr>
            <w:rFonts w:ascii="PT Astra Serif" w:hAnsi="PT Astra Serif"/>
          </w:rPr>
          <w:instrText>PAGE   \* MERGEFORMAT</w:instrText>
        </w:r>
        <w:r w:rsidRPr="00C04416">
          <w:rPr>
            <w:rFonts w:ascii="PT Astra Serif" w:hAnsi="PT Astra Serif"/>
          </w:rPr>
          <w:fldChar w:fldCharType="separate"/>
        </w:r>
        <w:r w:rsidR="001306E4">
          <w:rPr>
            <w:rFonts w:ascii="PT Astra Serif" w:hAnsi="PT Astra Serif"/>
            <w:noProof/>
          </w:rPr>
          <w:t>2</w:t>
        </w:r>
        <w:r w:rsidRPr="00C04416">
          <w:rPr>
            <w:rFonts w:ascii="PT Astra Serif" w:hAnsi="PT Astra Serif"/>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0"/>
        </w:tabs>
        <w:ind w:left="1440" w:hanging="360"/>
      </w:pPr>
      <w:rPr>
        <w:rFonts w:ascii="Symbol" w:hAnsi="Symbol" w:cs="Symbol" w:hint="default"/>
        <w:sz w:val="28"/>
        <w:szCs w:val="28"/>
        <w:lang w:val="ru-RU" w:bidi="ar-SA"/>
      </w:rPr>
    </w:lvl>
  </w:abstractNum>
  <w:abstractNum w:abstractNumId="1" w15:restartNumberingAfterBreak="0">
    <w:nsid w:val="00000002"/>
    <w:multiLevelType w:val="multilevel"/>
    <w:tmpl w:val="00000002"/>
    <w:name w:val="WW8Num2"/>
    <w:lvl w:ilvl="0">
      <w:start w:val="1"/>
      <w:numFmt w:val="decimal"/>
      <w:lvlText w:val="%1."/>
      <w:lvlJc w:val="left"/>
      <w:pPr>
        <w:tabs>
          <w:tab w:val="num" w:pos="644"/>
        </w:tabs>
        <w:ind w:left="644" w:hanging="360"/>
      </w:pPr>
      <w:rPr>
        <w:rFonts w:ascii="Times New Roman" w:hAnsi="Times New Roman" w:cs="Times New Roman"/>
        <w:sz w:val="28"/>
        <w:szCs w:val="28"/>
      </w:rPr>
    </w:lvl>
    <w:lvl w:ilvl="1">
      <w:start w:val="1"/>
      <w:numFmt w:val="decimal"/>
      <w:lvlText w:val="%2."/>
      <w:lvlJc w:val="left"/>
      <w:pPr>
        <w:tabs>
          <w:tab w:val="num" w:pos="1004"/>
        </w:tabs>
        <w:ind w:left="1004" w:hanging="360"/>
      </w:pPr>
      <w:rPr>
        <w:rFonts w:ascii="Times New Roman" w:hAnsi="Times New Roman" w:cs="Times New Roman"/>
        <w:sz w:val="28"/>
        <w:szCs w:val="28"/>
      </w:rPr>
    </w:lvl>
    <w:lvl w:ilvl="2">
      <w:start w:val="1"/>
      <w:numFmt w:val="decimal"/>
      <w:lvlText w:val="%3."/>
      <w:lvlJc w:val="left"/>
      <w:pPr>
        <w:tabs>
          <w:tab w:val="num" w:pos="1364"/>
        </w:tabs>
        <w:ind w:left="1364" w:hanging="360"/>
      </w:pPr>
      <w:rPr>
        <w:rFonts w:ascii="Times New Roman" w:hAnsi="Times New Roman" w:cs="Times New Roman"/>
        <w:sz w:val="28"/>
        <w:szCs w:val="28"/>
      </w:rPr>
    </w:lvl>
    <w:lvl w:ilvl="3">
      <w:start w:val="1"/>
      <w:numFmt w:val="decimal"/>
      <w:lvlText w:val="%4."/>
      <w:lvlJc w:val="left"/>
      <w:pPr>
        <w:tabs>
          <w:tab w:val="num" w:pos="1724"/>
        </w:tabs>
        <w:ind w:left="1724" w:hanging="360"/>
      </w:pPr>
      <w:rPr>
        <w:rFonts w:ascii="Times New Roman" w:hAnsi="Times New Roman" w:cs="Times New Roman"/>
        <w:sz w:val="28"/>
        <w:szCs w:val="28"/>
      </w:rPr>
    </w:lvl>
    <w:lvl w:ilvl="4">
      <w:start w:val="1"/>
      <w:numFmt w:val="decimal"/>
      <w:lvlText w:val="%5."/>
      <w:lvlJc w:val="left"/>
      <w:pPr>
        <w:tabs>
          <w:tab w:val="num" w:pos="2084"/>
        </w:tabs>
        <w:ind w:left="2084" w:hanging="360"/>
      </w:pPr>
      <w:rPr>
        <w:rFonts w:ascii="Times New Roman" w:hAnsi="Times New Roman" w:cs="Times New Roman"/>
        <w:sz w:val="28"/>
        <w:szCs w:val="28"/>
      </w:rPr>
    </w:lvl>
    <w:lvl w:ilvl="5">
      <w:start w:val="1"/>
      <w:numFmt w:val="decimal"/>
      <w:lvlText w:val="%6."/>
      <w:lvlJc w:val="left"/>
      <w:pPr>
        <w:tabs>
          <w:tab w:val="num" w:pos="2444"/>
        </w:tabs>
        <w:ind w:left="2444" w:hanging="360"/>
      </w:pPr>
      <w:rPr>
        <w:rFonts w:ascii="Times New Roman" w:hAnsi="Times New Roman" w:cs="Times New Roman"/>
        <w:sz w:val="28"/>
        <w:szCs w:val="28"/>
      </w:rPr>
    </w:lvl>
    <w:lvl w:ilvl="6">
      <w:start w:val="1"/>
      <w:numFmt w:val="decimal"/>
      <w:lvlText w:val="%7."/>
      <w:lvlJc w:val="left"/>
      <w:pPr>
        <w:tabs>
          <w:tab w:val="num" w:pos="2804"/>
        </w:tabs>
        <w:ind w:left="2804" w:hanging="360"/>
      </w:pPr>
      <w:rPr>
        <w:rFonts w:ascii="Times New Roman" w:hAnsi="Times New Roman" w:cs="Times New Roman"/>
        <w:sz w:val="28"/>
        <w:szCs w:val="28"/>
      </w:rPr>
    </w:lvl>
    <w:lvl w:ilvl="7">
      <w:start w:val="1"/>
      <w:numFmt w:val="decimal"/>
      <w:lvlText w:val="%8."/>
      <w:lvlJc w:val="left"/>
      <w:pPr>
        <w:tabs>
          <w:tab w:val="num" w:pos="3164"/>
        </w:tabs>
        <w:ind w:left="3164" w:hanging="360"/>
      </w:pPr>
      <w:rPr>
        <w:rFonts w:ascii="Times New Roman" w:hAnsi="Times New Roman" w:cs="Times New Roman"/>
        <w:sz w:val="28"/>
        <w:szCs w:val="28"/>
      </w:rPr>
    </w:lvl>
    <w:lvl w:ilvl="8">
      <w:start w:val="1"/>
      <w:numFmt w:val="decimal"/>
      <w:lvlText w:val="%9."/>
      <w:lvlJc w:val="left"/>
      <w:pPr>
        <w:tabs>
          <w:tab w:val="num" w:pos="3524"/>
        </w:tabs>
        <w:ind w:left="3524" w:hanging="360"/>
      </w:pPr>
      <w:rPr>
        <w:rFonts w:ascii="Times New Roman" w:hAnsi="Times New Roman" w:cs="Times New Roman"/>
        <w:sz w:val="28"/>
        <w:szCs w:val="28"/>
      </w:rPr>
    </w:lvl>
  </w:abstractNum>
  <w:abstractNum w:abstractNumId="2" w15:restartNumberingAfterBreak="0">
    <w:nsid w:val="00000003"/>
    <w:multiLevelType w:val="multilevel"/>
    <w:tmpl w:val="00000003"/>
    <w:name w:val="WW8Num3"/>
    <w:lvl w:ilvl="0">
      <w:start w:val="1"/>
      <w:numFmt w:val="none"/>
      <w:suff w:val="nothing"/>
      <w:lvlText w:val=""/>
      <w:lvlJc w:val="left"/>
      <w:pPr>
        <w:tabs>
          <w:tab w:val="num" w:pos="0"/>
        </w:tabs>
        <w:ind w:left="0" w:firstLine="0"/>
      </w:pPr>
      <w:rPr>
        <w:rFonts w:ascii="PT Astra Serif" w:eastAsia="Symbol" w:hAnsi="PT Astra Serif" w:cs="PT Astra Serif"/>
        <w:sz w:val="28"/>
        <w:szCs w:val="28"/>
        <w:highlight w:val="cyan"/>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1429" w:hanging="360"/>
      </w:pPr>
      <w:rPr>
        <w:rFonts w:ascii="Symbol" w:hAnsi="Symbol" w:cs="Symbol" w:hint="default"/>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1429" w:hanging="360"/>
      </w:pPr>
      <w:rPr>
        <w:rFonts w:ascii="Symbol" w:hAnsi="Symbol" w:cs="Symbol" w:hint="default"/>
      </w:rPr>
    </w:lvl>
  </w:abstractNum>
  <w:abstractNum w:abstractNumId="5" w15:restartNumberingAfterBreak="0">
    <w:nsid w:val="00000006"/>
    <w:multiLevelType w:val="multilevel"/>
    <w:tmpl w:val="00000006"/>
    <w:name w:val="WWNum48"/>
    <w:lvl w:ilvl="0">
      <w:start w:val="1"/>
      <w:numFmt w:val="bullet"/>
      <w:lvlText w:val=""/>
      <w:lvlJc w:val="left"/>
      <w:pPr>
        <w:tabs>
          <w:tab w:val="num" w:pos="0"/>
        </w:tabs>
        <w:ind w:left="1429" w:hanging="360"/>
      </w:pPr>
      <w:rPr>
        <w:rFonts w:ascii="Wingdings" w:hAnsi="Wingdings"/>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6" w15:restartNumberingAfterBreak="0">
    <w:nsid w:val="042D516E"/>
    <w:multiLevelType w:val="hybridMultilevel"/>
    <w:tmpl w:val="F02A2834"/>
    <w:lvl w:ilvl="0" w:tplc="EE1C392C">
      <w:start w:val="1"/>
      <w:numFmt w:val="bullet"/>
      <w:lvlText w:val=""/>
      <w:lvlJc w:val="left"/>
      <w:pPr>
        <w:tabs>
          <w:tab w:val="num" w:pos="720"/>
        </w:tabs>
        <w:ind w:left="720" w:hanging="360"/>
      </w:pPr>
      <w:rPr>
        <w:rFonts w:ascii="Symbol" w:hAnsi="Symbol" w:hint="default"/>
      </w:rPr>
    </w:lvl>
    <w:lvl w:ilvl="1" w:tplc="66180AAE">
      <w:start w:val="1"/>
      <w:numFmt w:val="bullet"/>
      <w:pStyle w:val="a"/>
      <w:lvlText w:val=""/>
      <w:lvlJc w:val="left"/>
      <w:pPr>
        <w:tabs>
          <w:tab w:val="num" w:pos="1440"/>
        </w:tabs>
        <w:ind w:left="1440" w:hanging="360"/>
      </w:pPr>
      <w:rPr>
        <w:rFonts w:ascii="Wingdings 2" w:hAnsi="Wingdings 2" w:hint="default"/>
        <w:b w:val="0"/>
        <w:i w:val="0"/>
        <w:caps/>
        <w:strike w:val="0"/>
        <w:dstrike w:val="0"/>
        <w:vanish w:val="0"/>
        <w:color w:val="000000"/>
        <w:sz w:val="32"/>
        <w:vertAlign w:val="baseline"/>
        <w14:shadow w14:blurRad="0" w14:dist="0" w14:dir="0" w14:sx="0" w14:sy="0" w14:kx="0" w14:ky="0" w14:algn="none">
          <w14:srgbClr w14:val="000000"/>
        </w14:shadow>
        <w14:textOutline w14:w="0" w14:cap="rnd" w14:cmpd="sng" w14:algn="ctr">
          <w14:noFill/>
          <w14:prstDash w14:val="solid"/>
          <w14:bevel/>
        </w14:textOutline>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322E38"/>
    <w:multiLevelType w:val="hybridMultilevel"/>
    <w:tmpl w:val="CBE0C976"/>
    <w:lvl w:ilvl="0" w:tplc="7688D3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04705EBB"/>
    <w:multiLevelType w:val="multilevel"/>
    <w:tmpl w:val="FF306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D33577"/>
    <w:multiLevelType w:val="multilevel"/>
    <w:tmpl w:val="C0A63D1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FF858F3"/>
    <w:multiLevelType w:val="multilevel"/>
    <w:tmpl w:val="543AC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5CF52A8"/>
    <w:multiLevelType w:val="hybridMultilevel"/>
    <w:tmpl w:val="3A041F10"/>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EBB2047"/>
    <w:multiLevelType w:val="hybridMultilevel"/>
    <w:tmpl w:val="19344E56"/>
    <w:lvl w:ilvl="0" w:tplc="0419000D">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13" w15:restartNumberingAfterBreak="0">
    <w:nsid w:val="1FB529A4"/>
    <w:multiLevelType w:val="multilevel"/>
    <w:tmpl w:val="55867E72"/>
    <w:styleLink w:val="WWNum1"/>
    <w:lvl w:ilvl="0">
      <w:numFmt w:val="bullet"/>
      <w:lvlText w:val=""/>
      <w:lvlJc w:val="left"/>
      <w:pPr>
        <w:ind w:left="1429" w:hanging="360"/>
      </w:pPr>
      <w:rPr>
        <w:rFonts w:ascii="Symbol" w:hAnsi="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rPr>
    </w:lvl>
    <w:lvl w:ilvl="3">
      <w:numFmt w:val="bullet"/>
      <w:lvlText w:val=""/>
      <w:lvlJc w:val="left"/>
      <w:pPr>
        <w:ind w:left="3589" w:hanging="360"/>
      </w:pPr>
      <w:rPr>
        <w:rFonts w:ascii="Symbol" w:hAnsi="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rPr>
    </w:lvl>
    <w:lvl w:ilvl="6">
      <w:numFmt w:val="bullet"/>
      <w:lvlText w:val=""/>
      <w:lvlJc w:val="left"/>
      <w:pPr>
        <w:ind w:left="5749" w:hanging="360"/>
      </w:pPr>
      <w:rPr>
        <w:rFonts w:ascii="Symbol" w:hAnsi="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rPr>
    </w:lvl>
  </w:abstractNum>
  <w:abstractNum w:abstractNumId="14" w15:restartNumberingAfterBreak="0">
    <w:nsid w:val="221E0B70"/>
    <w:multiLevelType w:val="hybridMultilevel"/>
    <w:tmpl w:val="F27285F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61C2D52"/>
    <w:multiLevelType w:val="hybridMultilevel"/>
    <w:tmpl w:val="A1167A9A"/>
    <w:styleLink w:val="6"/>
    <w:lvl w:ilvl="0" w:tplc="FD623188">
      <w:start w:val="1"/>
      <w:numFmt w:val="decimal"/>
      <w:lvlText w:val="%1."/>
      <w:lvlJc w:val="left"/>
      <w:pPr>
        <w:tabs>
          <w:tab w:val="left" w:pos="993"/>
        </w:tabs>
        <w:ind w:left="360" w:hanging="360"/>
      </w:pPr>
      <w:rPr>
        <w:rFonts w:ascii="Times New Roman" w:eastAsia="Times New Roman" w:hAnsi="Times New Roman" w:cs="Times New Roman"/>
        <w:caps w:val="0"/>
        <w:smallCaps w:val="0"/>
        <w:strike w:val="0"/>
        <w:dstrike w:val="0"/>
        <w:color w:val="000000"/>
        <w:spacing w:val="0"/>
        <w:w w:val="100"/>
        <w:kern w:val="0"/>
        <w:position w:val="0"/>
        <w:highlight w:val="none"/>
        <w:vertAlign w:val="baseline"/>
      </w:rPr>
    </w:lvl>
    <w:lvl w:ilvl="1" w:tplc="881AC478">
      <w:start w:val="1"/>
      <w:numFmt w:val="lowerLetter"/>
      <w:lvlText w:val="%2."/>
      <w:lvlJc w:val="left"/>
      <w:pPr>
        <w:tabs>
          <w:tab w:val="left" w:pos="993"/>
        </w:tabs>
        <w:ind w:left="720" w:hanging="360"/>
      </w:pPr>
      <w:rPr>
        <w:rFonts w:hAnsi="Arial Unicode MS"/>
        <w:caps w:val="0"/>
        <w:smallCaps w:val="0"/>
        <w:strike w:val="0"/>
        <w:dstrike w:val="0"/>
        <w:color w:val="000000"/>
        <w:spacing w:val="0"/>
        <w:w w:val="100"/>
        <w:kern w:val="0"/>
        <w:position w:val="0"/>
        <w:highlight w:val="none"/>
        <w:vertAlign w:val="baseline"/>
      </w:rPr>
    </w:lvl>
    <w:lvl w:ilvl="2" w:tplc="DA1E6192">
      <w:start w:val="1"/>
      <w:numFmt w:val="lowerRoman"/>
      <w:lvlText w:val="%3."/>
      <w:lvlJc w:val="left"/>
      <w:pPr>
        <w:tabs>
          <w:tab w:val="left" w:pos="993"/>
        </w:tabs>
        <w:ind w:left="1440" w:hanging="302"/>
      </w:pPr>
      <w:rPr>
        <w:rFonts w:hAnsi="Arial Unicode MS"/>
        <w:caps w:val="0"/>
        <w:smallCaps w:val="0"/>
        <w:strike w:val="0"/>
        <w:dstrike w:val="0"/>
        <w:color w:val="000000"/>
        <w:spacing w:val="0"/>
        <w:w w:val="100"/>
        <w:kern w:val="0"/>
        <w:position w:val="0"/>
        <w:highlight w:val="none"/>
        <w:vertAlign w:val="baseline"/>
      </w:rPr>
    </w:lvl>
    <w:lvl w:ilvl="3" w:tplc="934C6E26">
      <w:start w:val="1"/>
      <w:numFmt w:val="decimal"/>
      <w:lvlText w:val="%4."/>
      <w:lvlJc w:val="left"/>
      <w:pPr>
        <w:tabs>
          <w:tab w:val="left" w:pos="993"/>
        </w:tabs>
        <w:ind w:left="2160" w:hanging="360"/>
      </w:pPr>
      <w:rPr>
        <w:rFonts w:hAnsi="Arial Unicode MS"/>
        <w:caps w:val="0"/>
        <w:smallCaps w:val="0"/>
        <w:strike w:val="0"/>
        <w:dstrike w:val="0"/>
        <w:color w:val="000000"/>
        <w:spacing w:val="0"/>
        <w:w w:val="100"/>
        <w:kern w:val="0"/>
        <w:position w:val="0"/>
        <w:highlight w:val="none"/>
        <w:vertAlign w:val="baseline"/>
      </w:rPr>
    </w:lvl>
    <w:lvl w:ilvl="4" w:tplc="13FACFB0">
      <w:start w:val="1"/>
      <w:numFmt w:val="lowerLetter"/>
      <w:lvlText w:val="%5."/>
      <w:lvlJc w:val="left"/>
      <w:pPr>
        <w:tabs>
          <w:tab w:val="left" w:pos="993"/>
        </w:tabs>
        <w:ind w:left="2880" w:hanging="360"/>
      </w:pPr>
      <w:rPr>
        <w:rFonts w:hAnsi="Arial Unicode MS"/>
        <w:caps w:val="0"/>
        <w:smallCaps w:val="0"/>
        <w:strike w:val="0"/>
        <w:dstrike w:val="0"/>
        <w:color w:val="000000"/>
        <w:spacing w:val="0"/>
        <w:w w:val="100"/>
        <w:kern w:val="0"/>
        <w:position w:val="0"/>
        <w:highlight w:val="none"/>
        <w:vertAlign w:val="baseline"/>
      </w:rPr>
    </w:lvl>
    <w:lvl w:ilvl="5" w:tplc="0E74B302">
      <w:start w:val="1"/>
      <w:numFmt w:val="lowerRoman"/>
      <w:lvlText w:val="%6."/>
      <w:lvlJc w:val="left"/>
      <w:pPr>
        <w:tabs>
          <w:tab w:val="left" w:pos="993"/>
        </w:tabs>
        <w:ind w:left="3600" w:hanging="302"/>
      </w:pPr>
      <w:rPr>
        <w:rFonts w:hAnsi="Arial Unicode MS"/>
        <w:caps w:val="0"/>
        <w:smallCaps w:val="0"/>
        <w:strike w:val="0"/>
        <w:dstrike w:val="0"/>
        <w:color w:val="000000"/>
        <w:spacing w:val="0"/>
        <w:w w:val="100"/>
        <w:kern w:val="0"/>
        <w:position w:val="0"/>
        <w:highlight w:val="none"/>
        <w:vertAlign w:val="baseline"/>
      </w:rPr>
    </w:lvl>
    <w:lvl w:ilvl="6" w:tplc="D9648178">
      <w:start w:val="1"/>
      <w:numFmt w:val="decimal"/>
      <w:lvlText w:val="%7."/>
      <w:lvlJc w:val="left"/>
      <w:pPr>
        <w:tabs>
          <w:tab w:val="left" w:pos="993"/>
        </w:tabs>
        <w:ind w:left="4320" w:hanging="360"/>
      </w:pPr>
      <w:rPr>
        <w:rFonts w:hAnsi="Arial Unicode MS"/>
        <w:caps w:val="0"/>
        <w:smallCaps w:val="0"/>
        <w:strike w:val="0"/>
        <w:dstrike w:val="0"/>
        <w:color w:val="000000"/>
        <w:spacing w:val="0"/>
        <w:w w:val="100"/>
        <w:kern w:val="0"/>
        <w:position w:val="0"/>
        <w:highlight w:val="none"/>
        <w:vertAlign w:val="baseline"/>
      </w:rPr>
    </w:lvl>
    <w:lvl w:ilvl="7" w:tplc="61A22176">
      <w:start w:val="1"/>
      <w:numFmt w:val="lowerLetter"/>
      <w:lvlText w:val="%8."/>
      <w:lvlJc w:val="left"/>
      <w:pPr>
        <w:tabs>
          <w:tab w:val="left" w:pos="993"/>
        </w:tabs>
        <w:ind w:left="5040" w:hanging="360"/>
      </w:pPr>
      <w:rPr>
        <w:rFonts w:hAnsi="Arial Unicode MS"/>
        <w:caps w:val="0"/>
        <w:smallCaps w:val="0"/>
        <w:strike w:val="0"/>
        <w:dstrike w:val="0"/>
        <w:color w:val="000000"/>
        <w:spacing w:val="0"/>
        <w:w w:val="100"/>
        <w:kern w:val="0"/>
        <w:position w:val="0"/>
        <w:highlight w:val="none"/>
        <w:vertAlign w:val="baseline"/>
      </w:rPr>
    </w:lvl>
    <w:lvl w:ilvl="8" w:tplc="11625C4A">
      <w:start w:val="1"/>
      <w:numFmt w:val="lowerRoman"/>
      <w:lvlText w:val="%9."/>
      <w:lvlJc w:val="left"/>
      <w:pPr>
        <w:tabs>
          <w:tab w:val="left" w:pos="993"/>
        </w:tabs>
        <w:ind w:left="5760" w:hanging="302"/>
      </w:pPr>
      <w:rPr>
        <w:rFonts w:hAnsi="Arial Unicode MS"/>
        <w:caps w:val="0"/>
        <w:smallCaps w:val="0"/>
        <w:strike w:val="0"/>
        <w:dstrike w:val="0"/>
        <w:color w:val="000000"/>
        <w:spacing w:val="0"/>
        <w:w w:val="100"/>
        <w:kern w:val="0"/>
        <w:position w:val="0"/>
        <w:highlight w:val="none"/>
        <w:vertAlign w:val="baseline"/>
      </w:rPr>
    </w:lvl>
  </w:abstractNum>
  <w:abstractNum w:abstractNumId="16" w15:restartNumberingAfterBreak="0">
    <w:nsid w:val="28AD3207"/>
    <w:multiLevelType w:val="hybridMultilevel"/>
    <w:tmpl w:val="16F62BF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2A8F7C5B"/>
    <w:multiLevelType w:val="multilevel"/>
    <w:tmpl w:val="A136041E"/>
    <w:lvl w:ilvl="0">
      <w:start w:val="1"/>
      <w:numFmt w:val="decimal"/>
      <w:pStyle w:val="a0"/>
      <w:lvlText w:val="%1."/>
      <w:lvlJc w:val="left"/>
      <w:pPr>
        <w:tabs>
          <w:tab w:val="num" w:pos="1021"/>
        </w:tabs>
        <w:ind w:left="0" w:firstLine="680"/>
      </w:pPr>
      <w:rPr>
        <w:rFonts w:hint="default"/>
        <w:spacing w:val="0"/>
        <w:w w:val="100"/>
        <w:kern w:val="0"/>
        <w:position w:val="0"/>
        <w:sz w:val="28"/>
        <w:szCs w:val="28"/>
      </w:rPr>
    </w:lvl>
    <w:lvl w:ilvl="1">
      <w:start w:val="1"/>
      <w:numFmt w:val="decimal"/>
      <w:lvlText w:val="%1.%2."/>
      <w:lvlJc w:val="left"/>
      <w:pPr>
        <w:tabs>
          <w:tab w:val="num" w:pos="1191"/>
        </w:tabs>
        <w:ind w:left="0" w:firstLine="680"/>
      </w:pPr>
      <w:rPr>
        <w:rFonts w:hint="default"/>
      </w:rPr>
    </w:lvl>
    <w:lvl w:ilvl="2">
      <w:start w:val="1"/>
      <w:numFmt w:val="decimal"/>
      <w:lvlText w:val="%1.%2.%3."/>
      <w:lvlJc w:val="left"/>
      <w:pPr>
        <w:tabs>
          <w:tab w:val="num" w:pos="1191"/>
        </w:tabs>
        <w:ind w:left="975" w:hanging="504"/>
      </w:pPr>
      <w:rPr>
        <w:rFonts w:hint="default"/>
      </w:rPr>
    </w:lvl>
    <w:lvl w:ilvl="3">
      <w:start w:val="1"/>
      <w:numFmt w:val="decimal"/>
      <w:lvlText w:val="%1.%2.%3.%4."/>
      <w:lvlJc w:val="left"/>
      <w:pPr>
        <w:tabs>
          <w:tab w:val="num" w:pos="1551"/>
        </w:tabs>
        <w:ind w:left="1479" w:hanging="648"/>
      </w:pPr>
      <w:rPr>
        <w:rFonts w:hint="default"/>
      </w:rPr>
    </w:lvl>
    <w:lvl w:ilvl="4">
      <w:start w:val="1"/>
      <w:numFmt w:val="decimal"/>
      <w:lvlText w:val="%1.%2.%3.%4.%5."/>
      <w:lvlJc w:val="left"/>
      <w:pPr>
        <w:tabs>
          <w:tab w:val="num" w:pos="2271"/>
        </w:tabs>
        <w:ind w:left="1983" w:hanging="792"/>
      </w:pPr>
      <w:rPr>
        <w:rFonts w:hint="default"/>
      </w:rPr>
    </w:lvl>
    <w:lvl w:ilvl="5">
      <w:start w:val="1"/>
      <w:numFmt w:val="decimal"/>
      <w:lvlText w:val="%1.%2.%3.%4.%5.%6."/>
      <w:lvlJc w:val="left"/>
      <w:pPr>
        <w:tabs>
          <w:tab w:val="num" w:pos="2631"/>
        </w:tabs>
        <w:ind w:left="2487" w:hanging="936"/>
      </w:pPr>
      <w:rPr>
        <w:rFonts w:hint="default"/>
      </w:rPr>
    </w:lvl>
    <w:lvl w:ilvl="6">
      <w:start w:val="1"/>
      <w:numFmt w:val="decimal"/>
      <w:lvlText w:val="%1.%2.%3.%4.%5.%6.%7."/>
      <w:lvlJc w:val="left"/>
      <w:pPr>
        <w:tabs>
          <w:tab w:val="num" w:pos="3351"/>
        </w:tabs>
        <w:ind w:left="2991" w:hanging="1080"/>
      </w:pPr>
      <w:rPr>
        <w:rFonts w:hint="default"/>
      </w:rPr>
    </w:lvl>
    <w:lvl w:ilvl="7">
      <w:start w:val="1"/>
      <w:numFmt w:val="decimal"/>
      <w:lvlText w:val="%1.%2.%3.%4.%5.%6.%7.%8."/>
      <w:lvlJc w:val="left"/>
      <w:pPr>
        <w:tabs>
          <w:tab w:val="num" w:pos="3711"/>
        </w:tabs>
        <w:ind w:left="3495" w:hanging="1224"/>
      </w:pPr>
      <w:rPr>
        <w:rFonts w:hint="default"/>
      </w:rPr>
    </w:lvl>
    <w:lvl w:ilvl="8">
      <w:start w:val="1"/>
      <w:numFmt w:val="decimal"/>
      <w:lvlText w:val="%1.%2.%3.%4.%5.%6.%7.%8.%9."/>
      <w:lvlJc w:val="left"/>
      <w:pPr>
        <w:tabs>
          <w:tab w:val="num" w:pos="4431"/>
        </w:tabs>
        <w:ind w:left="4071" w:hanging="1440"/>
      </w:pPr>
      <w:rPr>
        <w:rFonts w:hint="default"/>
      </w:rPr>
    </w:lvl>
  </w:abstractNum>
  <w:abstractNum w:abstractNumId="18" w15:restartNumberingAfterBreak="0">
    <w:nsid w:val="2AB7766D"/>
    <w:multiLevelType w:val="multilevel"/>
    <w:tmpl w:val="2642F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5B81206"/>
    <w:multiLevelType w:val="hybridMultilevel"/>
    <w:tmpl w:val="DDEC43B0"/>
    <w:lvl w:ilvl="0" w:tplc="0A3024BA">
      <w:start w:val="1"/>
      <w:numFmt w:val="decimal"/>
      <w:pStyle w:val="a1"/>
      <w:lvlText w:val="%1."/>
      <w:lvlJc w:val="left"/>
      <w:pPr>
        <w:tabs>
          <w:tab w:val="num" w:pos="360"/>
        </w:tabs>
        <w:ind w:left="360" w:hanging="360"/>
      </w:pPr>
      <w:rPr>
        <w:rFonts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BD4592"/>
    <w:multiLevelType w:val="multilevel"/>
    <w:tmpl w:val="86665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9DB33C6"/>
    <w:multiLevelType w:val="multilevel"/>
    <w:tmpl w:val="DB7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E8955A5"/>
    <w:multiLevelType w:val="hybridMultilevel"/>
    <w:tmpl w:val="D54A1D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FCE7598"/>
    <w:multiLevelType w:val="multilevel"/>
    <w:tmpl w:val="56103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00E1574"/>
    <w:multiLevelType w:val="multilevel"/>
    <w:tmpl w:val="600C0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1D41A0A"/>
    <w:multiLevelType w:val="hybridMultilevel"/>
    <w:tmpl w:val="5EA685BE"/>
    <w:lvl w:ilvl="0" w:tplc="5D9CB38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2476B62"/>
    <w:multiLevelType w:val="hybridMultilevel"/>
    <w:tmpl w:val="109A2A0C"/>
    <w:lvl w:ilvl="0" w:tplc="7DD82C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42754075"/>
    <w:multiLevelType w:val="multilevel"/>
    <w:tmpl w:val="34CCD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7764384"/>
    <w:multiLevelType w:val="hybridMultilevel"/>
    <w:tmpl w:val="BACA6B02"/>
    <w:lvl w:ilvl="0" w:tplc="FFFFFFFF">
      <w:start w:val="1"/>
      <w:numFmt w:val="bullet"/>
      <w:pStyle w:val="a2"/>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4A35C4"/>
    <w:multiLevelType w:val="multilevel"/>
    <w:tmpl w:val="AC6C1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B583D2D"/>
    <w:multiLevelType w:val="hybridMultilevel"/>
    <w:tmpl w:val="4F1C75E8"/>
    <w:styleLink w:val="5"/>
    <w:lvl w:ilvl="0" w:tplc="C0ECBF60">
      <w:start w:val="1"/>
      <w:numFmt w:val="bullet"/>
      <w:lvlText w:val="o"/>
      <w:lvlJc w:val="left"/>
      <w:pPr>
        <w:tabs>
          <w:tab w:val="num" w:pos="1416"/>
        </w:tabs>
        <w:ind w:left="565" w:firstLine="28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1" w:tplc="3DE63120">
      <w:start w:val="1"/>
      <w:numFmt w:val="bullet"/>
      <w:lvlText w:val="o"/>
      <w:lvlJc w:val="left"/>
      <w:pPr>
        <w:tabs>
          <w:tab w:val="num" w:pos="1647"/>
        </w:tabs>
        <w:ind w:left="796" w:firstLine="374"/>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2" w:tplc="255A5E5C">
      <w:start w:val="1"/>
      <w:numFmt w:val="bullet"/>
      <w:lvlText w:val="▪"/>
      <w:lvlJc w:val="left"/>
      <w:pPr>
        <w:tabs>
          <w:tab w:val="num" w:pos="2367"/>
        </w:tabs>
        <w:ind w:left="1516" w:firstLine="38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3" w:tplc="5BF09890">
      <w:start w:val="1"/>
      <w:numFmt w:val="bullet"/>
      <w:lvlText w:val="•"/>
      <w:lvlJc w:val="left"/>
      <w:pPr>
        <w:tabs>
          <w:tab w:val="num" w:pos="3087"/>
        </w:tabs>
        <w:ind w:left="2236" w:firstLine="39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4" w:tplc="4D924EC6">
      <w:start w:val="1"/>
      <w:numFmt w:val="bullet"/>
      <w:lvlText w:val="o"/>
      <w:lvlJc w:val="left"/>
      <w:pPr>
        <w:tabs>
          <w:tab w:val="num" w:pos="3807"/>
        </w:tabs>
        <w:ind w:left="2956" w:firstLine="41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5" w:tplc="7B74A0BE">
      <w:start w:val="1"/>
      <w:numFmt w:val="bullet"/>
      <w:lvlText w:val="▪"/>
      <w:lvlJc w:val="left"/>
      <w:pPr>
        <w:tabs>
          <w:tab w:val="num" w:pos="4527"/>
        </w:tabs>
        <w:ind w:left="3676" w:firstLine="422"/>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6" w:tplc="096CCADC">
      <w:start w:val="1"/>
      <w:numFmt w:val="bullet"/>
      <w:lvlText w:val="•"/>
      <w:lvlJc w:val="left"/>
      <w:pPr>
        <w:tabs>
          <w:tab w:val="num" w:pos="5247"/>
        </w:tabs>
        <w:ind w:left="4396" w:firstLine="434"/>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7" w:tplc="1698063A">
      <w:start w:val="1"/>
      <w:numFmt w:val="bullet"/>
      <w:lvlText w:val="o"/>
      <w:lvlJc w:val="left"/>
      <w:pPr>
        <w:tabs>
          <w:tab w:val="num" w:pos="5967"/>
        </w:tabs>
        <w:ind w:left="5116" w:firstLine="446"/>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lvl w:ilvl="8" w:tplc="1CB487E6">
      <w:start w:val="1"/>
      <w:numFmt w:val="bullet"/>
      <w:lvlText w:val="▪"/>
      <w:lvlJc w:val="left"/>
      <w:pPr>
        <w:tabs>
          <w:tab w:val="num" w:pos="6687"/>
        </w:tabs>
        <w:ind w:left="5836" w:firstLine="458"/>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rPr>
    </w:lvl>
  </w:abstractNum>
  <w:abstractNum w:abstractNumId="31" w15:restartNumberingAfterBreak="0">
    <w:nsid w:val="4C6D4279"/>
    <w:multiLevelType w:val="multilevel"/>
    <w:tmpl w:val="A57C2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0825F8E"/>
    <w:multiLevelType w:val="hybridMultilevel"/>
    <w:tmpl w:val="3BD235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F9D42BC"/>
    <w:multiLevelType w:val="multilevel"/>
    <w:tmpl w:val="B6182870"/>
    <w:styleLink w:val="WWNum6"/>
    <w:lvl w:ilvl="0">
      <w:numFmt w:val="bullet"/>
      <w:lvlText w:val=""/>
      <w:lvlJc w:val="left"/>
      <w:rPr>
        <w:rFonts w:ascii="Symbol" w:hAnsi="Symbol" w:cs="OpenSymbol, 'Arial Unicode MS'"/>
        <w:b/>
        <w:color w:val="000000"/>
        <w:sz w:val="28"/>
        <w:szCs w:val="28"/>
      </w:rPr>
    </w:lvl>
    <w:lvl w:ilvl="1">
      <w:numFmt w:val="bullet"/>
      <w:lvlText w:val=""/>
      <w:lvlJc w:val="left"/>
      <w:rPr>
        <w:rFonts w:ascii="Symbol" w:hAnsi="Symbol" w:cs="OpenSymbol, 'Arial Unicode MS'"/>
        <w:color w:val="000000"/>
        <w:sz w:val="28"/>
        <w:szCs w:val="28"/>
      </w:rPr>
    </w:lvl>
    <w:lvl w:ilvl="2">
      <w:numFmt w:val="bullet"/>
      <w:lvlText w:val=""/>
      <w:lvlJc w:val="left"/>
      <w:rPr>
        <w:rFonts w:ascii="Symbol" w:hAnsi="Symbol" w:cs="OpenSymbol, 'Arial Unicode MS'"/>
        <w:color w:val="000000"/>
        <w:sz w:val="28"/>
        <w:szCs w:val="28"/>
      </w:rPr>
    </w:lvl>
    <w:lvl w:ilvl="3">
      <w:numFmt w:val="bullet"/>
      <w:lvlText w:val=""/>
      <w:lvlJc w:val="left"/>
      <w:rPr>
        <w:rFonts w:ascii="Symbol" w:hAnsi="Symbol" w:cs="OpenSymbol, 'Arial Unicode MS'"/>
        <w:color w:val="000000"/>
        <w:sz w:val="28"/>
        <w:szCs w:val="28"/>
      </w:rPr>
    </w:lvl>
    <w:lvl w:ilvl="4">
      <w:numFmt w:val="bullet"/>
      <w:lvlText w:val=""/>
      <w:lvlJc w:val="left"/>
      <w:rPr>
        <w:rFonts w:ascii="Symbol" w:hAnsi="Symbol" w:cs="OpenSymbol, 'Arial Unicode MS'"/>
        <w:color w:val="000000"/>
        <w:sz w:val="28"/>
        <w:szCs w:val="28"/>
      </w:rPr>
    </w:lvl>
    <w:lvl w:ilvl="5">
      <w:numFmt w:val="bullet"/>
      <w:lvlText w:val=""/>
      <w:lvlJc w:val="left"/>
      <w:rPr>
        <w:rFonts w:ascii="Symbol" w:hAnsi="Symbol" w:cs="OpenSymbol, 'Arial Unicode MS'"/>
        <w:color w:val="000000"/>
        <w:sz w:val="28"/>
        <w:szCs w:val="28"/>
      </w:rPr>
    </w:lvl>
    <w:lvl w:ilvl="6">
      <w:numFmt w:val="bullet"/>
      <w:lvlText w:val=""/>
      <w:lvlJc w:val="left"/>
      <w:rPr>
        <w:rFonts w:ascii="Symbol" w:hAnsi="Symbol" w:cs="OpenSymbol, 'Arial Unicode MS'"/>
        <w:color w:val="000000"/>
        <w:sz w:val="28"/>
        <w:szCs w:val="28"/>
      </w:rPr>
    </w:lvl>
    <w:lvl w:ilvl="7">
      <w:numFmt w:val="bullet"/>
      <w:lvlText w:val=""/>
      <w:lvlJc w:val="left"/>
      <w:rPr>
        <w:rFonts w:ascii="Symbol" w:hAnsi="Symbol" w:cs="OpenSymbol, 'Arial Unicode MS'"/>
        <w:color w:val="000000"/>
        <w:sz w:val="28"/>
        <w:szCs w:val="28"/>
      </w:rPr>
    </w:lvl>
    <w:lvl w:ilvl="8">
      <w:numFmt w:val="bullet"/>
      <w:lvlText w:val=""/>
      <w:lvlJc w:val="left"/>
      <w:rPr>
        <w:rFonts w:ascii="Symbol" w:hAnsi="Symbol" w:cs="OpenSymbol, 'Arial Unicode MS'"/>
        <w:color w:val="000000"/>
        <w:sz w:val="28"/>
        <w:szCs w:val="28"/>
      </w:rPr>
    </w:lvl>
  </w:abstractNum>
  <w:abstractNum w:abstractNumId="34" w15:restartNumberingAfterBreak="0">
    <w:nsid w:val="62A93F61"/>
    <w:multiLevelType w:val="multilevel"/>
    <w:tmpl w:val="67801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D56509D"/>
    <w:multiLevelType w:val="hybridMultilevel"/>
    <w:tmpl w:val="B6ECFE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F9A257D"/>
    <w:multiLevelType w:val="multilevel"/>
    <w:tmpl w:val="CF2EC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A9B6382"/>
    <w:multiLevelType w:val="hybridMultilevel"/>
    <w:tmpl w:val="5F1AC0B2"/>
    <w:lvl w:ilvl="0" w:tplc="0419000D">
      <w:start w:val="1"/>
      <w:numFmt w:val="bullet"/>
      <w:lvlText w:val=""/>
      <w:lvlJc w:val="left"/>
      <w:pPr>
        <w:ind w:left="1501" w:hanging="360"/>
      </w:pPr>
      <w:rPr>
        <w:rFonts w:ascii="Wingdings" w:hAnsi="Wingdings"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num w:numId="1">
    <w:abstractNumId w:val="30"/>
  </w:num>
  <w:num w:numId="2">
    <w:abstractNumId w:val="15"/>
  </w:num>
  <w:num w:numId="3">
    <w:abstractNumId w:val="6"/>
  </w:num>
  <w:num w:numId="4">
    <w:abstractNumId w:val="19"/>
  </w:num>
  <w:num w:numId="5">
    <w:abstractNumId w:val="17"/>
  </w:num>
  <w:num w:numId="6">
    <w:abstractNumId w:val="33"/>
  </w:num>
  <w:num w:numId="7">
    <w:abstractNumId w:val="13"/>
  </w:num>
  <w:num w:numId="8">
    <w:abstractNumId w:val="25"/>
  </w:num>
  <w:num w:numId="9">
    <w:abstractNumId w:val="16"/>
  </w:num>
  <w:num w:numId="10">
    <w:abstractNumId w:val="7"/>
  </w:num>
  <w:num w:numId="11">
    <w:abstractNumId w:val="11"/>
  </w:num>
  <w:num w:numId="12">
    <w:abstractNumId w:val="14"/>
  </w:num>
  <w:num w:numId="13">
    <w:abstractNumId w:val="32"/>
  </w:num>
  <w:num w:numId="14">
    <w:abstractNumId w:val="22"/>
  </w:num>
  <w:num w:numId="15">
    <w:abstractNumId w:val="37"/>
  </w:num>
  <w:num w:numId="16">
    <w:abstractNumId w:val="35"/>
  </w:num>
  <w:num w:numId="17">
    <w:abstractNumId w:val="21"/>
  </w:num>
  <w:num w:numId="18">
    <w:abstractNumId w:val="26"/>
  </w:num>
  <w:num w:numId="19">
    <w:abstractNumId w:val="12"/>
  </w:num>
  <w:num w:numId="20">
    <w:abstractNumId w:val="18"/>
  </w:num>
  <w:num w:numId="21">
    <w:abstractNumId w:val="10"/>
  </w:num>
  <w:num w:numId="22">
    <w:abstractNumId w:val="34"/>
  </w:num>
  <w:num w:numId="23">
    <w:abstractNumId w:val="20"/>
  </w:num>
  <w:num w:numId="24">
    <w:abstractNumId w:val="23"/>
  </w:num>
  <w:num w:numId="25">
    <w:abstractNumId w:val="29"/>
  </w:num>
  <w:num w:numId="26">
    <w:abstractNumId w:val="9"/>
  </w:num>
  <w:num w:numId="27">
    <w:abstractNumId w:val="36"/>
  </w:num>
  <w:num w:numId="28">
    <w:abstractNumId w:val="31"/>
  </w:num>
  <w:num w:numId="29">
    <w:abstractNumId w:val="8"/>
  </w:num>
  <w:num w:numId="30">
    <w:abstractNumId w:val="24"/>
  </w:num>
  <w:num w:numId="31">
    <w:abstractNumId w:val="27"/>
  </w:num>
  <w:num w:numId="32">
    <w:abstractNumId w:val="2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F4F"/>
    <w:rsid w:val="0000017A"/>
    <w:rsid w:val="000017AF"/>
    <w:rsid w:val="00001A0B"/>
    <w:rsid w:val="00001EEA"/>
    <w:rsid w:val="0000279A"/>
    <w:rsid w:val="00003433"/>
    <w:rsid w:val="00003C2B"/>
    <w:rsid w:val="00004FAE"/>
    <w:rsid w:val="000054BF"/>
    <w:rsid w:val="00005975"/>
    <w:rsid w:val="00005A38"/>
    <w:rsid w:val="00005FD1"/>
    <w:rsid w:val="0000651B"/>
    <w:rsid w:val="00006FA0"/>
    <w:rsid w:val="000077D5"/>
    <w:rsid w:val="00007945"/>
    <w:rsid w:val="00010216"/>
    <w:rsid w:val="0001026B"/>
    <w:rsid w:val="000102BC"/>
    <w:rsid w:val="0001098C"/>
    <w:rsid w:val="00010B46"/>
    <w:rsid w:val="00010FD7"/>
    <w:rsid w:val="00011B7B"/>
    <w:rsid w:val="00012094"/>
    <w:rsid w:val="000142D0"/>
    <w:rsid w:val="000144E7"/>
    <w:rsid w:val="000146D1"/>
    <w:rsid w:val="00016D07"/>
    <w:rsid w:val="00016E20"/>
    <w:rsid w:val="000172EE"/>
    <w:rsid w:val="00017B64"/>
    <w:rsid w:val="00020340"/>
    <w:rsid w:val="00020FD0"/>
    <w:rsid w:val="00021BC7"/>
    <w:rsid w:val="00021E05"/>
    <w:rsid w:val="00022873"/>
    <w:rsid w:val="00023789"/>
    <w:rsid w:val="00023FAA"/>
    <w:rsid w:val="000249E9"/>
    <w:rsid w:val="00024C24"/>
    <w:rsid w:val="000251BF"/>
    <w:rsid w:val="00025741"/>
    <w:rsid w:val="00025875"/>
    <w:rsid w:val="00025ABB"/>
    <w:rsid w:val="00026637"/>
    <w:rsid w:val="00026698"/>
    <w:rsid w:val="00026DDE"/>
    <w:rsid w:val="0002744B"/>
    <w:rsid w:val="000278AF"/>
    <w:rsid w:val="00027A47"/>
    <w:rsid w:val="00030A69"/>
    <w:rsid w:val="0003241E"/>
    <w:rsid w:val="00033431"/>
    <w:rsid w:val="0003369C"/>
    <w:rsid w:val="00033817"/>
    <w:rsid w:val="00033AFD"/>
    <w:rsid w:val="00033DEF"/>
    <w:rsid w:val="00034127"/>
    <w:rsid w:val="00035145"/>
    <w:rsid w:val="00035678"/>
    <w:rsid w:val="0003615E"/>
    <w:rsid w:val="00036CC7"/>
    <w:rsid w:val="000377D1"/>
    <w:rsid w:val="00037927"/>
    <w:rsid w:val="00037962"/>
    <w:rsid w:val="00037C36"/>
    <w:rsid w:val="00037E81"/>
    <w:rsid w:val="00041497"/>
    <w:rsid w:val="00042155"/>
    <w:rsid w:val="00042A9F"/>
    <w:rsid w:val="0004469E"/>
    <w:rsid w:val="0004596C"/>
    <w:rsid w:val="000467B7"/>
    <w:rsid w:val="00046FFC"/>
    <w:rsid w:val="0004781A"/>
    <w:rsid w:val="00047C42"/>
    <w:rsid w:val="00050AC9"/>
    <w:rsid w:val="000518E5"/>
    <w:rsid w:val="00052B40"/>
    <w:rsid w:val="00052CDE"/>
    <w:rsid w:val="00053684"/>
    <w:rsid w:val="00053C3E"/>
    <w:rsid w:val="00053CED"/>
    <w:rsid w:val="00053DB6"/>
    <w:rsid w:val="00054B8B"/>
    <w:rsid w:val="00054DB2"/>
    <w:rsid w:val="0005525C"/>
    <w:rsid w:val="00055676"/>
    <w:rsid w:val="00055C9B"/>
    <w:rsid w:val="0005681C"/>
    <w:rsid w:val="00057A9E"/>
    <w:rsid w:val="00057F81"/>
    <w:rsid w:val="00060247"/>
    <w:rsid w:val="00062761"/>
    <w:rsid w:val="00063C83"/>
    <w:rsid w:val="000646EF"/>
    <w:rsid w:val="00064A21"/>
    <w:rsid w:val="00064D86"/>
    <w:rsid w:val="0006572F"/>
    <w:rsid w:val="00065CFC"/>
    <w:rsid w:val="000664D7"/>
    <w:rsid w:val="0006657B"/>
    <w:rsid w:val="0006658E"/>
    <w:rsid w:val="00066C14"/>
    <w:rsid w:val="00066F77"/>
    <w:rsid w:val="000702EB"/>
    <w:rsid w:val="00070AA4"/>
    <w:rsid w:val="00070ACA"/>
    <w:rsid w:val="000710F0"/>
    <w:rsid w:val="00071CC2"/>
    <w:rsid w:val="00071D41"/>
    <w:rsid w:val="00072246"/>
    <w:rsid w:val="00072F35"/>
    <w:rsid w:val="00074F69"/>
    <w:rsid w:val="00075040"/>
    <w:rsid w:val="0007557D"/>
    <w:rsid w:val="0007562C"/>
    <w:rsid w:val="00075ED0"/>
    <w:rsid w:val="000768B0"/>
    <w:rsid w:val="00076DE4"/>
    <w:rsid w:val="0007718E"/>
    <w:rsid w:val="000804BE"/>
    <w:rsid w:val="00081E07"/>
    <w:rsid w:val="00081F06"/>
    <w:rsid w:val="00082EAE"/>
    <w:rsid w:val="00083EFB"/>
    <w:rsid w:val="00084AC0"/>
    <w:rsid w:val="00084B1A"/>
    <w:rsid w:val="0008511E"/>
    <w:rsid w:val="000854C3"/>
    <w:rsid w:val="000858C1"/>
    <w:rsid w:val="00086155"/>
    <w:rsid w:val="000864B8"/>
    <w:rsid w:val="00091C7C"/>
    <w:rsid w:val="00093F0C"/>
    <w:rsid w:val="00093FCD"/>
    <w:rsid w:val="00094F74"/>
    <w:rsid w:val="000953B9"/>
    <w:rsid w:val="00095897"/>
    <w:rsid w:val="000975E3"/>
    <w:rsid w:val="00097FC7"/>
    <w:rsid w:val="000A107A"/>
    <w:rsid w:val="000A3215"/>
    <w:rsid w:val="000A3903"/>
    <w:rsid w:val="000A3D9B"/>
    <w:rsid w:val="000A3D9F"/>
    <w:rsid w:val="000A4156"/>
    <w:rsid w:val="000A611D"/>
    <w:rsid w:val="000A61B1"/>
    <w:rsid w:val="000A64ED"/>
    <w:rsid w:val="000A6603"/>
    <w:rsid w:val="000A6D87"/>
    <w:rsid w:val="000A6E00"/>
    <w:rsid w:val="000A730B"/>
    <w:rsid w:val="000B10AE"/>
    <w:rsid w:val="000B21FF"/>
    <w:rsid w:val="000B23FA"/>
    <w:rsid w:val="000B26F4"/>
    <w:rsid w:val="000B2845"/>
    <w:rsid w:val="000B2B22"/>
    <w:rsid w:val="000B2C8D"/>
    <w:rsid w:val="000B3990"/>
    <w:rsid w:val="000B3A0F"/>
    <w:rsid w:val="000B45A2"/>
    <w:rsid w:val="000B492D"/>
    <w:rsid w:val="000B49CD"/>
    <w:rsid w:val="000B5158"/>
    <w:rsid w:val="000B53C7"/>
    <w:rsid w:val="000B668D"/>
    <w:rsid w:val="000C1291"/>
    <w:rsid w:val="000C30B7"/>
    <w:rsid w:val="000C40F5"/>
    <w:rsid w:val="000C4282"/>
    <w:rsid w:val="000C437C"/>
    <w:rsid w:val="000C48B7"/>
    <w:rsid w:val="000C4BF5"/>
    <w:rsid w:val="000C521B"/>
    <w:rsid w:val="000C777F"/>
    <w:rsid w:val="000C7831"/>
    <w:rsid w:val="000C7A3A"/>
    <w:rsid w:val="000C7D5E"/>
    <w:rsid w:val="000C7DD0"/>
    <w:rsid w:val="000C7F8D"/>
    <w:rsid w:val="000D0600"/>
    <w:rsid w:val="000D0772"/>
    <w:rsid w:val="000D0CC7"/>
    <w:rsid w:val="000D168A"/>
    <w:rsid w:val="000D1A1D"/>
    <w:rsid w:val="000D1E52"/>
    <w:rsid w:val="000D2211"/>
    <w:rsid w:val="000D43F8"/>
    <w:rsid w:val="000D48F2"/>
    <w:rsid w:val="000D50C3"/>
    <w:rsid w:val="000D5881"/>
    <w:rsid w:val="000D59D5"/>
    <w:rsid w:val="000D59D9"/>
    <w:rsid w:val="000D6597"/>
    <w:rsid w:val="000D672C"/>
    <w:rsid w:val="000D68F8"/>
    <w:rsid w:val="000D6EC0"/>
    <w:rsid w:val="000D7377"/>
    <w:rsid w:val="000D7569"/>
    <w:rsid w:val="000E01BA"/>
    <w:rsid w:val="000E054B"/>
    <w:rsid w:val="000E1039"/>
    <w:rsid w:val="000E1D93"/>
    <w:rsid w:val="000E1EA6"/>
    <w:rsid w:val="000E2458"/>
    <w:rsid w:val="000E270C"/>
    <w:rsid w:val="000E3A68"/>
    <w:rsid w:val="000E3E48"/>
    <w:rsid w:val="000E5B2A"/>
    <w:rsid w:val="000E6E95"/>
    <w:rsid w:val="000E709B"/>
    <w:rsid w:val="000E71CA"/>
    <w:rsid w:val="000E750C"/>
    <w:rsid w:val="000F0031"/>
    <w:rsid w:val="000F0288"/>
    <w:rsid w:val="000F0BF1"/>
    <w:rsid w:val="000F3159"/>
    <w:rsid w:val="000F381C"/>
    <w:rsid w:val="000F3A4F"/>
    <w:rsid w:val="000F54FA"/>
    <w:rsid w:val="000F5DE0"/>
    <w:rsid w:val="000F60AE"/>
    <w:rsid w:val="000F614E"/>
    <w:rsid w:val="000F652A"/>
    <w:rsid w:val="000F69F9"/>
    <w:rsid w:val="000F6D5E"/>
    <w:rsid w:val="000F7CD0"/>
    <w:rsid w:val="00100171"/>
    <w:rsid w:val="001002C9"/>
    <w:rsid w:val="001005D6"/>
    <w:rsid w:val="001011F9"/>
    <w:rsid w:val="001013C1"/>
    <w:rsid w:val="001018D6"/>
    <w:rsid w:val="00101ACF"/>
    <w:rsid w:val="00101B7D"/>
    <w:rsid w:val="00101D6E"/>
    <w:rsid w:val="00101D8D"/>
    <w:rsid w:val="00101EBC"/>
    <w:rsid w:val="001025A1"/>
    <w:rsid w:val="00102662"/>
    <w:rsid w:val="001034DA"/>
    <w:rsid w:val="00103EC4"/>
    <w:rsid w:val="001041EC"/>
    <w:rsid w:val="00104893"/>
    <w:rsid w:val="00104B4B"/>
    <w:rsid w:val="001058D8"/>
    <w:rsid w:val="001079F8"/>
    <w:rsid w:val="00107D42"/>
    <w:rsid w:val="0011048E"/>
    <w:rsid w:val="0011053D"/>
    <w:rsid w:val="00110A1F"/>
    <w:rsid w:val="00111269"/>
    <w:rsid w:val="00111D9A"/>
    <w:rsid w:val="00111E41"/>
    <w:rsid w:val="00111ECB"/>
    <w:rsid w:val="001126DF"/>
    <w:rsid w:val="001127A8"/>
    <w:rsid w:val="00113446"/>
    <w:rsid w:val="001152B4"/>
    <w:rsid w:val="00116210"/>
    <w:rsid w:val="00116C7F"/>
    <w:rsid w:val="001177FF"/>
    <w:rsid w:val="00117A8E"/>
    <w:rsid w:val="00120402"/>
    <w:rsid w:val="00121E82"/>
    <w:rsid w:val="001227B6"/>
    <w:rsid w:val="0012284E"/>
    <w:rsid w:val="00123511"/>
    <w:rsid w:val="0012380E"/>
    <w:rsid w:val="00124B84"/>
    <w:rsid w:val="00124D44"/>
    <w:rsid w:val="001253EE"/>
    <w:rsid w:val="001257D6"/>
    <w:rsid w:val="00125BC1"/>
    <w:rsid w:val="0013010F"/>
    <w:rsid w:val="001306E4"/>
    <w:rsid w:val="001309AC"/>
    <w:rsid w:val="00130A62"/>
    <w:rsid w:val="00132520"/>
    <w:rsid w:val="0013381E"/>
    <w:rsid w:val="00133C6E"/>
    <w:rsid w:val="00134E40"/>
    <w:rsid w:val="00135CF5"/>
    <w:rsid w:val="001364B0"/>
    <w:rsid w:val="001369E7"/>
    <w:rsid w:val="001372B8"/>
    <w:rsid w:val="00141E2D"/>
    <w:rsid w:val="00142605"/>
    <w:rsid w:val="0014291C"/>
    <w:rsid w:val="00142A99"/>
    <w:rsid w:val="00142F4A"/>
    <w:rsid w:val="001446DA"/>
    <w:rsid w:val="00144A97"/>
    <w:rsid w:val="00144EC6"/>
    <w:rsid w:val="00145137"/>
    <w:rsid w:val="00145706"/>
    <w:rsid w:val="001457A6"/>
    <w:rsid w:val="001457E6"/>
    <w:rsid w:val="001466D4"/>
    <w:rsid w:val="00146BB6"/>
    <w:rsid w:val="00147571"/>
    <w:rsid w:val="00147FCD"/>
    <w:rsid w:val="00150176"/>
    <w:rsid w:val="00150597"/>
    <w:rsid w:val="001515DA"/>
    <w:rsid w:val="00151606"/>
    <w:rsid w:val="00151ADA"/>
    <w:rsid w:val="0015227A"/>
    <w:rsid w:val="00152989"/>
    <w:rsid w:val="0015367C"/>
    <w:rsid w:val="00153B8A"/>
    <w:rsid w:val="00154EAD"/>
    <w:rsid w:val="0015513D"/>
    <w:rsid w:val="00155D63"/>
    <w:rsid w:val="0015698A"/>
    <w:rsid w:val="00156F84"/>
    <w:rsid w:val="001573E9"/>
    <w:rsid w:val="001612D0"/>
    <w:rsid w:val="0016198C"/>
    <w:rsid w:val="00162925"/>
    <w:rsid w:val="00162F26"/>
    <w:rsid w:val="00162FC5"/>
    <w:rsid w:val="00163694"/>
    <w:rsid w:val="00163823"/>
    <w:rsid w:val="001639EC"/>
    <w:rsid w:val="001645FB"/>
    <w:rsid w:val="00166093"/>
    <w:rsid w:val="001660E6"/>
    <w:rsid w:val="001662DF"/>
    <w:rsid w:val="001709AC"/>
    <w:rsid w:val="00170A74"/>
    <w:rsid w:val="00170BB4"/>
    <w:rsid w:val="00170CC8"/>
    <w:rsid w:val="00170DB9"/>
    <w:rsid w:val="00171785"/>
    <w:rsid w:val="00171965"/>
    <w:rsid w:val="00171B60"/>
    <w:rsid w:val="001726B3"/>
    <w:rsid w:val="00172A5E"/>
    <w:rsid w:val="00174891"/>
    <w:rsid w:val="001758CC"/>
    <w:rsid w:val="00175910"/>
    <w:rsid w:val="00176818"/>
    <w:rsid w:val="00176E0C"/>
    <w:rsid w:val="001775C5"/>
    <w:rsid w:val="00177B66"/>
    <w:rsid w:val="00177DCC"/>
    <w:rsid w:val="00180BE7"/>
    <w:rsid w:val="00180FAF"/>
    <w:rsid w:val="00181789"/>
    <w:rsid w:val="00181AC0"/>
    <w:rsid w:val="00181F64"/>
    <w:rsid w:val="00182A1B"/>
    <w:rsid w:val="00182FF5"/>
    <w:rsid w:val="00183880"/>
    <w:rsid w:val="001838F6"/>
    <w:rsid w:val="001841C8"/>
    <w:rsid w:val="001841E4"/>
    <w:rsid w:val="00185986"/>
    <w:rsid w:val="00185A78"/>
    <w:rsid w:val="001864D4"/>
    <w:rsid w:val="00186723"/>
    <w:rsid w:val="00187079"/>
    <w:rsid w:val="0018753B"/>
    <w:rsid w:val="00187975"/>
    <w:rsid w:val="00187C31"/>
    <w:rsid w:val="00187EAF"/>
    <w:rsid w:val="00190FD7"/>
    <w:rsid w:val="001912E4"/>
    <w:rsid w:val="00192B94"/>
    <w:rsid w:val="00193608"/>
    <w:rsid w:val="00193F79"/>
    <w:rsid w:val="00194073"/>
    <w:rsid w:val="00194090"/>
    <w:rsid w:val="001946F0"/>
    <w:rsid w:val="00194BA3"/>
    <w:rsid w:val="00194E6E"/>
    <w:rsid w:val="00195577"/>
    <w:rsid w:val="00195DF2"/>
    <w:rsid w:val="00196F30"/>
    <w:rsid w:val="001A02E6"/>
    <w:rsid w:val="001A09AB"/>
    <w:rsid w:val="001A0A9E"/>
    <w:rsid w:val="001A33E0"/>
    <w:rsid w:val="001A3747"/>
    <w:rsid w:val="001A387A"/>
    <w:rsid w:val="001A3990"/>
    <w:rsid w:val="001A3EBB"/>
    <w:rsid w:val="001A4172"/>
    <w:rsid w:val="001A4D8E"/>
    <w:rsid w:val="001A5B35"/>
    <w:rsid w:val="001A6413"/>
    <w:rsid w:val="001A65CC"/>
    <w:rsid w:val="001A680F"/>
    <w:rsid w:val="001A6968"/>
    <w:rsid w:val="001A6BCB"/>
    <w:rsid w:val="001B026C"/>
    <w:rsid w:val="001B02EF"/>
    <w:rsid w:val="001B1654"/>
    <w:rsid w:val="001B17D7"/>
    <w:rsid w:val="001B1860"/>
    <w:rsid w:val="001B23D7"/>
    <w:rsid w:val="001B2B72"/>
    <w:rsid w:val="001B2C6D"/>
    <w:rsid w:val="001B3441"/>
    <w:rsid w:val="001B39AE"/>
    <w:rsid w:val="001B4B8B"/>
    <w:rsid w:val="001B4DE1"/>
    <w:rsid w:val="001B542F"/>
    <w:rsid w:val="001B5649"/>
    <w:rsid w:val="001B5F30"/>
    <w:rsid w:val="001B64CD"/>
    <w:rsid w:val="001B71DC"/>
    <w:rsid w:val="001B74E8"/>
    <w:rsid w:val="001B75A4"/>
    <w:rsid w:val="001C10AD"/>
    <w:rsid w:val="001C21C2"/>
    <w:rsid w:val="001C2640"/>
    <w:rsid w:val="001C2C7D"/>
    <w:rsid w:val="001C2FCD"/>
    <w:rsid w:val="001C3879"/>
    <w:rsid w:val="001C41CA"/>
    <w:rsid w:val="001C4613"/>
    <w:rsid w:val="001C5606"/>
    <w:rsid w:val="001C5FA9"/>
    <w:rsid w:val="001C6083"/>
    <w:rsid w:val="001C6319"/>
    <w:rsid w:val="001C6979"/>
    <w:rsid w:val="001C735C"/>
    <w:rsid w:val="001D0B76"/>
    <w:rsid w:val="001D0F4A"/>
    <w:rsid w:val="001D10A6"/>
    <w:rsid w:val="001D10AB"/>
    <w:rsid w:val="001D1B1A"/>
    <w:rsid w:val="001D2475"/>
    <w:rsid w:val="001D3B4C"/>
    <w:rsid w:val="001D3D61"/>
    <w:rsid w:val="001D3E2D"/>
    <w:rsid w:val="001D404E"/>
    <w:rsid w:val="001D4914"/>
    <w:rsid w:val="001D5CFE"/>
    <w:rsid w:val="001D78F8"/>
    <w:rsid w:val="001E0BEE"/>
    <w:rsid w:val="001E2405"/>
    <w:rsid w:val="001E2B48"/>
    <w:rsid w:val="001E314C"/>
    <w:rsid w:val="001E3E67"/>
    <w:rsid w:val="001E41EB"/>
    <w:rsid w:val="001E57CC"/>
    <w:rsid w:val="001E5BE1"/>
    <w:rsid w:val="001F085D"/>
    <w:rsid w:val="001F16E1"/>
    <w:rsid w:val="001F1DBD"/>
    <w:rsid w:val="001F4165"/>
    <w:rsid w:val="001F4B0C"/>
    <w:rsid w:val="001F62FC"/>
    <w:rsid w:val="001F67AB"/>
    <w:rsid w:val="001F68D6"/>
    <w:rsid w:val="001F75BF"/>
    <w:rsid w:val="00201063"/>
    <w:rsid w:val="00201B92"/>
    <w:rsid w:val="00202A69"/>
    <w:rsid w:val="00202CA8"/>
    <w:rsid w:val="00203277"/>
    <w:rsid w:val="00203708"/>
    <w:rsid w:val="002050A3"/>
    <w:rsid w:val="002055B4"/>
    <w:rsid w:val="0020638A"/>
    <w:rsid w:val="002067CD"/>
    <w:rsid w:val="00206A79"/>
    <w:rsid w:val="00210354"/>
    <w:rsid w:val="00210F60"/>
    <w:rsid w:val="00211115"/>
    <w:rsid w:val="002111B2"/>
    <w:rsid w:val="0021143C"/>
    <w:rsid w:val="002127CB"/>
    <w:rsid w:val="00212B87"/>
    <w:rsid w:val="0021303D"/>
    <w:rsid w:val="00213D93"/>
    <w:rsid w:val="00213F06"/>
    <w:rsid w:val="002161D0"/>
    <w:rsid w:val="00216489"/>
    <w:rsid w:val="00217095"/>
    <w:rsid w:val="00217AA1"/>
    <w:rsid w:val="00217F77"/>
    <w:rsid w:val="002202B5"/>
    <w:rsid w:val="0022053B"/>
    <w:rsid w:val="0022076D"/>
    <w:rsid w:val="00222402"/>
    <w:rsid w:val="002227D8"/>
    <w:rsid w:val="00222CC8"/>
    <w:rsid w:val="0022300B"/>
    <w:rsid w:val="00223445"/>
    <w:rsid w:val="00223BE2"/>
    <w:rsid w:val="0022547B"/>
    <w:rsid w:val="00225889"/>
    <w:rsid w:val="00225C74"/>
    <w:rsid w:val="00226C11"/>
    <w:rsid w:val="00230046"/>
    <w:rsid w:val="00230130"/>
    <w:rsid w:val="0023067C"/>
    <w:rsid w:val="00230683"/>
    <w:rsid w:val="00230A1F"/>
    <w:rsid w:val="00230C85"/>
    <w:rsid w:val="00231264"/>
    <w:rsid w:val="002318EA"/>
    <w:rsid w:val="00231DD0"/>
    <w:rsid w:val="002322F4"/>
    <w:rsid w:val="0023242D"/>
    <w:rsid w:val="0023246F"/>
    <w:rsid w:val="002325AB"/>
    <w:rsid w:val="00232F91"/>
    <w:rsid w:val="00233024"/>
    <w:rsid w:val="00234139"/>
    <w:rsid w:val="00234607"/>
    <w:rsid w:val="002353F3"/>
    <w:rsid w:val="00236F37"/>
    <w:rsid w:val="002373B5"/>
    <w:rsid w:val="00237BF2"/>
    <w:rsid w:val="00237C8C"/>
    <w:rsid w:val="00240257"/>
    <w:rsid w:val="0024028C"/>
    <w:rsid w:val="00240E73"/>
    <w:rsid w:val="00240E81"/>
    <w:rsid w:val="0024139D"/>
    <w:rsid w:val="00241B8C"/>
    <w:rsid w:val="00241CAC"/>
    <w:rsid w:val="00241DF3"/>
    <w:rsid w:val="00242BC4"/>
    <w:rsid w:val="00242F4C"/>
    <w:rsid w:val="0024374A"/>
    <w:rsid w:val="0024381A"/>
    <w:rsid w:val="002442D0"/>
    <w:rsid w:val="002448F7"/>
    <w:rsid w:val="00245B38"/>
    <w:rsid w:val="002461B9"/>
    <w:rsid w:val="002477CA"/>
    <w:rsid w:val="002508C6"/>
    <w:rsid w:val="00250993"/>
    <w:rsid w:val="00250BEC"/>
    <w:rsid w:val="0025114A"/>
    <w:rsid w:val="00251AD0"/>
    <w:rsid w:val="002525A9"/>
    <w:rsid w:val="0025329B"/>
    <w:rsid w:val="00253D86"/>
    <w:rsid w:val="00253E98"/>
    <w:rsid w:val="0025445B"/>
    <w:rsid w:val="00254657"/>
    <w:rsid w:val="00255234"/>
    <w:rsid w:val="00256819"/>
    <w:rsid w:val="002569CD"/>
    <w:rsid w:val="00256AF0"/>
    <w:rsid w:val="00257508"/>
    <w:rsid w:val="002576A5"/>
    <w:rsid w:val="00257A03"/>
    <w:rsid w:val="00260476"/>
    <w:rsid w:val="0026095F"/>
    <w:rsid w:val="00260972"/>
    <w:rsid w:val="00260BCE"/>
    <w:rsid w:val="00260EAD"/>
    <w:rsid w:val="00260F63"/>
    <w:rsid w:val="00262F57"/>
    <w:rsid w:val="002635BB"/>
    <w:rsid w:val="002638F1"/>
    <w:rsid w:val="00263F51"/>
    <w:rsid w:val="002648E4"/>
    <w:rsid w:val="002650F3"/>
    <w:rsid w:val="002652F0"/>
    <w:rsid w:val="00266170"/>
    <w:rsid w:val="0026649B"/>
    <w:rsid w:val="002666A3"/>
    <w:rsid w:val="0026689F"/>
    <w:rsid w:val="00266CAE"/>
    <w:rsid w:val="00266FAF"/>
    <w:rsid w:val="00267624"/>
    <w:rsid w:val="00267AE5"/>
    <w:rsid w:val="002711C3"/>
    <w:rsid w:val="00272853"/>
    <w:rsid w:val="0027375F"/>
    <w:rsid w:val="00273B92"/>
    <w:rsid w:val="002741E2"/>
    <w:rsid w:val="00274A9F"/>
    <w:rsid w:val="00274BA4"/>
    <w:rsid w:val="00275E10"/>
    <w:rsid w:val="002767E0"/>
    <w:rsid w:val="0027709B"/>
    <w:rsid w:val="00277A53"/>
    <w:rsid w:val="00277B91"/>
    <w:rsid w:val="00277D71"/>
    <w:rsid w:val="00280BD3"/>
    <w:rsid w:val="00280F93"/>
    <w:rsid w:val="002822E0"/>
    <w:rsid w:val="00283A19"/>
    <w:rsid w:val="002841AF"/>
    <w:rsid w:val="002841E6"/>
    <w:rsid w:val="002842A8"/>
    <w:rsid w:val="00285049"/>
    <w:rsid w:val="002853BA"/>
    <w:rsid w:val="002856CB"/>
    <w:rsid w:val="0028594F"/>
    <w:rsid w:val="00287124"/>
    <w:rsid w:val="00287223"/>
    <w:rsid w:val="00287497"/>
    <w:rsid w:val="002906CA"/>
    <w:rsid w:val="00290A2B"/>
    <w:rsid w:val="00290F95"/>
    <w:rsid w:val="002913A3"/>
    <w:rsid w:val="00291D0A"/>
    <w:rsid w:val="00291E4F"/>
    <w:rsid w:val="00291E74"/>
    <w:rsid w:val="00291EF9"/>
    <w:rsid w:val="00291F9B"/>
    <w:rsid w:val="002920C2"/>
    <w:rsid w:val="00292302"/>
    <w:rsid w:val="002935B0"/>
    <w:rsid w:val="0029461E"/>
    <w:rsid w:val="0029492D"/>
    <w:rsid w:val="002950A3"/>
    <w:rsid w:val="0029541E"/>
    <w:rsid w:val="0029550E"/>
    <w:rsid w:val="00295654"/>
    <w:rsid w:val="00295C39"/>
    <w:rsid w:val="00295E9D"/>
    <w:rsid w:val="002960CA"/>
    <w:rsid w:val="002968A5"/>
    <w:rsid w:val="00296FA1"/>
    <w:rsid w:val="002A0DCD"/>
    <w:rsid w:val="002A108F"/>
    <w:rsid w:val="002A1330"/>
    <w:rsid w:val="002A1D3D"/>
    <w:rsid w:val="002A207B"/>
    <w:rsid w:val="002A2399"/>
    <w:rsid w:val="002A240E"/>
    <w:rsid w:val="002A2B70"/>
    <w:rsid w:val="002A3056"/>
    <w:rsid w:val="002A32CE"/>
    <w:rsid w:val="002A34DC"/>
    <w:rsid w:val="002A407D"/>
    <w:rsid w:val="002A447D"/>
    <w:rsid w:val="002A4A1B"/>
    <w:rsid w:val="002A4FA2"/>
    <w:rsid w:val="002A525B"/>
    <w:rsid w:val="002A5DEF"/>
    <w:rsid w:val="002A5EB7"/>
    <w:rsid w:val="002A6408"/>
    <w:rsid w:val="002B04D0"/>
    <w:rsid w:val="002B0E9F"/>
    <w:rsid w:val="002B1099"/>
    <w:rsid w:val="002B1255"/>
    <w:rsid w:val="002B1471"/>
    <w:rsid w:val="002B201F"/>
    <w:rsid w:val="002B2829"/>
    <w:rsid w:val="002B2AA6"/>
    <w:rsid w:val="002B3F2A"/>
    <w:rsid w:val="002B3FE7"/>
    <w:rsid w:val="002B49B8"/>
    <w:rsid w:val="002B5076"/>
    <w:rsid w:val="002B52BB"/>
    <w:rsid w:val="002B62C5"/>
    <w:rsid w:val="002B643C"/>
    <w:rsid w:val="002B6F72"/>
    <w:rsid w:val="002B70FC"/>
    <w:rsid w:val="002C0C9F"/>
    <w:rsid w:val="002C3111"/>
    <w:rsid w:val="002C3191"/>
    <w:rsid w:val="002C32A9"/>
    <w:rsid w:val="002C32ED"/>
    <w:rsid w:val="002C33DF"/>
    <w:rsid w:val="002C34E1"/>
    <w:rsid w:val="002C3840"/>
    <w:rsid w:val="002C38BB"/>
    <w:rsid w:val="002C41E6"/>
    <w:rsid w:val="002C51EB"/>
    <w:rsid w:val="002C5587"/>
    <w:rsid w:val="002C58AE"/>
    <w:rsid w:val="002C5C87"/>
    <w:rsid w:val="002C6B0D"/>
    <w:rsid w:val="002C6DFF"/>
    <w:rsid w:val="002C706C"/>
    <w:rsid w:val="002C77DD"/>
    <w:rsid w:val="002C7FB9"/>
    <w:rsid w:val="002D0B9A"/>
    <w:rsid w:val="002D0F06"/>
    <w:rsid w:val="002D1299"/>
    <w:rsid w:val="002D14F9"/>
    <w:rsid w:val="002D1769"/>
    <w:rsid w:val="002D2174"/>
    <w:rsid w:val="002D250D"/>
    <w:rsid w:val="002D3340"/>
    <w:rsid w:val="002D3A5B"/>
    <w:rsid w:val="002D3A60"/>
    <w:rsid w:val="002D44DE"/>
    <w:rsid w:val="002D61C8"/>
    <w:rsid w:val="002D70C8"/>
    <w:rsid w:val="002D7353"/>
    <w:rsid w:val="002D74E4"/>
    <w:rsid w:val="002D7644"/>
    <w:rsid w:val="002D7DAF"/>
    <w:rsid w:val="002E0492"/>
    <w:rsid w:val="002E0C87"/>
    <w:rsid w:val="002E1227"/>
    <w:rsid w:val="002E1387"/>
    <w:rsid w:val="002E14EA"/>
    <w:rsid w:val="002E2431"/>
    <w:rsid w:val="002E3078"/>
    <w:rsid w:val="002E4167"/>
    <w:rsid w:val="002E52AB"/>
    <w:rsid w:val="002E54FB"/>
    <w:rsid w:val="002E5E6E"/>
    <w:rsid w:val="002E6A34"/>
    <w:rsid w:val="002E6A6E"/>
    <w:rsid w:val="002E6B96"/>
    <w:rsid w:val="002E71B8"/>
    <w:rsid w:val="002E7B03"/>
    <w:rsid w:val="002E7F48"/>
    <w:rsid w:val="002F0399"/>
    <w:rsid w:val="002F0715"/>
    <w:rsid w:val="002F0A85"/>
    <w:rsid w:val="002F0D14"/>
    <w:rsid w:val="002F1CA8"/>
    <w:rsid w:val="002F21C4"/>
    <w:rsid w:val="002F263F"/>
    <w:rsid w:val="002F2F02"/>
    <w:rsid w:val="002F5496"/>
    <w:rsid w:val="002F5AB1"/>
    <w:rsid w:val="002F5B3B"/>
    <w:rsid w:val="002F5B7D"/>
    <w:rsid w:val="002F67D5"/>
    <w:rsid w:val="002F6E50"/>
    <w:rsid w:val="002F7347"/>
    <w:rsid w:val="002F7C4E"/>
    <w:rsid w:val="003000DA"/>
    <w:rsid w:val="00300740"/>
    <w:rsid w:val="00302C01"/>
    <w:rsid w:val="00302ED8"/>
    <w:rsid w:val="0030476B"/>
    <w:rsid w:val="00304848"/>
    <w:rsid w:val="00304FF4"/>
    <w:rsid w:val="00305772"/>
    <w:rsid w:val="00305C46"/>
    <w:rsid w:val="00305FA1"/>
    <w:rsid w:val="00306099"/>
    <w:rsid w:val="00307548"/>
    <w:rsid w:val="00310DDE"/>
    <w:rsid w:val="00312B42"/>
    <w:rsid w:val="00313214"/>
    <w:rsid w:val="003147C4"/>
    <w:rsid w:val="003150E2"/>
    <w:rsid w:val="003154C2"/>
    <w:rsid w:val="003154DA"/>
    <w:rsid w:val="00315B46"/>
    <w:rsid w:val="0031637A"/>
    <w:rsid w:val="003172C8"/>
    <w:rsid w:val="0031742E"/>
    <w:rsid w:val="00320157"/>
    <w:rsid w:val="00321046"/>
    <w:rsid w:val="0032325F"/>
    <w:rsid w:val="00323B89"/>
    <w:rsid w:val="00323E2E"/>
    <w:rsid w:val="00324455"/>
    <w:rsid w:val="0032478C"/>
    <w:rsid w:val="00325B46"/>
    <w:rsid w:val="00327973"/>
    <w:rsid w:val="00327B96"/>
    <w:rsid w:val="0033039E"/>
    <w:rsid w:val="0033072D"/>
    <w:rsid w:val="00331628"/>
    <w:rsid w:val="003321D0"/>
    <w:rsid w:val="003328F6"/>
    <w:rsid w:val="00332A22"/>
    <w:rsid w:val="00332B64"/>
    <w:rsid w:val="00333C7C"/>
    <w:rsid w:val="00333E55"/>
    <w:rsid w:val="00334413"/>
    <w:rsid w:val="00334E15"/>
    <w:rsid w:val="00334E48"/>
    <w:rsid w:val="0033521D"/>
    <w:rsid w:val="00335233"/>
    <w:rsid w:val="003363D4"/>
    <w:rsid w:val="003364A5"/>
    <w:rsid w:val="00336C35"/>
    <w:rsid w:val="00337331"/>
    <w:rsid w:val="00340119"/>
    <w:rsid w:val="003404A5"/>
    <w:rsid w:val="003407D6"/>
    <w:rsid w:val="00341A30"/>
    <w:rsid w:val="00341CC6"/>
    <w:rsid w:val="00341D11"/>
    <w:rsid w:val="00342CA9"/>
    <w:rsid w:val="003430AD"/>
    <w:rsid w:val="003431DA"/>
    <w:rsid w:val="00343B7F"/>
    <w:rsid w:val="00343D6F"/>
    <w:rsid w:val="00343E0D"/>
    <w:rsid w:val="00344835"/>
    <w:rsid w:val="00345A63"/>
    <w:rsid w:val="00345B89"/>
    <w:rsid w:val="00345F7E"/>
    <w:rsid w:val="00347027"/>
    <w:rsid w:val="00347298"/>
    <w:rsid w:val="003476A3"/>
    <w:rsid w:val="00347BB1"/>
    <w:rsid w:val="0035372E"/>
    <w:rsid w:val="003548E7"/>
    <w:rsid w:val="00354AC1"/>
    <w:rsid w:val="003554AA"/>
    <w:rsid w:val="00355D98"/>
    <w:rsid w:val="00355E84"/>
    <w:rsid w:val="00356171"/>
    <w:rsid w:val="00356A1E"/>
    <w:rsid w:val="00357F17"/>
    <w:rsid w:val="00357F1F"/>
    <w:rsid w:val="003602CD"/>
    <w:rsid w:val="0036063E"/>
    <w:rsid w:val="003606F3"/>
    <w:rsid w:val="00360E84"/>
    <w:rsid w:val="00360F29"/>
    <w:rsid w:val="00361E8E"/>
    <w:rsid w:val="00361F5B"/>
    <w:rsid w:val="00362822"/>
    <w:rsid w:val="00363CD0"/>
    <w:rsid w:val="003656A5"/>
    <w:rsid w:val="00370942"/>
    <w:rsid w:val="00370E5E"/>
    <w:rsid w:val="003711AE"/>
    <w:rsid w:val="003713CF"/>
    <w:rsid w:val="00373009"/>
    <w:rsid w:val="00373F30"/>
    <w:rsid w:val="00374A4B"/>
    <w:rsid w:val="003756EE"/>
    <w:rsid w:val="00375C8B"/>
    <w:rsid w:val="00375E2F"/>
    <w:rsid w:val="00380F03"/>
    <w:rsid w:val="003810CA"/>
    <w:rsid w:val="00381306"/>
    <w:rsid w:val="0038131A"/>
    <w:rsid w:val="00382415"/>
    <w:rsid w:val="00382740"/>
    <w:rsid w:val="00382ACD"/>
    <w:rsid w:val="00383233"/>
    <w:rsid w:val="00383897"/>
    <w:rsid w:val="00383B00"/>
    <w:rsid w:val="00384084"/>
    <w:rsid w:val="003842C5"/>
    <w:rsid w:val="00384497"/>
    <w:rsid w:val="00384698"/>
    <w:rsid w:val="003861A4"/>
    <w:rsid w:val="003863D0"/>
    <w:rsid w:val="00386A1F"/>
    <w:rsid w:val="00386D21"/>
    <w:rsid w:val="0038704D"/>
    <w:rsid w:val="00387B45"/>
    <w:rsid w:val="00390075"/>
    <w:rsid w:val="00390F5F"/>
    <w:rsid w:val="003921E3"/>
    <w:rsid w:val="00392801"/>
    <w:rsid w:val="00393940"/>
    <w:rsid w:val="0039486A"/>
    <w:rsid w:val="00396AC0"/>
    <w:rsid w:val="003979D7"/>
    <w:rsid w:val="003A035E"/>
    <w:rsid w:val="003A0E79"/>
    <w:rsid w:val="003A1F7C"/>
    <w:rsid w:val="003A20F5"/>
    <w:rsid w:val="003A22C3"/>
    <w:rsid w:val="003A293F"/>
    <w:rsid w:val="003A3A4B"/>
    <w:rsid w:val="003A4037"/>
    <w:rsid w:val="003A41E1"/>
    <w:rsid w:val="003A4721"/>
    <w:rsid w:val="003A67AC"/>
    <w:rsid w:val="003A69B1"/>
    <w:rsid w:val="003A6F4F"/>
    <w:rsid w:val="003A78AA"/>
    <w:rsid w:val="003B0080"/>
    <w:rsid w:val="003B1582"/>
    <w:rsid w:val="003B2875"/>
    <w:rsid w:val="003B48E0"/>
    <w:rsid w:val="003B4B69"/>
    <w:rsid w:val="003B64DF"/>
    <w:rsid w:val="003B673B"/>
    <w:rsid w:val="003B67B5"/>
    <w:rsid w:val="003B6A4B"/>
    <w:rsid w:val="003B6A8B"/>
    <w:rsid w:val="003B78C5"/>
    <w:rsid w:val="003C0287"/>
    <w:rsid w:val="003C06A1"/>
    <w:rsid w:val="003C19EE"/>
    <w:rsid w:val="003C1BB2"/>
    <w:rsid w:val="003C1DCB"/>
    <w:rsid w:val="003C20F0"/>
    <w:rsid w:val="003C3908"/>
    <w:rsid w:val="003C4090"/>
    <w:rsid w:val="003C5232"/>
    <w:rsid w:val="003C5AED"/>
    <w:rsid w:val="003C5EBE"/>
    <w:rsid w:val="003C5ECC"/>
    <w:rsid w:val="003C62F9"/>
    <w:rsid w:val="003C6675"/>
    <w:rsid w:val="003C6D25"/>
    <w:rsid w:val="003C78C0"/>
    <w:rsid w:val="003D09BC"/>
    <w:rsid w:val="003D0B64"/>
    <w:rsid w:val="003D0EEB"/>
    <w:rsid w:val="003D1111"/>
    <w:rsid w:val="003D1389"/>
    <w:rsid w:val="003D2439"/>
    <w:rsid w:val="003D2727"/>
    <w:rsid w:val="003D2960"/>
    <w:rsid w:val="003D319D"/>
    <w:rsid w:val="003D3CBB"/>
    <w:rsid w:val="003D3D75"/>
    <w:rsid w:val="003D41AF"/>
    <w:rsid w:val="003D4E1D"/>
    <w:rsid w:val="003D5C35"/>
    <w:rsid w:val="003D64B1"/>
    <w:rsid w:val="003D6BD6"/>
    <w:rsid w:val="003D789C"/>
    <w:rsid w:val="003E06B5"/>
    <w:rsid w:val="003E2090"/>
    <w:rsid w:val="003E26D5"/>
    <w:rsid w:val="003E3036"/>
    <w:rsid w:val="003E3E7C"/>
    <w:rsid w:val="003E4EC3"/>
    <w:rsid w:val="003E52A2"/>
    <w:rsid w:val="003E5A52"/>
    <w:rsid w:val="003E5C0A"/>
    <w:rsid w:val="003E71D6"/>
    <w:rsid w:val="003E723E"/>
    <w:rsid w:val="003F15A6"/>
    <w:rsid w:val="003F165B"/>
    <w:rsid w:val="003F1892"/>
    <w:rsid w:val="003F21B4"/>
    <w:rsid w:val="003F266B"/>
    <w:rsid w:val="003F3045"/>
    <w:rsid w:val="003F34EA"/>
    <w:rsid w:val="003F38A4"/>
    <w:rsid w:val="003F3926"/>
    <w:rsid w:val="003F398F"/>
    <w:rsid w:val="003F39F4"/>
    <w:rsid w:val="003F3FFD"/>
    <w:rsid w:val="003F42A9"/>
    <w:rsid w:val="003F4D82"/>
    <w:rsid w:val="003F632E"/>
    <w:rsid w:val="003F63F8"/>
    <w:rsid w:val="003F6591"/>
    <w:rsid w:val="00400C9E"/>
    <w:rsid w:val="004024A1"/>
    <w:rsid w:val="004030B8"/>
    <w:rsid w:val="00403D9A"/>
    <w:rsid w:val="004049BC"/>
    <w:rsid w:val="0040512F"/>
    <w:rsid w:val="00406201"/>
    <w:rsid w:val="00406B8C"/>
    <w:rsid w:val="004072C1"/>
    <w:rsid w:val="00407AEC"/>
    <w:rsid w:val="00407C6A"/>
    <w:rsid w:val="004100AC"/>
    <w:rsid w:val="004101B1"/>
    <w:rsid w:val="00410361"/>
    <w:rsid w:val="004111DA"/>
    <w:rsid w:val="004118BF"/>
    <w:rsid w:val="004124C4"/>
    <w:rsid w:val="00412BB8"/>
    <w:rsid w:val="00413E1B"/>
    <w:rsid w:val="00414765"/>
    <w:rsid w:val="00414E32"/>
    <w:rsid w:val="004172EF"/>
    <w:rsid w:val="00417A71"/>
    <w:rsid w:val="00417D71"/>
    <w:rsid w:val="00417E10"/>
    <w:rsid w:val="0042062C"/>
    <w:rsid w:val="00421FED"/>
    <w:rsid w:val="00422C8A"/>
    <w:rsid w:val="004231EE"/>
    <w:rsid w:val="00424455"/>
    <w:rsid w:val="00424C7B"/>
    <w:rsid w:val="00425B10"/>
    <w:rsid w:val="0042640D"/>
    <w:rsid w:val="004265CD"/>
    <w:rsid w:val="0042662E"/>
    <w:rsid w:val="00426DAD"/>
    <w:rsid w:val="004270B9"/>
    <w:rsid w:val="0042741C"/>
    <w:rsid w:val="00427659"/>
    <w:rsid w:val="00427E94"/>
    <w:rsid w:val="00430305"/>
    <w:rsid w:val="00431646"/>
    <w:rsid w:val="00431902"/>
    <w:rsid w:val="00432F9B"/>
    <w:rsid w:val="0043323F"/>
    <w:rsid w:val="0043392C"/>
    <w:rsid w:val="0043474F"/>
    <w:rsid w:val="004350B5"/>
    <w:rsid w:val="00436436"/>
    <w:rsid w:val="00436609"/>
    <w:rsid w:val="00436E21"/>
    <w:rsid w:val="00436F7C"/>
    <w:rsid w:val="00437051"/>
    <w:rsid w:val="00437179"/>
    <w:rsid w:val="00440073"/>
    <w:rsid w:val="004401AD"/>
    <w:rsid w:val="0044048F"/>
    <w:rsid w:val="00440552"/>
    <w:rsid w:val="004406EB"/>
    <w:rsid w:val="00440738"/>
    <w:rsid w:val="004407EC"/>
    <w:rsid w:val="00440BE3"/>
    <w:rsid w:val="0044111C"/>
    <w:rsid w:val="00441591"/>
    <w:rsid w:val="00441694"/>
    <w:rsid w:val="00441883"/>
    <w:rsid w:val="004424EE"/>
    <w:rsid w:val="0044272F"/>
    <w:rsid w:val="0044339D"/>
    <w:rsid w:val="004434FD"/>
    <w:rsid w:val="00444DD0"/>
    <w:rsid w:val="004454FC"/>
    <w:rsid w:val="004457CD"/>
    <w:rsid w:val="00445C05"/>
    <w:rsid w:val="00445CB6"/>
    <w:rsid w:val="00446697"/>
    <w:rsid w:val="00446AE9"/>
    <w:rsid w:val="00450043"/>
    <w:rsid w:val="004501E1"/>
    <w:rsid w:val="004505D7"/>
    <w:rsid w:val="00450964"/>
    <w:rsid w:val="0045312E"/>
    <w:rsid w:val="0045345A"/>
    <w:rsid w:val="00454321"/>
    <w:rsid w:val="00454CE2"/>
    <w:rsid w:val="00455119"/>
    <w:rsid w:val="004559B0"/>
    <w:rsid w:val="00455A74"/>
    <w:rsid w:val="00456DBE"/>
    <w:rsid w:val="00457155"/>
    <w:rsid w:val="0045763D"/>
    <w:rsid w:val="004603EC"/>
    <w:rsid w:val="00460E81"/>
    <w:rsid w:val="00461685"/>
    <w:rsid w:val="00461756"/>
    <w:rsid w:val="0046177F"/>
    <w:rsid w:val="0046222A"/>
    <w:rsid w:val="00463AF0"/>
    <w:rsid w:val="00464225"/>
    <w:rsid w:val="00464C24"/>
    <w:rsid w:val="004651E7"/>
    <w:rsid w:val="004653CB"/>
    <w:rsid w:val="00465921"/>
    <w:rsid w:val="00465E5E"/>
    <w:rsid w:val="00466523"/>
    <w:rsid w:val="004666B5"/>
    <w:rsid w:val="00467B74"/>
    <w:rsid w:val="00470334"/>
    <w:rsid w:val="00470347"/>
    <w:rsid w:val="00470579"/>
    <w:rsid w:val="004705FA"/>
    <w:rsid w:val="0047087E"/>
    <w:rsid w:val="00470EA3"/>
    <w:rsid w:val="00471458"/>
    <w:rsid w:val="00471D48"/>
    <w:rsid w:val="00472BA0"/>
    <w:rsid w:val="00472E33"/>
    <w:rsid w:val="004733EC"/>
    <w:rsid w:val="0047368A"/>
    <w:rsid w:val="00474AF6"/>
    <w:rsid w:val="0047542C"/>
    <w:rsid w:val="004757BD"/>
    <w:rsid w:val="00476DDF"/>
    <w:rsid w:val="00476DF9"/>
    <w:rsid w:val="00476E55"/>
    <w:rsid w:val="00476F61"/>
    <w:rsid w:val="004770C8"/>
    <w:rsid w:val="004773DC"/>
    <w:rsid w:val="00477403"/>
    <w:rsid w:val="0048065B"/>
    <w:rsid w:val="00480F3D"/>
    <w:rsid w:val="00481403"/>
    <w:rsid w:val="004814D5"/>
    <w:rsid w:val="00481BB2"/>
    <w:rsid w:val="00483690"/>
    <w:rsid w:val="00483B96"/>
    <w:rsid w:val="0048415D"/>
    <w:rsid w:val="004850D3"/>
    <w:rsid w:val="004859B2"/>
    <w:rsid w:val="004865C4"/>
    <w:rsid w:val="0048664A"/>
    <w:rsid w:val="00486AC0"/>
    <w:rsid w:val="00487C05"/>
    <w:rsid w:val="00487FFD"/>
    <w:rsid w:val="004906F0"/>
    <w:rsid w:val="00490AC6"/>
    <w:rsid w:val="004917F0"/>
    <w:rsid w:val="004918CF"/>
    <w:rsid w:val="00491F99"/>
    <w:rsid w:val="004920E5"/>
    <w:rsid w:val="00492FCE"/>
    <w:rsid w:val="004930E3"/>
    <w:rsid w:val="00493904"/>
    <w:rsid w:val="00494B11"/>
    <w:rsid w:val="00496880"/>
    <w:rsid w:val="00497843"/>
    <w:rsid w:val="004A078B"/>
    <w:rsid w:val="004A0CE8"/>
    <w:rsid w:val="004A1E20"/>
    <w:rsid w:val="004A2BB9"/>
    <w:rsid w:val="004A2D2C"/>
    <w:rsid w:val="004A30A1"/>
    <w:rsid w:val="004A31F5"/>
    <w:rsid w:val="004A354D"/>
    <w:rsid w:val="004A479E"/>
    <w:rsid w:val="004A553F"/>
    <w:rsid w:val="004A55FF"/>
    <w:rsid w:val="004A585D"/>
    <w:rsid w:val="004A5CE7"/>
    <w:rsid w:val="004A5E71"/>
    <w:rsid w:val="004A673F"/>
    <w:rsid w:val="004A6C17"/>
    <w:rsid w:val="004A6F58"/>
    <w:rsid w:val="004A7C6A"/>
    <w:rsid w:val="004B08AD"/>
    <w:rsid w:val="004B2456"/>
    <w:rsid w:val="004B4863"/>
    <w:rsid w:val="004B48B3"/>
    <w:rsid w:val="004B497C"/>
    <w:rsid w:val="004B77A3"/>
    <w:rsid w:val="004B7BE6"/>
    <w:rsid w:val="004B7E04"/>
    <w:rsid w:val="004C00B4"/>
    <w:rsid w:val="004C04C7"/>
    <w:rsid w:val="004C16A8"/>
    <w:rsid w:val="004C19F1"/>
    <w:rsid w:val="004C19F5"/>
    <w:rsid w:val="004C1A9B"/>
    <w:rsid w:val="004C2C43"/>
    <w:rsid w:val="004C2DEA"/>
    <w:rsid w:val="004C3019"/>
    <w:rsid w:val="004C35B3"/>
    <w:rsid w:val="004C3C93"/>
    <w:rsid w:val="004C3FCC"/>
    <w:rsid w:val="004C4201"/>
    <w:rsid w:val="004C4879"/>
    <w:rsid w:val="004C56AF"/>
    <w:rsid w:val="004C652A"/>
    <w:rsid w:val="004C728E"/>
    <w:rsid w:val="004C754F"/>
    <w:rsid w:val="004C79E2"/>
    <w:rsid w:val="004D0559"/>
    <w:rsid w:val="004D191C"/>
    <w:rsid w:val="004D274F"/>
    <w:rsid w:val="004D2CD6"/>
    <w:rsid w:val="004D3845"/>
    <w:rsid w:val="004D650D"/>
    <w:rsid w:val="004D6A1A"/>
    <w:rsid w:val="004D6E55"/>
    <w:rsid w:val="004D70FC"/>
    <w:rsid w:val="004E0D5B"/>
    <w:rsid w:val="004E1608"/>
    <w:rsid w:val="004E26A0"/>
    <w:rsid w:val="004E28D5"/>
    <w:rsid w:val="004E3158"/>
    <w:rsid w:val="004E3DBB"/>
    <w:rsid w:val="004E3F5E"/>
    <w:rsid w:val="004E4446"/>
    <w:rsid w:val="004E4CA8"/>
    <w:rsid w:val="004E53CA"/>
    <w:rsid w:val="004E5A0F"/>
    <w:rsid w:val="004E5A82"/>
    <w:rsid w:val="004E68DB"/>
    <w:rsid w:val="004E68E8"/>
    <w:rsid w:val="004E7853"/>
    <w:rsid w:val="004E7B1A"/>
    <w:rsid w:val="004F0068"/>
    <w:rsid w:val="004F0450"/>
    <w:rsid w:val="004F0519"/>
    <w:rsid w:val="004F0AF2"/>
    <w:rsid w:val="004F0EDF"/>
    <w:rsid w:val="004F11B3"/>
    <w:rsid w:val="004F1A05"/>
    <w:rsid w:val="004F1B14"/>
    <w:rsid w:val="004F2ED9"/>
    <w:rsid w:val="004F34DB"/>
    <w:rsid w:val="004F37FA"/>
    <w:rsid w:val="004F4834"/>
    <w:rsid w:val="004F535D"/>
    <w:rsid w:val="004F538B"/>
    <w:rsid w:val="00500742"/>
    <w:rsid w:val="00500AB3"/>
    <w:rsid w:val="00500F79"/>
    <w:rsid w:val="005016F8"/>
    <w:rsid w:val="00501738"/>
    <w:rsid w:val="00501800"/>
    <w:rsid w:val="00503276"/>
    <w:rsid w:val="00504768"/>
    <w:rsid w:val="00504F49"/>
    <w:rsid w:val="0050683D"/>
    <w:rsid w:val="00506E54"/>
    <w:rsid w:val="00507600"/>
    <w:rsid w:val="00507B3B"/>
    <w:rsid w:val="00507F42"/>
    <w:rsid w:val="005105FA"/>
    <w:rsid w:val="00512054"/>
    <w:rsid w:val="005120C7"/>
    <w:rsid w:val="005122A8"/>
    <w:rsid w:val="00514920"/>
    <w:rsid w:val="005155DF"/>
    <w:rsid w:val="00515951"/>
    <w:rsid w:val="005162D0"/>
    <w:rsid w:val="00517624"/>
    <w:rsid w:val="00517ED1"/>
    <w:rsid w:val="005208F4"/>
    <w:rsid w:val="00520BDF"/>
    <w:rsid w:val="00520E2F"/>
    <w:rsid w:val="00520F0C"/>
    <w:rsid w:val="00521574"/>
    <w:rsid w:val="005220BC"/>
    <w:rsid w:val="00522203"/>
    <w:rsid w:val="0052337B"/>
    <w:rsid w:val="00523AB0"/>
    <w:rsid w:val="00523C33"/>
    <w:rsid w:val="0052439B"/>
    <w:rsid w:val="00524A3E"/>
    <w:rsid w:val="00526437"/>
    <w:rsid w:val="00526F32"/>
    <w:rsid w:val="0052772E"/>
    <w:rsid w:val="00527A5C"/>
    <w:rsid w:val="005316B3"/>
    <w:rsid w:val="00532DE5"/>
    <w:rsid w:val="00532EC4"/>
    <w:rsid w:val="00532FB5"/>
    <w:rsid w:val="00533617"/>
    <w:rsid w:val="005342AB"/>
    <w:rsid w:val="0053498C"/>
    <w:rsid w:val="00535A2F"/>
    <w:rsid w:val="00535F03"/>
    <w:rsid w:val="00536A3F"/>
    <w:rsid w:val="0053760C"/>
    <w:rsid w:val="00537A32"/>
    <w:rsid w:val="005400F9"/>
    <w:rsid w:val="0054020A"/>
    <w:rsid w:val="0054058F"/>
    <w:rsid w:val="005407E7"/>
    <w:rsid w:val="0054151F"/>
    <w:rsid w:val="00541E0F"/>
    <w:rsid w:val="00542290"/>
    <w:rsid w:val="00542E69"/>
    <w:rsid w:val="005432A5"/>
    <w:rsid w:val="00543824"/>
    <w:rsid w:val="00543CB8"/>
    <w:rsid w:val="00544B5F"/>
    <w:rsid w:val="005450D6"/>
    <w:rsid w:val="00545490"/>
    <w:rsid w:val="00546327"/>
    <w:rsid w:val="00546766"/>
    <w:rsid w:val="0054723D"/>
    <w:rsid w:val="005475DE"/>
    <w:rsid w:val="00547632"/>
    <w:rsid w:val="00547654"/>
    <w:rsid w:val="0054769D"/>
    <w:rsid w:val="00550138"/>
    <w:rsid w:val="00551043"/>
    <w:rsid w:val="00551C03"/>
    <w:rsid w:val="00552032"/>
    <w:rsid w:val="0055247D"/>
    <w:rsid w:val="00552654"/>
    <w:rsid w:val="00552CB7"/>
    <w:rsid w:val="005532E0"/>
    <w:rsid w:val="00553DEA"/>
    <w:rsid w:val="00554130"/>
    <w:rsid w:val="00554853"/>
    <w:rsid w:val="00554B5A"/>
    <w:rsid w:val="005562C1"/>
    <w:rsid w:val="00557037"/>
    <w:rsid w:val="005573FA"/>
    <w:rsid w:val="00557409"/>
    <w:rsid w:val="00557C89"/>
    <w:rsid w:val="00560161"/>
    <w:rsid w:val="00560C6C"/>
    <w:rsid w:val="005612CA"/>
    <w:rsid w:val="00561565"/>
    <w:rsid w:val="0056183B"/>
    <w:rsid w:val="00561FBA"/>
    <w:rsid w:val="00562DE5"/>
    <w:rsid w:val="00562FD6"/>
    <w:rsid w:val="005645F3"/>
    <w:rsid w:val="0056460B"/>
    <w:rsid w:val="00564CC5"/>
    <w:rsid w:val="00565000"/>
    <w:rsid w:val="00565339"/>
    <w:rsid w:val="005658A6"/>
    <w:rsid w:val="00566B89"/>
    <w:rsid w:val="0057053E"/>
    <w:rsid w:val="00570AB6"/>
    <w:rsid w:val="005727A3"/>
    <w:rsid w:val="00572BAE"/>
    <w:rsid w:val="00572C52"/>
    <w:rsid w:val="00573027"/>
    <w:rsid w:val="005730C6"/>
    <w:rsid w:val="005733AB"/>
    <w:rsid w:val="00573CB4"/>
    <w:rsid w:val="00574169"/>
    <w:rsid w:val="005772E2"/>
    <w:rsid w:val="005773DA"/>
    <w:rsid w:val="005805F5"/>
    <w:rsid w:val="00581555"/>
    <w:rsid w:val="00582200"/>
    <w:rsid w:val="0058423E"/>
    <w:rsid w:val="005849A6"/>
    <w:rsid w:val="00586DC6"/>
    <w:rsid w:val="00587C80"/>
    <w:rsid w:val="00587CA7"/>
    <w:rsid w:val="00590239"/>
    <w:rsid w:val="00590CA7"/>
    <w:rsid w:val="00590E85"/>
    <w:rsid w:val="00592638"/>
    <w:rsid w:val="005931DF"/>
    <w:rsid w:val="00593218"/>
    <w:rsid w:val="00593A35"/>
    <w:rsid w:val="00593F23"/>
    <w:rsid w:val="00594639"/>
    <w:rsid w:val="00594737"/>
    <w:rsid w:val="00594C19"/>
    <w:rsid w:val="005958EF"/>
    <w:rsid w:val="00595F87"/>
    <w:rsid w:val="00595FB8"/>
    <w:rsid w:val="00596190"/>
    <w:rsid w:val="0059686C"/>
    <w:rsid w:val="005972FB"/>
    <w:rsid w:val="00597525"/>
    <w:rsid w:val="0059784F"/>
    <w:rsid w:val="00597FC7"/>
    <w:rsid w:val="005A0A4B"/>
    <w:rsid w:val="005A0FD0"/>
    <w:rsid w:val="005A25EE"/>
    <w:rsid w:val="005A28B9"/>
    <w:rsid w:val="005A2C17"/>
    <w:rsid w:val="005A533A"/>
    <w:rsid w:val="005A5735"/>
    <w:rsid w:val="005A5998"/>
    <w:rsid w:val="005A5D6A"/>
    <w:rsid w:val="005A5FB7"/>
    <w:rsid w:val="005A6137"/>
    <w:rsid w:val="005A660B"/>
    <w:rsid w:val="005A7852"/>
    <w:rsid w:val="005A7F14"/>
    <w:rsid w:val="005B0930"/>
    <w:rsid w:val="005B10DF"/>
    <w:rsid w:val="005B1749"/>
    <w:rsid w:val="005B224F"/>
    <w:rsid w:val="005B26ED"/>
    <w:rsid w:val="005B2A4F"/>
    <w:rsid w:val="005B310D"/>
    <w:rsid w:val="005B3AEE"/>
    <w:rsid w:val="005B492C"/>
    <w:rsid w:val="005B5556"/>
    <w:rsid w:val="005B55D1"/>
    <w:rsid w:val="005B69F4"/>
    <w:rsid w:val="005B6C59"/>
    <w:rsid w:val="005C05DF"/>
    <w:rsid w:val="005C0978"/>
    <w:rsid w:val="005C18DC"/>
    <w:rsid w:val="005C3ADC"/>
    <w:rsid w:val="005C428F"/>
    <w:rsid w:val="005C4EB4"/>
    <w:rsid w:val="005C59CE"/>
    <w:rsid w:val="005C5E7E"/>
    <w:rsid w:val="005C5EBC"/>
    <w:rsid w:val="005C6506"/>
    <w:rsid w:val="005C6D04"/>
    <w:rsid w:val="005C6D15"/>
    <w:rsid w:val="005C6ED2"/>
    <w:rsid w:val="005C7FAC"/>
    <w:rsid w:val="005D00F1"/>
    <w:rsid w:val="005D0365"/>
    <w:rsid w:val="005D1BC9"/>
    <w:rsid w:val="005D24D8"/>
    <w:rsid w:val="005D295C"/>
    <w:rsid w:val="005D37EA"/>
    <w:rsid w:val="005D3DDC"/>
    <w:rsid w:val="005D3E2B"/>
    <w:rsid w:val="005D4832"/>
    <w:rsid w:val="005D4FFC"/>
    <w:rsid w:val="005D5201"/>
    <w:rsid w:val="005D5297"/>
    <w:rsid w:val="005D5330"/>
    <w:rsid w:val="005D5BAE"/>
    <w:rsid w:val="005D60AF"/>
    <w:rsid w:val="005D7A68"/>
    <w:rsid w:val="005E016F"/>
    <w:rsid w:val="005E018C"/>
    <w:rsid w:val="005E074D"/>
    <w:rsid w:val="005E1640"/>
    <w:rsid w:val="005E438C"/>
    <w:rsid w:val="005E515A"/>
    <w:rsid w:val="005E57E3"/>
    <w:rsid w:val="005E6153"/>
    <w:rsid w:val="005E6723"/>
    <w:rsid w:val="005E74F1"/>
    <w:rsid w:val="005E7BEC"/>
    <w:rsid w:val="005F0C0B"/>
    <w:rsid w:val="005F2C34"/>
    <w:rsid w:val="005F2D53"/>
    <w:rsid w:val="005F326C"/>
    <w:rsid w:val="005F3BD0"/>
    <w:rsid w:val="005F4270"/>
    <w:rsid w:val="005F5D06"/>
    <w:rsid w:val="005F616E"/>
    <w:rsid w:val="005F6B49"/>
    <w:rsid w:val="00601048"/>
    <w:rsid w:val="00602EDB"/>
    <w:rsid w:val="0060339B"/>
    <w:rsid w:val="00603846"/>
    <w:rsid w:val="006038DA"/>
    <w:rsid w:val="006039B4"/>
    <w:rsid w:val="00603E53"/>
    <w:rsid w:val="00604DFB"/>
    <w:rsid w:val="0060553D"/>
    <w:rsid w:val="00605C2A"/>
    <w:rsid w:val="00605E79"/>
    <w:rsid w:val="006075E9"/>
    <w:rsid w:val="00607CDB"/>
    <w:rsid w:val="00610027"/>
    <w:rsid w:val="006106FB"/>
    <w:rsid w:val="00610EC8"/>
    <w:rsid w:val="00611025"/>
    <w:rsid w:val="006113C1"/>
    <w:rsid w:val="006121AC"/>
    <w:rsid w:val="0061225D"/>
    <w:rsid w:val="006122DB"/>
    <w:rsid w:val="00612748"/>
    <w:rsid w:val="006131D5"/>
    <w:rsid w:val="006139FE"/>
    <w:rsid w:val="00614376"/>
    <w:rsid w:val="00614E0D"/>
    <w:rsid w:val="00617852"/>
    <w:rsid w:val="006179F6"/>
    <w:rsid w:val="006179FE"/>
    <w:rsid w:val="00621751"/>
    <w:rsid w:val="006219F2"/>
    <w:rsid w:val="00622E0E"/>
    <w:rsid w:val="0062337E"/>
    <w:rsid w:val="00623DED"/>
    <w:rsid w:val="0062404B"/>
    <w:rsid w:val="00624296"/>
    <w:rsid w:val="00625193"/>
    <w:rsid w:val="006253CF"/>
    <w:rsid w:val="00625C17"/>
    <w:rsid w:val="00625C2A"/>
    <w:rsid w:val="00625F21"/>
    <w:rsid w:val="00626F74"/>
    <w:rsid w:val="00627277"/>
    <w:rsid w:val="006274E8"/>
    <w:rsid w:val="00627B39"/>
    <w:rsid w:val="00627D28"/>
    <w:rsid w:val="00630072"/>
    <w:rsid w:val="006300A6"/>
    <w:rsid w:val="00630F26"/>
    <w:rsid w:val="00631B6E"/>
    <w:rsid w:val="00631EC5"/>
    <w:rsid w:val="0063235F"/>
    <w:rsid w:val="0063301C"/>
    <w:rsid w:val="00633EF0"/>
    <w:rsid w:val="00634E1A"/>
    <w:rsid w:val="00635647"/>
    <w:rsid w:val="0063572D"/>
    <w:rsid w:val="00635B31"/>
    <w:rsid w:val="00635E21"/>
    <w:rsid w:val="00636708"/>
    <w:rsid w:val="00636A82"/>
    <w:rsid w:val="00637064"/>
    <w:rsid w:val="00637D7D"/>
    <w:rsid w:val="00640406"/>
    <w:rsid w:val="00641479"/>
    <w:rsid w:val="00641655"/>
    <w:rsid w:val="00642CC1"/>
    <w:rsid w:val="00642DA8"/>
    <w:rsid w:val="00643132"/>
    <w:rsid w:val="0064348D"/>
    <w:rsid w:val="00643663"/>
    <w:rsid w:val="00644F0F"/>
    <w:rsid w:val="00645A50"/>
    <w:rsid w:val="00645D06"/>
    <w:rsid w:val="00645EB4"/>
    <w:rsid w:val="00646D53"/>
    <w:rsid w:val="006472C3"/>
    <w:rsid w:val="00647591"/>
    <w:rsid w:val="006475B1"/>
    <w:rsid w:val="00650544"/>
    <w:rsid w:val="00650875"/>
    <w:rsid w:val="00650A17"/>
    <w:rsid w:val="00652E9E"/>
    <w:rsid w:val="00652F9C"/>
    <w:rsid w:val="0065574A"/>
    <w:rsid w:val="00655DF8"/>
    <w:rsid w:val="00656A83"/>
    <w:rsid w:val="00656F57"/>
    <w:rsid w:val="0065721A"/>
    <w:rsid w:val="0065769E"/>
    <w:rsid w:val="006576CB"/>
    <w:rsid w:val="0065784C"/>
    <w:rsid w:val="006606C4"/>
    <w:rsid w:val="006618DE"/>
    <w:rsid w:val="00662C37"/>
    <w:rsid w:val="0066362B"/>
    <w:rsid w:val="00663ADA"/>
    <w:rsid w:val="006648E0"/>
    <w:rsid w:val="0066497B"/>
    <w:rsid w:val="00664FC9"/>
    <w:rsid w:val="00665AEC"/>
    <w:rsid w:val="00665C71"/>
    <w:rsid w:val="00666B02"/>
    <w:rsid w:val="00667FA0"/>
    <w:rsid w:val="00670773"/>
    <w:rsid w:val="006712C7"/>
    <w:rsid w:val="006716CB"/>
    <w:rsid w:val="00671ABC"/>
    <w:rsid w:val="00671F2E"/>
    <w:rsid w:val="00672C58"/>
    <w:rsid w:val="00673585"/>
    <w:rsid w:val="00673CD7"/>
    <w:rsid w:val="00673F84"/>
    <w:rsid w:val="006740E2"/>
    <w:rsid w:val="006746B6"/>
    <w:rsid w:val="00674BB6"/>
    <w:rsid w:val="00675806"/>
    <w:rsid w:val="0067707F"/>
    <w:rsid w:val="006772AB"/>
    <w:rsid w:val="00680317"/>
    <w:rsid w:val="00681D08"/>
    <w:rsid w:val="00682184"/>
    <w:rsid w:val="006824F0"/>
    <w:rsid w:val="00682822"/>
    <w:rsid w:val="00683506"/>
    <w:rsid w:val="00683FC8"/>
    <w:rsid w:val="00684729"/>
    <w:rsid w:val="00684A04"/>
    <w:rsid w:val="0068514F"/>
    <w:rsid w:val="006852B4"/>
    <w:rsid w:val="00685344"/>
    <w:rsid w:val="00685995"/>
    <w:rsid w:val="00685A3B"/>
    <w:rsid w:val="00685A84"/>
    <w:rsid w:val="00685C78"/>
    <w:rsid w:val="00685D77"/>
    <w:rsid w:val="00686515"/>
    <w:rsid w:val="00687433"/>
    <w:rsid w:val="0068777C"/>
    <w:rsid w:val="00687B70"/>
    <w:rsid w:val="00687C1F"/>
    <w:rsid w:val="00687E61"/>
    <w:rsid w:val="006905D4"/>
    <w:rsid w:val="00690AD9"/>
    <w:rsid w:val="006923A0"/>
    <w:rsid w:val="00692A99"/>
    <w:rsid w:val="006931FB"/>
    <w:rsid w:val="00694FD5"/>
    <w:rsid w:val="00695338"/>
    <w:rsid w:val="006955D2"/>
    <w:rsid w:val="0069632D"/>
    <w:rsid w:val="00696FC1"/>
    <w:rsid w:val="00697F27"/>
    <w:rsid w:val="006A06BD"/>
    <w:rsid w:val="006A0A90"/>
    <w:rsid w:val="006A1722"/>
    <w:rsid w:val="006A201D"/>
    <w:rsid w:val="006A21DE"/>
    <w:rsid w:val="006A3CAC"/>
    <w:rsid w:val="006A3D86"/>
    <w:rsid w:val="006A52CA"/>
    <w:rsid w:val="006A5782"/>
    <w:rsid w:val="006A6391"/>
    <w:rsid w:val="006A6B6C"/>
    <w:rsid w:val="006A7B33"/>
    <w:rsid w:val="006B0931"/>
    <w:rsid w:val="006B20A2"/>
    <w:rsid w:val="006B23F5"/>
    <w:rsid w:val="006B33D2"/>
    <w:rsid w:val="006B341F"/>
    <w:rsid w:val="006B39F5"/>
    <w:rsid w:val="006B48AF"/>
    <w:rsid w:val="006B4E67"/>
    <w:rsid w:val="006B5CD2"/>
    <w:rsid w:val="006B64D6"/>
    <w:rsid w:val="006B65B2"/>
    <w:rsid w:val="006B6A46"/>
    <w:rsid w:val="006B6E3E"/>
    <w:rsid w:val="006B7183"/>
    <w:rsid w:val="006C1E5A"/>
    <w:rsid w:val="006C20AF"/>
    <w:rsid w:val="006C2424"/>
    <w:rsid w:val="006C2A8D"/>
    <w:rsid w:val="006C2E68"/>
    <w:rsid w:val="006C35FE"/>
    <w:rsid w:val="006C3BDC"/>
    <w:rsid w:val="006C3D3D"/>
    <w:rsid w:val="006C441B"/>
    <w:rsid w:val="006C508E"/>
    <w:rsid w:val="006C540D"/>
    <w:rsid w:val="006C5ADA"/>
    <w:rsid w:val="006C5EDE"/>
    <w:rsid w:val="006C6764"/>
    <w:rsid w:val="006C6EDD"/>
    <w:rsid w:val="006C71E9"/>
    <w:rsid w:val="006D023D"/>
    <w:rsid w:val="006D1299"/>
    <w:rsid w:val="006D14F9"/>
    <w:rsid w:val="006D2ADF"/>
    <w:rsid w:val="006D375A"/>
    <w:rsid w:val="006D3BA1"/>
    <w:rsid w:val="006D3E1F"/>
    <w:rsid w:val="006D4652"/>
    <w:rsid w:val="006D483F"/>
    <w:rsid w:val="006D56FE"/>
    <w:rsid w:val="006D5D45"/>
    <w:rsid w:val="006D61E3"/>
    <w:rsid w:val="006D6EFE"/>
    <w:rsid w:val="006D78D2"/>
    <w:rsid w:val="006E0183"/>
    <w:rsid w:val="006E0839"/>
    <w:rsid w:val="006E3047"/>
    <w:rsid w:val="006E461C"/>
    <w:rsid w:val="006E473C"/>
    <w:rsid w:val="006E4740"/>
    <w:rsid w:val="006E5800"/>
    <w:rsid w:val="006E5CC8"/>
    <w:rsid w:val="006E693F"/>
    <w:rsid w:val="006E6DD6"/>
    <w:rsid w:val="006E71A8"/>
    <w:rsid w:val="006E72E9"/>
    <w:rsid w:val="006F0115"/>
    <w:rsid w:val="006F0D78"/>
    <w:rsid w:val="006F0EE8"/>
    <w:rsid w:val="006F1968"/>
    <w:rsid w:val="006F1C67"/>
    <w:rsid w:val="006F240C"/>
    <w:rsid w:val="006F2764"/>
    <w:rsid w:val="006F2910"/>
    <w:rsid w:val="006F2D40"/>
    <w:rsid w:val="006F2D8D"/>
    <w:rsid w:val="006F3DC2"/>
    <w:rsid w:val="006F4624"/>
    <w:rsid w:val="006F4B19"/>
    <w:rsid w:val="006F5D3A"/>
    <w:rsid w:val="006F6430"/>
    <w:rsid w:val="006F6C8A"/>
    <w:rsid w:val="006F6FEE"/>
    <w:rsid w:val="006F79AF"/>
    <w:rsid w:val="006F7A30"/>
    <w:rsid w:val="007013B7"/>
    <w:rsid w:val="00701897"/>
    <w:rsid w:val="007020C3"/>
    <w:rsid w:val="00702A66"/>
    <w:rsid w:val="00702B9E"/>
    <w:rsid w:val="00705B51"/>
    <w:rsid w:val="00705F6C"/>
    <w:rsid w:val="00707207"/>
    <w:rsid w:val="007073C4"/>
    <w:rsid w:val="00707692"/>
    <w:rsid w:val="007077D7"/>
    <w:rsid w:val="0071069E"/>
    <w:rsid w:val="0071086C"/>
    <w:rsid w:val="00712011"/>
    <w:rsid w:val="00712478"/>
    <w:rsid w:val="00712C65"/>
    <w:rsid w:val="00713291"/>
    <w:rsid w:val="007137B3"/>
    <w:rsid w:val="00714254"/>
    <w:rsid w:val="0071497F"/>
    <w:rsid w:val="0071656D"/>
    <w:rsid w:val="00717250"/>
    <w:rsid w:val="00717C4A"/>
    <w:rsid w:val="00717E77"/>
    <w:rsid w:val="0072024B"/>
    <w:rsid w:val="007208C2"/>
    <w:rsid w:val="0072190C"/>
    <w:rsid w:val="007222A5"/>
    <w:rsid w:val="00722EF5"/>
    <w:rsid w:val="00722EFE"/>
    <w:rsid w:val="00723616"/>
    <w:rsid w:val="00723A28"/>
    <w:rsid w:val="00724CAB"/>
    <w:rsid w:val="00725E64"/>
    <w:rsid w:val="0072635B"/>
    <w:rsid w:val="00726CD9"/>
    <w:rsid w:val="007274FC"/>
    <w:rsid w:val="00727670"/>
    <w:rsid w:val="007306C5"/>
    <w:rsid w:val="00730DCE"/>
    <w:rsid w:val="00731683"/>
    <w:rsid w:val="00732069"/>
    <w:rsid w:val="007327C3"/>
    <w:rsid w:val="00732D46"/>
    <w:rsid w:val="00733F79"/>
    <w:rsid w:val="00734818"/>
    <w:rsid w:val="00734858"/>
    <w:rsid w:val="00734B8E"/>
    <w:rsid w:val="00735389"/>
    <w:rsid w:val="007357EA"/>
    <w:rsid w:val="0073589C"/>
    <w:rsid w:val="00736636"/>
    <w:rsid w:val="007368F4"/>
    <w:rsid w:val="00736F00"/>
    <w:rsid w:val="00737029"/>
    <w:rsid w:val="00737612"/>
    <w:rsid w:val="007377F7"/>
    <w:rsid w:val="00737916"/>
    <w:rsid w:val="00737E0F"/>
    <w:rsid w:val="00740CA1"/>
    <w:rsid w:val="00740E24"/>
    <w:rsid w:val="007425B3"/>
    <w:rsid w:val="00742915"/>
    <w:rsid w:val="00743071"/>
    <w:rsid w:val="00743574"/>
    <w:rsid w:val="007435E4"/>
    <w:rsid w:val="00745B61"/>
    <w:rsid w:val="00746D4D"/>
    <w:rsid w:val="00747016"/>
    <w:rsid w:val="00747394"/>
    <w:rsid w:val="00747DD4"/>
    <w:rsid w:val="00750180"/>
    <w:rsid w:val="00750511"/>
    <w:rsid w:val="00750C4D"/>
    <w:rsid w:val="00751482"/>
    <w:rsid w:val="0075204C"/>
    <w:rsid w:val="00752C6F"/>
    <w:rsid w:val="00752F24"/>
    <w:rsid w:val="00752FB8"/>
    <w:rsid w:val="00753E87"/>
    <w:rsid w:val="0075542F"/>
    <w:rsid w:val="007561AC"/>
    <w:rsid w:val="00756E89"/>
    <w:rsid w:val="00757A2E"/>
    <w:rsid w:val="00761577"/>
    <w:rsid w:val="0076177B"/>
    <w:rsid w:val="00761AD1"/>
    <w:rsid w:val="00761E04"/>
    <w:rsid w:val="007622FA"/>
    <w:rsid w:val="00762307"/>
    <w:rsid w:val="00762482"/>
    <w:rsid w:val="00763B20"/>
    <w:rsid w:val="00763DFE"/>
    <w:rsid w:val="0076482B"/>
    <w:rsid w:val="00764AAF"/>
    <w:rsid w:val="007655CE"/>
    <w:rsid w:val="00765C54"/>
    <w:rsid w:val="0076699D"/>
    <w:rsid w:val="00766B18"/>
    <w:rsid w:val="00767445"/>
    <w:rsid w:val="007701D0"/>
    <w:rsid w:val="00770D76"/>
    <w:rsid w:val="00771119"/>
    <w:rsid w:val="007725B5"/>
    <w:rsid w:val="00772F41"/>
    <w:rsid w:val="00774D9C"/>
    <w:rsid w:val="00780480"/>
    <w:rsid w:val="007805A0"/>
    <w:rsid w:val="0078098B"/>
    <w:rsid w:val="00781F23"/>
    <w:rsid w:val="00782075"/>
    <w:rsid w:val="00783ABE"/>
    <w:rsid w:val="007847CB"/>
    <w:rsid w:val="00784F94"/>
    <w:rsid w:val="007856B2"/>
    <w:rsid w:val="00785A8B"/>
    <w:rsid w:val="00785F7B"/>
    <w:rsid w:val="00786D4D"/>
    <w:rsid w:val="00786EAC"/>
    <w:rsid w:val="0078769B"/>
    <w:rsid w:val="00787893"/>
    <w:rsid w:val="00787E7A"/>
    <w:rsid w:val="0079010C"/>
    <w:rsid w:val="0079036B"/>
    <w:rsid w:val="00790437"/>
    <w:rsid w:val="00792150"/>
    <w:rsid w:val="0079259F"/>
    <w:rsid w:val="00792FCC"/>
    <w:rsid w:val="007939B8"/>
    <w:rsid w:val="00793AE5"/>
    <w:rsid w:val="00793C59"/>
    <w:rsid w:val="00793E4C"/>
    <w:rsid w:val="0079439C"/>
    <w:rsid w:val="00794791"/>
    <w:rsid w:val="007952AE"/>
    <w:rsid w:val="007963B7"/>
    <w:rsid w:val="00796A90"/>
    <w:rsid w:val="007971C4"/>
    <w:rsid w:val="007A0384"/>
    <w:rsid w:val="007A03FC"/>
    <w:rsid w:val="007A052B"/>
    <w:rsid w:val="007A0538"/>
    <w:rsid w:val="007A1370"/>
    <w:rsid w:val="007A1680"/>
    <w:rsid w:val="007A16EF"/>
    <w:rsid w:val="007A1CDF"/>
    <w:rsid w:val="007A3DCD"/>
    <w:rsid w:val="007A48C4"/>
    <w:rsid w:val="007A4BFD"/>
    <w:rsid w:val="007A5B9F"/>
    <w:rsid w:val="007A603E"/>
    <w:rsid w:val="007A6326"/>
    <w:rsid w:val="007A7508"/>
    <w:rsid w:val="007B00E9"/>
    <w:rsid w:val="007B17BC"/>
    <w:rsid w:val="007B2071"/>
    <w:rsid w:val="007B2C85"/>
    <w:rsid w:val="007B3030"/>
    <w:rsid w:val="007B34CA"/>
    <w:rsid w:val="007B3CFC"/>
    <w:rsid w:val="007B3D53"/>
    <w:rsid w:val="007B5A06"/>
    <w:rsid w:val="007B61B9"/>
    <w:rsid w:val="007B6791"/>
    <w:rsid w:val="007B793F"/>
    <w:rsid w:val="007C00E5"/>
    <w:rsid w:val="007C0970"/>
    <w:rsid w:val="007C0C63"/>
    <w:rsid w:val="007C186C"/>
    <w:rsid w:val="007C1C1B"/>
    <w:rsid w:val="007C1E03"/>
    <w:rsid w:val="007C1F2B"/>
    <w:rsid w:val="007C2319"/>
    <w:rsid w:val="007C2877"/>
    <w:rsid w:val="007C309D"/>
    <w:rsid w:val="007C31D3"/>
    <w:rsid w:val="007C3877"/>
    <w:rsid w:val="007C3AB7"/>
    <w:rsid w:val="007C3B0F"/>
    <w:rsid w:val="007C4B61"/>
    <w:rsid w:val="007C4DC8"/>
    <w:rsid w:val="007C505C"/>
    <w:rsid w:val="007C649B"/>
    <w:rsid w:val="007D0583"/>
    <w:rsid w:val="007D0649"/>
    <w:rsid w:val="007D0EC0"/>
    <w:rsid w:val="007D0F4C"/>
    <w:rsid w:val="007D12A8"/>
    <w:rsid w:val="007D1AB1"/>
    <w:rsid w:val="007D1C4B"/>
    <w:rsid w:val="007D1DEF"/>
    <w:rsid w:val="007D2244"/>
    <w:rsid w:val="007D2F15"/>
    <w:rsid w:val="007D4A99"/>
    <w:rsid w:val="007D52BB"/>
    <w:rsid w:val="007D5BEF"/>
    <w:rsid w:val="007D5EB5"/>
    <w:rsid w:val="007D61B7"/>
    <w:rsid w:val="007D6944"/>
    <w:rsid w:val="007D6A4F"/>
    <w:rsid w:val="007D7845"/>
    <w:rsid w:val="007D7E07"/>
    <w:rsid w:val="007E030B"/>
    <w:rsid w:val="007E03A9"/>
    <w:rsid w:val="007E123C"/>
    <w:rsid w:val="007E15AD"/>
    <w:rsid w:val="007E173C"/>
    <w:rsid w:val="007E19B8"/>
    <w:rsid w:val="007E29C6"/>
    <w:rsid w:val="007E2D36"/>
    <w:rsid w:val="007E2FCD"/>
    <w:rsid w:val="007E33DC"/>
    <w:rsid w:val="007E5351"/>
    <w:rsid w:val="007E5B15"/>
    <w:rsid w:val="007E63C5"/>
    <w:rsid w:val="007E6664"/>
    <w:rsid w:val="007E6A32"/>
    <w:rsid w:val="007E6D4A"/>
    <w:rsid w:val="007E7B51"/>
    <w:rsid w:val="007F0101"/>
    <w:rsid w:val="007F1D45"/>
    <w:rsid w:val="007F1FD1"/>
    <w:rsid w:val="007F336C"/>
    <w:rsid w:val="007F36AE"/>
    <w:rsid w:val="007F3708"/>
    <w:rsid w:val="007F3CA0"/>
    <w:rsid w:val="007F403A"/>
    <w:rsid w:val="007F40D6"/>
    <w:rsid w:val="007F4CF4"/>
    <w:rsid w:val="007F564C"/>
    <w:rsid w:val="007F5851"/>
    <w:rsid w:val="007F61F8"/>
    <w:rsid w:val="007F6C03"/>
    <w:rsid w:val="007F711D"/>
    <w:rsid w:val="007F7613"/>
    <w:rsid w:val="00800726"/>
    <w:rsid w:val="00802189"/>
    <w:rsid w:val="008022DF"/>
    <w:rsid w:val="00802BE4"/>
    <w:rsid w:val="008041FC"/>
    <w:rsid w:val="00804870"/>
    <w:rsid w:val="00804999"/>
    <w:rsid w:val="0080607D"/>
    <w:rsid w:val="008065CB"/>
    <w:rsid w:val="00806C07"/>
    <w:rsid w:val="0080728D"/>
    <w:rsid w:val="00807B7C"/>
    <w:rsid w:val="008111B9"/>
    <w:rsid w:val="008113C2"/>
    <w:rsid w:val="00812124"/>
    <w:rsid w:val="0081222E"/>
    <w:rsid w:val="0081260D"/>
    <w:rsid w:val="00813A35"/>
    <w:rsid w:val="008142B9"/>
    <w:rsid w:val="00814C63"/>
    <w:rsid w:val="00815802"/>
    <w:rsid w:val="00815ABC"/>
    <w:rsid w:val="008165F9"/>
    <w:rsid w:val="00817348"/>
    <w:rsid w:val="008176CD"/>
    <w:rsid w:val="00817CFF"/>
    <w:rsid w:val="00820198"/>
    <w:rsid w:val="00820CC8"/>
    <w:rsid w:val="00821854"/>
    <w:rsid w:val="008221B4"/>
    <w:rsid w:val="008227A4"/>
    <w:rsid w:val="0082373C"/>
    <w:rsid w:val="00825258"/>
    <w:rsid w:val="0082669E"/>
    <w:rsid w:val="008268ED"/>
    <w:rsid w:val="00826F30"/>
    <w:rsid w:val="008270B4"/>
    <w:rsid w:val="00827FC5"/>
    <w:rsid w:val="00827FF7"/>
    <w:rsid w:val="0083022E"/>
    <w:rsid w:val="008302BD"/>
    <w:rsid w:val="00830BA9"/>
    <w:rsid w:val="00831546"/>
    <w:rsid w:val="00834313"/>
    <w:rsid w:val="00834328"/>
    <w:rsid w:val="00834D97"/>
    <w:rsid w:val="00834D9E"/>
    <w:rsid w:val="00835FB3"/>
    <w:rsid w:val="008376FD"/>
    <w:rsid w:val="00837EE8"/>
    <w:rsid w:val="00840A63"/>
    <w:rsid w:val="00840C60"/>
    <w:rsid w:val="0084139C"/>
    <w:rsid w:val="0084194E"/>
    <w:rsid w:val="00843571"/>
    <w:rsid w:val="00843795"/>
    <w:rsid w:val="00844470"/>
    <w:rsid w:val="00844562"/>
    <w:rsid w:val="0084473C"/>
    <w:rsid w:val="0084575B"/>
    <w:rsid w:val="00847557"/>
    <w:rsid w:val="008509E6"/>
    <w:rsid w:val="00850BD1"/>
    <w:rsid w:val="00850F27"/>
    <w:rsid w:val="008510B9"/>
    <w:rsid w:val="00851755"/>
    <w:rsid w:val="00851C2F"/>
    <w:rsid w:val="00851F6E"/>
    <w:rsid w:val="008521C8"/>
    <w:rsid w:val="008522C6"/>
    <w:rsid w:val="0085231F"/>
    <w:rsid w:val="00852D2B"/>
    <w:rsid w:val="00853400"/>
    <w:rsid w:val="00853E9E"/>
    <w:rsid w:val="00853FFE"/>
    <w:rsid w:val="00856A04"/>
    <w:rsid w:val="0085786E"/>
    <w:rsid w:val="008602E7"/>
    <w:rsid w:val="00861076"/>
    <w:rsid w:val="008611EF"/>
    <w:rsid w:val="00861509"/>
    <w:rsid w:val="008615F8"/>
    <w:rsid w:val="00861A20"/>
    <w:rsid w:val="00861CA2"/>
    <w:rsid w:val="008631C4"/>
    <w:rsid w:val="008638ED"/>
    <w:rsid w:val="00863CCD"/>
    <w:rsid w:val="00863DBB"/>
    <w:rsid w:val="008652EC"/>
    <w:rsid w:val="00865490"/>
    <w:rsid w:val="0086641E"/>
    <w:rsid w:val="008667AA"/>
    <w:rsid w:val="00866AA4"/>
    <w:rsid w:val="0087004F"/>
    <w:rsid w:val="0087035C"/>
    <w:rsid w:val="008709AE"/>
    <w:rsid w:val="0087118E"/>
    <w:rsid w:val="00871903"/>
    <w:rsid w:val="0087501C"/>
    <w:rsid w:val="0087680A"/>
    <w:rsid w:val="00876BD9"/>
    <w:rsid w:val="008779A0"/>
    <w:rsid w:val="00880D9C"/>
    <w:rsid w:val="008835D7"/>
    <w:rsid w:val="008841BF"/>
    <w:rsid w:val="00884AD1"/>
    <w:rsid w:val="008853C2"/>
    <w:rsid w:val="00885455"/>
    <w:rsid w:val="008866AA"/>
    <w:rsid w:val="00886C82"/>
    <w:rsid w:val="00886FD8"/>
    <w:rsid w:val="00891E90"/>
    <w:rsid w:val="00891F14"/>
    <w:rsid w:val="008929BC"/>
    <w:rsid w:val="0089361C"/>
    <w:rsid w:val="008937B9"/>
    <w:rsid w:val="00893B81"/>
    <w:rsid w:val="00893F8A"/>
    <w:rsid w:val="008944D6"/>
    <w:rsid w:val="008946E3"/>
    <w:rsid w:val="00894F02"/>
    <w:rsid w:val="00895143"/>
    <w:rsid w:val="00895D4C"/>
    <w:rsid w:val="00895F72"/>
    <w:rsid w:val="0089666E"/>
    <w:rsid w:val="00896A1A"/>
    <w:rsid w:val="00897916"/>
    <w:rsid w:val="00897BB8"/>
    <w:rsid w:val="00897F38"/>
    <w:rsid w:val="008A1FAF"/>
    <w:rsid w:val="008A208A"/>
    <w:rsid w:val="008A245E"/>
    <w:rsid w:val="008A2BF1"/>
    <w:rsid w:val="008A369E"/>
    <w:rsid w:val="008A4202"/>
    <w:rsid w:val="008A5672"/>
    <w:rsid w:val="008A5D39"/>
    <w:rsid w:val="008A5E88"/>
    <w:rsid w:val="008A5EF2"/>
    <w:rsid w:val="008A6C60"/>
    <w:rsid w:val="008A7FE7"/>
    <w:rsid w:val="008B029A"/>
    <w:rsid w:val="008B05D1"/>
    <w:rsid w:val="008B0742"/>
    <w:rsid w:val="008B0939"/>
    <w:rsid w:val="008B0DAA"/>
    <w:rsid w:val="008B0E5C"/>
    <w:rsid w:val="008B1783"/>
    <w:rsid w:val="008B197D"/>
    <w:rsid w:val="008B3CA4"/>
    <w:rsid w:val="008B48B6"/>
    <w:rsid w:val="008B6B9F"/>
    <w:rsid w:val="008B76E3"/>
    <w:rsid w:val="008C0609"/>
    <w:rsid w:val="008C0FC0"/>
    <w:rsid w:val="008C158E"/>
    <w:rsid w:val="008C16E2"/>
    <w:rsid w:val="008C1A43"/>
    <w:rsid w:val="008C1B23"/>
    <w:rsid w:val="008C2FD6"/>
    <w:rsid w:val="008C4326"/>
    <w:rsid w:val="008C5225"/>
    <w:rsid w:val="008C58BD"/>
    <w:rsid w:val="008C64E2"/>
    <w:rsid w:val="008C6EBB"/>
    <w:rsid w:val="008C7BC4"/>
    <w:rsid w:val="008D0495"/>
    <w:rsid w:val="008D0BB9"/>
    <w:rsid w:val="008D1A1F"/>
    <w:rsid w:val="008D2769"/>
    <w:rsid w:val="008D3058"/>
    <w:rsid w:val="008D3173"/>
    <w:rsid w:val="008D3EBD"/>
    <w:rsid w:val="008D431D"/>
    <w:rsid w:val="008D4F6F"/>
    <w:rsid w:val="008D5740"/>
    <w:rsid w:val="008D5974"/>
    <w:rsid w:val="008D6018"/>
    <w:rsid w:val="008D6347"/>
    <w:rsid w:val="008D6C6D"/>
    <w:rsid w:val="008D74EC"/>
    <w:rsid w:val="008E2C90"/>
    <w:rsid w:val="008E3110"/>
    <w:rsid w:val="008E32B2"/>
    <w:rsid w:val="008E32BC"/>
    <w:rsid w:val="008E4691"/>
    <w:rsid w:val="008E4AD7"/>
    <w:rsid w:val="008E4BAE"/>
    <w:rsid w:val="008E534D"/>
    <w:rsid w:val="008E5B5C"/>
    <w:rsid w:val="008E718A"/>
    <w:rsid w:val="008F0760"/>
    <w:rsid w:val="008F0C7F"/>
    <w:rsid w:val="008F1FFF"/>
    <w:rsid w:val="008F2CA1"/>
    <w:rsid w:val="008F35F1"/>
    <w:rsid w:val="008F4350"/>
    <w:rsid w:val="008F5D1D"/>
    <w:rsid w:val="008F6D87"/>
    <w:rsid w:val="008F7085"/>
    <w:rsid w:val="008F7616"/>
    <w:rsid w:val="008F7AFE"/>
    <w:rsid w:val="009001ED"/>
    <w:rsid w:val="00900EEA"/>
    <w:rsid w:val="009021A1"/>
    <w:rsid w:val="009022EF"/>
    <w:rsid w:val="009023F6"/>
    <w:rsid w:val="00902670"/>
    <w:rsid w:val="009028E8"/>
    <w:rsid w:val="00902A44"/>
    <w:rsid w:val="0090464D"/>
    <w:rsid w:val="00904C5C"/>
    <w:rsid w:val="009058F1"/>
    <w:rsid w:val="009065F6"/>
    <w:rsid w:val="00906D84"/>
    <w:rsid w:val="0090750F"/>
    <w:rsid w:val="00907641"/>
    <w:rsid w:val="00907828"/>
    <w:rsid w:val="009078EF"/>
    <w:rsid w:val="009120E0"/>
    <w:rsid w:val="0091241E"/>
    <w:rsid w:val="00913462"/>
    <w:rsid w:val="00913DCE"/>
    <w:rsid w:val="00913EC4"/>
    <w:rsid w:val="00917AF5"/>
    <w:rsid w:val="00920160"/>
    <w:rsid w:val="009231D9"/>
    <w:rsid w:val="00924508"/>
    <w:rsid w:val="00924675"/>
    <w:rsid w:val="009248A6"/>
    <w:rsid w:val="009249CB"/>
    <w:rsid w:val="009249D3"/>
    <w:rsid w:val="009250CD"/>
    <w:rsid w:val="0092580A"/>
    <w:rsid w:val="0092638A"/>
    <w:rsid w:val="00926CA5"/>
    <w:rsid w:val="00926CBF"/>
    <w:rsid w:val="009277CB"/>
    <w:rsid w:val="00930F96"/>
    <w:rsid w:val="00932923"/>
    <w:rsid w:val="00932A3C"/>
    <w:rsid w:val="00932B17"/>
    <w:rsid w:val="0093350C"/>
    <w:rsid w:val="0093397C"/>
    <w:rsid w:val="00933CB5"/>
    <w:rsid w:val="00933F60"/>
    <w:rsid w:val="00934393"/>
    <w:rsid w:val="0093473C"/>
    <w:rsid w:val="009354D6"/>
    <w:rsid w:val="009357EB"/>
    <w:rsid w:val="00935C67"/>
    <w:rsid w:val="009363B5"/>
    <w:rsid w:val="00936EF4"/>
    <w:rsid w:val="00937316"/>
    <w:rsid w:val="00937D8A"/>
    <w:rsid w:val="0094132F"/>
    <w:rsid w:val="00941675"/>
    <w:rsid w:val="00941957"/>
    <w:rsid w:val="00942704"/>
    <w:rsid w:val="0094341E"/>
    <w:rsid w:val="00943937"/>
    <w:rsid w:val="00944A6C"/>
    <w:rsid w:val="00946697"/>
    <w:rsid w:val="0094690D"/>
    <w:rsid w:val="00946FBD"/>
    <w:rsid w:val="00947CEC"/>
    <w:rsid w:val="00947E43"/>
    <w:rsid w:val="00950D4F"/>
    <w:rsid w:val="00951166"/>
    <w:rsid w:val="009515B9"/>
    <w:rsid w:val="00951C81"/>
    <w:rsid w:val="00951DFE"/>
    <w:rsid w:val="00952858"/>
    <w:rsid w:val="00952E7D"/>
    <w:rsid w:val="00953BCD"/>
    <w:rsid w:val="009545A8"/>
    <w:rsid w:val="009546B1"/>
    <w:rsid w:val="00956298"/>
    <w:rsid w:val="00956398"/>
    <w:rsid w:val="009564F9"/>
    <w:rsid w:val="009566F3"/>
    <w:rsid w:val="00956A1F"/>
    <w:rsid w:val="00957844"/>
    <w:rsid w:val="009579AF"/>
    <w:rsid w:val="00957EE3"/>
    <w:rsid w:val="00961A65"/>
    <w:rsid w:val="009620EB"/>
    <w:rsid w:val="00962C1C"/>
    <w:rsid w:val="009630EC"/>
    <w:rsid w:val="00963EB6"/>
    <w:rsid w:val="0096453B"/>
    <w:rsid w:val="00964C5E"/>
    <w:rsid w:val="00965002"/>
    <w:rsid w:val="00965C03"/>
    <w:rsid w:val="00965EB4"/>
    <w:rsid w:val="00966282"/>
    <w:rsid w:val="0096770C"/>
    <w:rsid w:val="00967CE6"/>
    <w:rsid w:val="00970587"/>
    <w:rsid w:val="0097095A"/>
    <w:rsid w:val="00970A41"/>
    <w:rsid w:val="00970E5B"/>
    <w:rsid w:val="0097130C"/>
    <w:rsid w:val="009721B3"/>
    <w:rsid w:val="00972532"/>
    <w:rsid w:val="0097289C"/>
    <w:rsid w:val="00973B5B"/>
    <w:rsid w:val="00973BAD"/>
    <w:rsid w:val="009743D7"/>
    <w:rsid w:val="00974C74"/>
    <w:rsid w:val="00974D6A"/>
    <w:rsid w:val="009755F0"/>
    <w:rsid w:val="00976095"/>
    <w:rsid w:val="0097649C"/>
    <w:rsid w:val="009766FD"/>
    <w:rsid w:val="0097757A"/>
    <w:rsid w:val="00980228"/>
    <w:rsid w:val="00980AD6"/>
    <w:rsid w:val="009814D1"/>
    <w:rsid w:val="009817B5"/>
    <w:rsid w:val="00981CC1"/>
    <w:rsid w:val="00982278"/>
    <w:rsid w:val="00982346"/>
    <w:rsid w:val="009834AC"/>
    <w:rsid w:val="009836D2"/>
    <w:rsid w:val="00983E58"/>
    <w:rsid w:val="0098438B"/>
    <w:rsid w:val="009845ED"/>
    <w:rsid w:val="00985180"/>
    <w:rsid w:val="00985551"/>
    <w:rsid w:val="0098567D"/>
    <w:rsid w:val="00986102"/>
    <w:rsid w:val="00986FF7"/>
    <w:rsid w:val="00987146"/>
    <w:rsid w:val="00987184"/>
    <w:rsid w:val="009873E8"/>
    <w:rsid w:val="00987928"/>
    <w:rsid w:val="0099055D"/>
    <w:rsid w:val="00990883"/>
    <w:rsid w:val="009909C0"/>
    <w:rsid w:val="0099234A"/>
    <w:rsid w:val="00992F44"/>
    <w:rsid w:val="0099359C"/>
    <w:rsid w:val="00993653"/>
    <w:rsid w:val="00993764"/>
    <w:rsid w:val="00994767"/>
    <w:rsid w:val="00994D17"/>
    <w:rsid w:val="00995FBE"/>
    <w:rsid w:val="00996B2B"/>
    <w:rsid w:val="00996C41"/>
    <w:rsid w:val="009A072A"/>
    <w:rsid w:val="009A101B"/>
    <w:rsid w:val="009A137F"/>
    <w:rsid w:val="009A3736"/>
    <w:rsid w:val="009A3CD4"/>
    <w:rsid w:val="009A3E47"/>
    <w:rsid w:val="009A4964"/>
    <w:rsid w:val="009A50D0"/>
    <w:rsid w:val="009A5B2C"/>
    <w:rsid w:val="009A5E04"/>
    <w:rsid w:val="009A657C"/>
    <w:rsid w:val="009A6F8F"/>
    <w:rsid w:val="009A7240"/>
    <w:rsid w:val="009B04FC"/>
    <w:rsid w:val="009B14F6"/>
    <w:rsid w:val="009B2649"/>
    <w:rsid w:val="009B2A3D"/>
    <w:rsid w:val="009B3710"/>
    <w:rsid w:val="009B3ACE"/>
    <w:rsid w:val="009B3C98"/>
    <w:rsid w:val="009B460C"/>
    <w:rsid w:val="009B57B5"/>
    <w:rsid w:val="009B635F"/>
    <w:rsid w:val="009B6509"/>
    <w:rsid w:val="009B6BBC"/>
    <w:rsid w:val="009B6CFF"/>
    <w:rsid w:val="009B6D08"/>
    <w:rsid w:val="009B6E09"/>
    <w:rsid w:val="009B79F6"/>
    <w:rsid w:val="009B7B7C"/>
    <w:rsid w:val="009C0418"/>
    <w:rsid w:val="009C15FE"/>
    <w:rsid w:val="009C1DE5"/>
    <w:rsid w:val="009C2088"/>
    <w:rsid w:val="009C2716"/>
    <w:rsid w:val="009C3F48"/>
    <w:rsid w:val="009C4509"/>
    <w:rsid w:val="009C46B9"/>
    <w:rsid w:val="009C617B"/>
    <w:rsid w:val="009C63C6"/>
    <w:rsid w:val="009C6528"/>
    <w:rsid w:val="009C72E8"/>
    <w:rsid w:val="009D00A7"/>
    <w:rsid w:val="009D02F1"/>
    <w:rsid w:val="009D0A10"/>
    <w:rsid w:val="009D0A8B"/>
    <w:rsid w:val="009D0F34"/>
    <w:rsid w:val="009D1B24"/>
    <w:rsid w:val="009D2E5C"/>
    <w:rsid w:val="009D3201"/>
    <w:rsid w:val="009D3BFB"/>
    <w:rsid w:val="009D47E7"/>
    <w:rsid w:val="009D4C1E"/>
    <w:rsid w:val="009D5BA2"/>
    <w:rsid w:val="009D6B58"/>
    <w:rsid w:val="009D7D64"/>
    <w:rsid w:val="009E1D5D"/>
    <w:rsid w:val="009E2280"/>
    <w:rsid w:val="009E22A3"/>
    <w:rsid w:val="009E2EA6"/>
    <w:rsid w:val="009E3B61"/>
    <w:rsid w:val="009E4AD9"/>
    <w:rsid w:val="009E5BFE"/>
    <w:rsid w:val="009E663F"/>
    <w:rsid w:val="009E68BD"/>
    <w:rsid w:val="009E6D3B"/>
    <w:rsid w:val="009E72A3"/>
    <w:rsid w:val="009F05E4"/>
    <w:rsid w:val="009F0D18"/>
    <w:rsid w:val="009F12F0"/>
    <w:rsid w:val="009F17FE"/>
    <w:rsid w:val="009F1942"/>
    <w:rsid w:val="009F1C15"/>
    <w:rsid w:val="009F2208"/>
    <w:rsid w:val="009F3570"/>
    <w:rsid w:val="009F42C7"/>
    <w:rsid w:val="009F464B"/>
    <w:rsid w:val="009F48EB"/>
    <w:rsid w:val="009F535F"/>
    <w:rsid w:val="009F5EF9"/>
    <w:rsid w:val="009F5F61"/>
    <w:rsid w:val="009F6D72"/>
    <w:rsid w:val="009F6FB4"/>
    <w:rsid w:val="00A00B65"/>
    <w:rsid w:val="00A00DBA"/>
    <w:rsid w:val="00A01216"/>
    <w:rsid w:val="00A01AF9"/>
    <w:rsid w:val="00A0202D"/>
    <w:rsid w:val="00A0446D"/>
    <w:rsid w:val="00A048ED"/>
    <w:rsid w:val="00A04B27"/>
    <w:rsid w:val="00A06504"/>
    <w:rsid w:val="00A07328"/>
    <w:rsid w:val="00A0791B"/>
    <w:rsid w:val="00A1044B"/>
    <w:rsid w:val="00A105E2"/>
    <w:rsid w:val="00A11D36"/>
    <w:rsid w:val="00A1210A"/>
    <w:rsid w:val="00A13019"/>
    <w:rsid w:val="00A13152"/>
    <w:rsid w:val="00A13595"/>
    <w:rsid w:val="00A13B98"/>
    <w:rsid w:val="00A14092"/>
    <w:rsid w:val="00A144F9"/>
    <w:rsid w:val="00A145BB"/>
    <w:rsid w:val="00A14A8A"/>
    <w:rsid w:val="00A14C51"/>
    <w:rsid w:val="00A150B4"/>
    <w:rsid w:val="00A150D1"/>
    <w:rsid w:val="00A15150"/>
    <w:rsid w:val="00A16380"/>
    <w:rsid w:val="00A16A92"/>
    <w:rsid w:val="00A17BDD"/>
    <w:rsid w:val="00A214BD"/>
    <w:rsid w:val="00A21BD5"/>
    <w:rsid w:val="00A21E10"/>
    <w:rsid w:val="00A21F2D"/>
    <w:rsid w:val="00A22895"/>
    <w:rsid w:val="00A22DAC"/>
    <w:rsid w:val="00A23DA5"/>
    <w:rsid w:val="00A24F1D"/>
    <w:rsid w:val="00A259BB"/>
    <w:rsid w:val="00A259CA"/>
    <w:rsid w:val="00A25C2E"/>
    <w:rsid w:val="00A26900"/>
    <w:rsid w:val="00A27373"/>
    <w:rsid w:val="00A27E2A"/>
    <w:rsid w:val="00A3005E"/>
    <w:rsid w:val="00A3041D"/>
    <w:rsid w:val="00A31772"/>
    <w:rsid w:val="00A3190E"/>
    <w:rsid w:val="00A32049"/>
    <w:rsid w:val="00A32EE6"/>
    <w:rsid w:val="00A3408E"/>
    <w:rsid w:val="00A3422F"/>
    <w:rsid w:val="00A35AE4"/>
    <w:rsid w:val="00A36DE3"/>
    <w:rsid w:val="00A37318"/>
    <w:rsid w:val="00A374A4"/>
    <w:rsid w:val="00A40274"/>
    <w:rsid w:val="00A4081A"/>
    <w:rsid w:val="00A40B04"/>
    <w:rsid w:val="00A41369"/>
    <w:rsid w:val="00A41384"/>
    <w:rsid w:val="00A422ED"/>
    <w:rsid w:val="00A43085"/>
    <w:rsid w:val="00A438E8"/>
    <w:rsid w:val="00A43BE0"/>
    <w:rsid w:val="00A44148"/>
    <w:rsid w:val="00A44479"/>
    <w:rsid w:val="00A446B5"/>
    <w:rsid w:val="00A45982"/>
    <w:rsid w:val="00A51434"/>
    <w:rsid w:val="00A518B3"/>
    <w:rsid w:val="00A52819"/>
    <w:rsid w:val="00A53DD8"/>
    <w:rsid w:val="00A541AF"/>
    <w:rsid w:val="00A55598"/>
    <w:rsid w:val="00A557EA"/>
    <w:rsid w:val="00A55CE0"/>
    <w:rsid w:val="00A56576"/>
    <w:rsid w:val="00A56659"/>
    <w:rsid w:val="00A57884"/>
    <w:rsid w:val="00A6033D"/>
    <w:rsid w:val="00A60995"/>
    <w:rsid w:val="00A60D31"/>
    <w:rsid w:val="00A60E9C"/>
    <w:rsid w:val="00A61734"/>
    <w:rsid w:val="00A62C20"/>
    <w:rsid w:val="00A62DF7"/>
    <w:rsid w:val="00A63243"/>
    <w:rsid w:val="00A64138"/>
    <w:rsid w:val="00A6585C"/>
    <w:rsid w:val="00A65B09"/>
    <w:rsid w:val="00A65BEF"/>
    <w:rsid w:val="00A6629E"/>
    <w:rsid w:val="00A6712E"/>
    <w:rsid w:val="00A67182"/>
    <w:rsid w:val="00A6787C"/>
    <w:rsid w:val="00A67CB3"/>
    <w:rsid w:val="00A67CEC"/>
    <w:rsid w:val="00A717AA"/>
    <w:rsid w:val="00A7186D"/>
    <w:rsid w:val="00A719F9"/>
    <w:rsid w:val="00A71C9F"/>
    <w:rsid w:val="00A732B2"/>
    <w:rsid w:val="00A734A5"/>
    <w:rsid w:val="00A744C0"/>
    <w:rsid w:val="00A7516C"/>
    <w:rsid w:val="00A75563"/>
    <w:rsid w:val="00A76AFD"/>
    <w:rsid w:val="00A76C68"/>
    <w:rsid w:val="00A77FE6"/>
    <w:rsid w:val="00A80C47"/>
    <w:rsid w:val="00A81261"/>
    <w:rsid w:val="00A83651"/>
    <w:rsid w:val="00A83945"/>
    <w:rsid w:val="00A84D3D"/>
    <w:rsid w:val="00A8536A"/>
    <w:rsid w:val="00A85DF2"/>
    <w:rsid w:val="00A85EC0"/>
    <w:rsid w:val="00A861E2"/>
    <w:rsid w:val="00A86372"/>
    <w:rsid w:val="00A867D1"/>
    <w:rsid w:val="00A877E5"/>
    <w:rsid w:val="00A9000B"/>
    <w:rsid w:val="00A90067"/>
    <w:rsid w:val="00A901D3"/>
    <w:rsid w:val="00A9055A"/>
    <w:rsid w:val="00A92C7C"/>
    <w:rsid w:val="00A93A75"/>
    <w:rsid w:val="00A94C32"/>
    <w:rsid w:val="00A962B6"/>
    <w:rsid w:val="00A965F7"/>
    <w:rsid w:val="00A96A82"/>
    <w:rsid w:val="00A97A97"/>
    <w:rsid w:val="00AA0A16"/>
    <w:rsid w:val="00AA0CF8"/>
    <w:rsid w:val="00AA112B"/>
    <w:rsid w:val="00AA1BF5"/>
    <w:rsid w:val="00AA1DFA"/>
    <w:rsid w:val="00AA2349"/>
    <w:rsid w:val="00AA28AA"/>
    <w:rsid w:val="00AA2D87"/>
    <w:rsid w:val="00AA44B5"/>
    <w:rsid w:val="00AA5E82"/>
    <w:rsid w:val="00AA67CA"/>
    <w:rsid w:val="00AA6A1C"/>
    <w:rsid w:val="00AA7AA9"/>
    <w:rsid w:val="00AB1BDB"/>
    <w:rsid w:val="00AB25CB"/>
    <w:rsid w:val="00AB2A4A"/>
    <w:rsid w:val="00AB31F9"/>
    <w:rsid w:val="00AB3907"/>
    <w:rsid w:val="00AB3BE4"/>
    <w:rsid w:val="00AB3E2D"/>
    <w:rsid w:val="00AB52B1"/>
    <w:rsid w:val="00AB53C9"/>
    <w:rsid w:val="00AB6685"/>
    <w:rsid w:val="00AB6EDC"/>
    <w:rsid w:val="00AB72BD"/>
    <w:rsid w:val="00AC03AA"/>
    <w:rsid w:val="00AC1D66"/>
    <w:rsid w:val="00AC202E"/>
    <w:rsid w:val="00AC2588"/>
    <w:rsid w:val="00AC2755"/>
    <w:rsid w:val="00AC2CE2"/>
    <w:rsid w:val="00AC3830"/>
    <w:rsid w:val="00AC385F"/>
    <w:rsid w:val="00AC4840"/>
    <w:rsid w:val="00AC4989"/>
    <w:rsid w:val="00AC525D"/>
    <w:rsid w:val="00AC7D51"/>
    <w:rsid w:val="00AC7FA9"/>
    <w:rsid w:val="00AD0498"/>
    <w:rsid w:val="00AD12EB"/>
    <w:rsid w:val="00AD13E9"/>
    <w:rsid w:val="00AD1C62"/>
    <w:rsid w:val="00AD1E82"/>
    <w:rsid w:val="00AD2160"/>
    <w:rsid w:val="00AD24E1"/>
    <w:rsid w:val="00AD2D42"/>
    <w:rsid w:val="00AD2E3C"/>
    <w:rsid w:val="00AD36CF"/>
    <w:rsid w:val="00AD3FA1"/>
    <w:rsid w:val="00AD4924"/>
    <w:rsid w:val="00AD6349"/>
    <w:rsid w:val="00AD719E"/>
    <w:rsid w:val="00AD7218"/>
    <w:rsid w:val="00AD74AF"/>
    <w:rsid w:val="00AD7B4E"/>
    <w:rsid w:val="00AE0870"/>
    <w:rsid w:val="00AE0D11"/>
    <w:rsid w:val="00AE137C"/>
    <w:rsid w:val="00AE1406"/>
    <w:rsid w:val="00AE1EFF"/>
    <w:rsid w:val="00AE265A"/>
    <w:rsid w:val="00AE2C84"/>
    <w:rsid w:val="00AE2FCC"/>
    <w:rsid w:val="00AE4DA2"/>
    <w:rsid w:val="00AE5FF8"/>
    <w:rsid w:val="00AE6597"/>
    <w:rsid w:val="00AE705E"/>
    <w:rsid w:val="00AE7722"/>
    <w:rsid w:val="00AE773C"/>
    <w:rsid w:val="00AE7E14"/>
    <w:rsid w:val="00AF0675"/>
    <w:rsid w:val="00AF07DE"/>
    <w:rsid w:val="00AF0A19"/>
    <w:rsid w:val="00AF147A"/>
    <w:rsid w:val="00AF1B91"/>
    <w:rsid w:val="00AF2355"/>
    <w:rsid w:val="00AF2706"/>
    <w:rsid w:val="00AF2C8E"/>
    <w:rsid w:val="00AF3B09"/>
    <w:rsid w:val="00AF4734"/>
    <w:rsid w:val="00AF4D8E"/>
    <w:rsid w:val="00AF59E0"/>
    <w:rsid w:val="00AF5A4B"/>
    <w:rsid w:val="00AF62A7"/>
    <w:rsid w:val="00AF67BB"/>
    <w:rsid w:val="00AF6EC4"/>
    <w:rsid w:val="00AF6ECE"/>
    <w:rsid w:val="00AF78DD"/>
    <w:rsid w:val="00AF79A2"/>
    <w:rsid w:val="00B00946"/>
    <w:rsid w:val="00B00C7F"/>
    <w:rsid w:val="00B00C85"/>
    <w:rsid w:val="00B01116"/>
    <w:rsid w:val="00B012BE"/>
    <w:rsid w:val="00B014EB"/>
    <w:rsid w:val="00B01696"/>
    <w:rsid w:val="00B01E39"/>
    <w:rsid w:val="00B028EF"/>
    <w:rsid w:val="00B0352D"/>
    <w:rsid w:val="00B03A09"/>
    <w:rsid w:val="00B03C80"/>
    <w:rsid w:val="00B04528"/>
    <w:rsid w:val="00B047FC"/>
    <w:rsid w:val="00B07F78"/>
    <w:rsid w:val="00B11125"/>
    <w:rsid w:val="00B11A65"/>
    <w:rsid w:val="00B125EE"/>
    <w:rsid w:val="00B12868"/>
    <w:rsid w:val="00B12F30"/>
    <w:rsid w:val="00B1325D"/>
    <w:rsid w:val="00B139B4"/>
    <w:rsid w:val="00B14354"/>
    <w:rsid w:val="00B158DF"/>
    <w:rsid w:val="00B158EE"/>
    <w:rsid w:val="00B17A5C"/>
    <w:rsid w:val="00B17C5B"/>
    <w:rsid w:val="00B21247"/>
    <w:rsid w:val="00B21B14"/>
    <w:rsid w:val="00B22D7D"/>
    <w:rsid w:val="00B24E6B"/>
    <w:rsid w:val="00B2582C"/>
    <w:rsid w:val="00B25EC5"/>
    <w:rsid w:val="00B268DF"/>
    <w:rsid w:val="00B26C4B"/>
    <w:rsid w:val="00B271AE"/>
    <w:rsid w:val="00B2753C"/>
    <w:rsid w:val="00B27EB7"/>
    <w:rsid w:val="00B30FC9"/>
    <w:rsid w:val="00B31D67"/>
    <w:rsid w:val="00B31E39"/>
    <w:rsid w:val="00B32F22"/>
    <w:rsid w:val="00B3399C"/>
    <w:rsid w:val="00B33D51"/>
    <w:rsid w:val="00B346ED"/>
    <w:rsid w:val="00B348C9"/>
    <w:rsid w:val="00B34949"/>
    <w:rsid w:val="00B34E5A"/>
    <w:rsid w:val="00B359E1"/>
    <w:rsid w:val="00B35B9B"/>
    <w:rsid w:val="00B40C3F"/>
    <w:rsid w:val="00B41248"/>
    <w:rsid w:val="00B424F1"/>
    <w:rsid w:val="00B43C8A"/>
    <w:rsid w:val="00B4505F"/>
    <w:rsid w:val="00B45620"/>
    <w:rsid w:val="00B458FB"/>
    <w:rsid w:val="00B5030C"/>
    <w:rsid w:val="00B50494"/>
    <w:rsid w:val="00B50768"/>
    <w:rsid w:val="00B510EF"/>
    <w:rsid w:val="00B5198B"/>
    <w:rsid w:val="00B527FE"/>
    <w:rsid w:val="00B53BF0"/>
    <w:rsid w:val="00B5494B"/>
    <w:rsid w:val="00B5555B"/>
    <w:rsid w:val="00B561AF"/>
    <w:rsid w:val="00B562BC"/>
    <w:rsid w:val="00B5646F"/>
    <w:rsid w:val="00B56901"/>
    <w:rsid w:val="00B56984"/>
    <w:rsid w:val="00B569E9"/>
    <w:rsid w:val="00B57435"/>
    <w:rsid w:val="00B57D54"/>
    <w:rsid w:val="00B60837"/>
    <w:rsid w:val="00B62168"/>
    <w:rsid w:val="00B6250B"/>
    <w:rsid w:val="00B62B89"/>
    <w:rsid w:val="00B62FE5"/>
    <w:rsid w:val="00B63819"/>
    <w:rsid w:val="00B64DF3"/>
    <w:rsid w:val="00B65522"/>
    <w:rsid w:val="00B658B7"/>
    <w:rsid w:val="00B6674A"/>
    <w:rsid w:val="00B66E1B"/>
    <w:rsid w:val="00B67A91"/>
    <w:rsid w:val="00B67D80"/>
    <w:rsid w:val="00B67EC1"/>
    <w:rsid w:val="00B70508"/>
    <w:rsid w:val="00B7109A"/>
    <w:rsid w:val="00B72ADD"/>
    <w:rsid w:val="00B72F35"/>
    <w:rsid w:val="00B73771"/>
    <w:rsid w:val="00B73D38"/>
    <w:rsid w:val="00B74511"/>
    <w:rsid w:val="00B74765"/>
    <w:rsid w:val="00B75257"/>
    <w:rsid w:val="00B75F3D"/>
    <w:rsid w:val="00B76B91"/>
    <w:rsid w:val="00B76CB1"/>
    <w:rsid w:val="00B80AAC"/>
    <w:rsid w:val="00B81287"/>
    <w:rsid w:val="00B814B1"/>
    <w:rsid w:val="00B821AA"/>
    <w:rsid w:val="00B829E8"/>
    <w:rsid w:val="00B83895"/>
    <w:rsid w:val="00B83D60"/>
    <w:rsid w:val="00B843CF"/>
    <w:rsid w:val="00B85E8C"/>
    <w:rsid w:val="00B864DE"/>
    <w:rsid w:val="00B868B3"/>
    <w:rsid w:val="00B86C40"/>
    <w:rsid w:val="00B875D3"/>
    <w:rsid w:val="00B90225"/>
    <w:rsid w:val="00B90509"/>
    <w:rsid w:val="00B90BD2"/>
    <w:rsid w:val="00B91164"/>
    <w:rsid w:val="00B91BFF"/>
    <w:rsid w:val="00B92484"/>
    <w:rsid w:val="00B92B6A"/>
    <w:rsid w:val="00B934D5"/>
    <w:rsid w:val="00B94C0D"/>
    <w:rsid w:val="00B95410"/>
    <w:rsid w:val="00B95820"/>
    <w:rsid w:val="00B9606B"/>
    <w:rsid w:val="00B964CA"/>
    <w:rsid w:val="00B97344"/>
    <w:rsid w:val="00B97413"/>
    <w:rsid w:val="00BA03D9"/>
    <w:rsid w:val="00BA0C60"/>
    <w:rsid w:val="00BA0D32"/>
    <w:rsid w:val="00BA1791"/>
    <w:rsid w:val="00BA200F"/>
    <w:rsid w:val="00BA38D4"/>
    <w:rsid w:val="00BA561B"/>
    <w:rsid w:val="00BA5684"/>
    <w:rsid w:val="00BA6D8D"/>
    <w:rsid w:val="00BA72D9"/>
    <w:rsid w:val="00BA7A64"/>
    <w:rsid w:val="00BA7B8D"/>
    <w:rsid w:val="00BB04AE"/>
    <w:rsid w:val="00BB0634"/>
    <w:rsid w:val="00BB11FC"/>
    <w:rsid w:val="00BB128B"/>
    <w:rsid w:val="00BB12CA"/>
    <w:rsid w:val="00BB25D2"/>
    <w:rsid w:val="00BB3222"/>
    <w:rsid w:val="00BB3466"/>
    <w:rsid w:val="00BB34B3"/>
    <w:rsid w:val="00BB395C"/>
    <w:rsid w:val="00BB534B"/>
    <w:rsid w:val="00BB568B"/>
    <w:rsid w:val="00BB571C"/>
    <w:rsid w:val="00BB6583"/>
    <w:rsid w:val="00BB6A26"/>
    <w:rsid w:val="00BB6C86"/>
    <w:rsid w:val="00BB73FA"/>
    <w:rsid w:val="00BB7C7B"/>
    <w:rsid w:val="00BC0352"/>
    <w:rsid w:val="00BC116D"/>
    <w:rsid w:val="00BC1467"/>
    <w:rsid w:val="00BC27B2"/>
    <w:rsid w:val="00BC27D2"/>
    <w:rsid w:val="00BC3433"/>
    <w:rsid w:val="00BC4797"/>
    <w:rsid w:val="00BC50CA"/>
    <w:rsid w:val="00BC5FAD"/>
    <w:rsid w:val="00BC61E6"/>
    <w:rsid w:val="00BC7877"/>
    <w:rsid w:val="00BD11A8"/>
    <w:rsid w:val="00BD153D"/>
    <w:rsid w:val="00BD1B41"/>
    <w:rsid w:val="00BD1FED"/>
    <w:rsid w:val="00BD23CB"/>
    <w:rsid w:val="00BD2975"/>
    <w:rsid w:val="00BD2CE4"/>
    <w:rsid w:val="00BD3116"/>
    <w:rsid w:val="00BD3E13"/>
    <w:rsid w:val="00BD401C"/>
    <w:rsid w:val="00BD422A"/>
    <w:rsid w:val="00BD45E9"/>
    <w:rsid w:val="00BD49AF"/>
    <w:rsid w:val="00BD4B7A"/>
    <w:rsid w:val="00BD53D9"/>
    <w:rsid w:val="00BD548D"/>
    <w:rsid w:val="00BD5BE4"/>
    <w:rsid w:val="00BD6246"/>
    <w:rsid w:val="00BD64A2"/>
    <w:rsid w:val="00BD76B5"/>
    <w:rsid w:val="00BD78BF"/>
    <w:rsid w:val="00BD792A"/>
    <w:rsid w:val="00BE12D8"/>
    <w:rsid w:val="00BE169D"/>
    <w:rsid w:val="00BE1A37"/>
    <w:rsid w:val="00BE21DF"/>
    <w:rsid w:val="00BE268D"/>
    <w:rsid w:val="00BE31DB"/>
    <w:rsid w:val="00BE490F"/>
    <w:rsid w:val="00BE4B44"/>
    <w:rsid w:val="00BE4C83"/>
    <w:rsid w:val="00BE51EC"/>
    <w:rsid w:val="00BE5A5A"/>
    <w:rsid w:val="00BE5EB3"/>
    <w:rsid w:val="00BE6E11"/>
    <w:rsid w:val="00BE6F0E"/>
    <w:rsid w:val="00BF0000"/>
    <w:rsid w:val="00BF06DE"/>
    <w:rsid w:val="00BF15C8"/>
    <w:rsid w:val="00BF1689"/>
    <w:rsid w:val="00BF1CB3"/>
    <w:rsid w:val="00BF4B91"/>
    <w:rsid w:val="00BF4EE6"/>
    <w:rsid w:val="00BF5185"/>
    <w:rsid w:val="00BF6A30"/>
    <w:rsid w:val="00BF7705"/>
    <w:rsid w:val="00BF795F"/>
    <w:rsid w:val="00BF7A5F"/>
    <w:rsid w:val="00C00AC3"/>
    <w:rsid w:val="00C01BCF"/>
    <w:rsid w:val="00C021FA"/>
    <w:rsid w:val="00C0226F"/>
    <w:rsid w:val="00C03200"/>
    <w:rsid w:val="00C038B9"/>
    <w:rsid w:val="00C04416"/>
    <w:rsid w:val="00C05E89"/>
    <w:rsid w:val="00C0711E"/>
    <w:rsid w:val="00C0774C"/>
    <w:rsid w:val="00C102AF"/>
    <w:rsid w:val="00C103B3"/>
    <w:rsid w:val="00C1091C"/>
    <w:rsid w:val="00C10AAB"/>
    <w:rsid w:val="00C128D7"/>
    <w:rsid w:val="00C1294C"/>
    <w:rsid w:val="00C13406"/>
    <w:rsid w:val="00C13442"/>
    <w:rsid w:val="00C13599"/>
    <w:rsid w:val="00C137A7"/>
    <w:rsid w:val="00C141EC"/>
    <w:rsid w:val="00C151A9"/>
    <w:rsid w:val="00C152E5"/>
    <w:rsid w:val="00C152EF"/>
    <w:rsid w:val="00C15D1C"/>
    <w:rsid w:val="00C16992"/>
    <w:rsid w:val="00C16C4E"/>
    <w:rsid w:val="00C17527"/>
    <w:rsid w:val="00C2045F"/>
    <w:rsid w:val="00C21159"/>
    <w:rsid w:val="00C2218D"/>
    <w:rsid w:val="00C2225B"/>
    <w:rsid w:val="00C234CA"/>
    <w:rsid w:val="00C23BDD"/>
    <w:rsid w:val="00C23E2F"/>
    <w:rsid w:val="00C23FB0"/>
    <w:rsid w:val="00C24BEF"/>
    <w:rsid w:val="00C24BF6"/>
    <w:rsid w:val="00C24E94"/>
    <w:rsid w:val="00C259EC"/>
    <w:rsid w:val="00C25FC7"/>
    <w:rsid w:val="00C272B4"/>
    <w:rsid w:val="00C27529"/>
    <w:rsid w:val="00C3042C"/>
    <w:rsid w:val="00C3074C"/>
    <w:rsid w:val="00C31FAF"/>
    <w:rsid w:val="00C320B4"/>
    <w:rsid w:val="00C328A9"/>
    <w:rsid w:val="00C32A15"/>
    <w:rsid w:val="00C32BBC"/>
    <w:rsid w:val="00C32C88"/>
    <w:rsid w:val="00C33123"/>
    <w:rsid w:val="00C332D9"/>
    <w:rsid w:val="00C33B35"/>
    <w:rsid w:val="00C34D9D"/>
    <w:rsid w:val="00C363A8"/>
    <w:rsid w:val="00C37BC4"/>
    <w:rsid w:val="00C37DF0"/>
    <w:rsid w:val="00C40088"/>
    <w:rsid w:val="00C40201"/>
    <w:rsid w:val="00C41441"/>
    <w:rsid w:val="00C41AC3"/>
    <w:rsid w:val="00C42226"/>
    <w:rsid w:val="00C42F58"/>
    <w:rsid w:val="00C43654"/>
    <w:rsid w:val="00C442F5"/>
    <w:rsid w:val="00C45152"/>
    <w:rsid w:val="00C46757"/>
    <w:rsid w:val="00C47879"/>
    <w:rsid w:val="00C47B69"/>
    <w:rsid w:val="00C502D8"/>
    <w:rsid w:val="00C50CF0"/>
    <w:rsid w:val="00C50F47"/>
    <w:rsid w:val="00C51A1F"/>
    <w:rsid w:val="00C52990"/>
    <w:rsid w:val="00C53487"/>
    <w:rsid w:val="00C548A9"/>
    <w:rsid w:val="00C55506"/>
    <w:rsid w:val="00C55688"/>
    <w:rsid w:val="00C55A5A"/>
    <w:rsid w:val="00C57160"/>
    <w:rsid w:val="00C574E5"/>
    <w:rsid w:val="00C5788D"/>
    <w:rsid w:val="00C615DC"/>
    <w:rsid w:val="00C62EE8"/>
    <w:rsid w:val="00C63A2A"/>
    <w:rsid w:val="00C6437A"/>
    <w:rsid w:val="00C65049"/>
    <w:rsid w:val="00C65CCF"/>
    <w:rsid w:val="00C666D9"/>
    <w:rsid w:val="00C67061"/>
    <w:rsid w:val="00C672C7"/>
    <w:rsid w:val="00C67B98"/>
    <w:rsid w:val="00C67D7D"/>
    <w:rsid w:val="00C700E2"/>
    <w:rsid w:val="00C70D59"/>
    <w:rsid w:val="00C7166E"/>
    <w:rsid w:val="00C7167F"/>
    <w:rsid w:val="00C71903"/>
    <w:rsid w:val="00C72F5D"/>
    <w:rsid w:val="00C72F8B"/>
    <w:rsid w:val="00C73A37"/>
    <w:rsid w:val="00C7494B"/>
    <w:rsid w:val="00C74980"/>
    <w:rsid w:val="00C7578D"/>
    <w:rsid w:val="00C76929"/>
    <w:rsid w:val="00C76956"/>
    <w:rsid w:val="00C77189"/>
    <w:rsid w:val="00C807B3"/>
    <w:rsid w:val="00C80808"/>
    <w:rsid w:val="00C80D52"/>
    <w:rsid w:val="00C82B9C"/>
    <w:rsid w:val="00C8410A"/>
    <w:rsid w:val="00C85101"/>
    <w:rsid w:val="00C869EA"/>
    <w:rsid w:val="00C86AEB"/>
    <w:rsid w:val="00C86BC1"/>
    <w:rsid w:val="00C878AE"/>
    <w:rsid w:val="00C87A11"/>
    <w:rsid w:val="00C90656"/>
    <w:rsid w:val="00C92121"/>
    <w:rsid w:val="00C92B45"/>
    <w:rsid w:val="00C92FA2"/>
    <w:rsid w:val="00C9425F"/>
    <w:rsid w:val="00C94A5F"/>
    <w:rsid w:val="00C94CFE"/>
    <w:rsid w:val="00C94D18"/>
    <w:rsid w:val="00C94E78"/>
    <w:rsid w:val="00C9514E"/>
    <w:rsid w:val="00C95C17"/>
    <w:rsid w:val="00C95F28"/>
    <w:rsid w:val="00C96183"/>
    <w:rsid w:val="00C962F5"/>
    <w:rsid w:val="00C96450"/>
    <w:rsid w:val="00C969E3"/>
    <w:rsid w:val="00C97257"/>
    <w:rsid w:val="00C9740B"/>
    <w:rsid w:val="00CA0890"/>
    <w:rsid w:val="00CA0A16"/>
    <w:rsid w:val="00CA1DA4"/>
    <w:rsid w:val="00CA216D"/>
    <w:rsid w:val="00CA24CA"/>
    <w:rsid w:val="00CA3C8D"/>
    <w:rsid w:val="00CA3D9D"/>
    <w:rsid w:val="00CA56C6"/>
    <w:rsid w:val="00CA5D85"/>
    <w:rsid w:val="00CA5F02"/>
    <w:rsid w:val="00CA64DD"/>
    <w:rsid w:val="00CA6570"/>
    <w:rsid w:val="00CA777D"/>
    <w:rsid w:val="00CA7A2D"/>
    <w:rsid w:val="00CA7B67"/>
    <w:rsid w:val="00CA7BC2"/>
    <w:rsid w:val="00CB00FA"/>
    <w:rsid w:val="00CB0E5A"/>
    <w:rsid w:val="00CB10F1"/>
    <w:rsid w:val="00CB116F"/>
    <w:rsid w:val="00CB1E84"/>
    <w:rsid w:val="00CB2A8B"/>
    <w:rsid w:val="00CB3620"/>
    <w:rsid w:val="00CB3641"/>
    <w:rsid w:val="00CB3B18"/>
    <w:rsid w:val="00CB3CE2"/>
    <w:rsid w:val="00CB4AFB"/>
    <w:rsid w:val="00CB4F47"/>
    <w:rsid w:val="00CB53E4"/>
    <w:rsid w:val="00CB546B"/>
    <w:rsid w:val="00CB5A7E"/>
    <w:rsid w:val="00CB5E06"/>
    <w:rsid w:val="00CB6232"/>
    <w:rsid w:val="00CB6C13"/>
    <w:rsid w:val="00CB77C9"/>
    <w:rsid w:val="00CB79E5"/>
    <w:rsid w:val="00CC05C3"/>
    <w:rsid w:val="00CC0664"/>
    <w:rsid w:val="00CC101A"/>
    <w:rsid w:val="00CC1F37"/>
    <w:rsid w:val="00CC26EF"/>
    <w:rsid w:val="00CC3CD8"/>
    <w:rsid w:val="00CC4EBB"/>
    <w:rsid w:val="00CC50A6"/>
    <w:rsid w:val="00CC5711"/>
    <w:rsid w:val="00CC61BE"/>
    <w:rsid w:val="00CC6913"/>
    <w:rsid w:val="00CC6E79"/>
    <w:rsid w:val="00CC78E8"/>
    <w:rsid w:val="00CC7BC8"/>
    <w:rsid w:val="00CD10BF"/>
    <w:rsid w:val="00CD4027"/>
    <w:rsid w:val="00CD4707"/>
    <w:rsid w:val="00CD51E5"/>
    <w:rsid w:val="00CD5265"/>
    <w:rsid w:val="00CD5710"/>
    <w:rsid w:val="00CD594B"/>
    <w:rsid w:val="00CD5F6B"/>
    <w:rsid w:val="00CD63A7"/>
    <w:rsid w:val="00CD651F"/>
    <w:rsid w:val="00CD6B42"/>
    <w:rsid w:val="00CD6F7B"/>
    <w:rsid w:val="00CD7827"/>
    <w:rsid w:val="00CD79EA"/>
    <w:rsid w:val="00CD7CF0"/>
    <w:rsid w:val="00CE03E3"/>
    <w:rsid w:val="00CE0E9C"/>
    <w:rsid w:val="00CE1774"/>
    <w:rsid w:val="00CE1CFF"/>
    <w:rsid w:val="00CE277D"/>
    <w:rsid w:val="00CE2E9A"/>
    <w:rsid w:val="00CE2EC0"/>
    <w:rsid w:val="00CE4BB6"/>
    <w:rsid w:val="00CE4FB7"/>
    <w:rsid w:val="00CE5383"/>
    <w:rsid w:val="00CE5BC4"/>
    <w:rsid w:val="00CE7D73"/>
    <w:rsid w:val="00CF111F"/>
    <w:rsid w:val="00CF1C80"/>
    <w:rsid w:val="00CF1DF1"/>
    <w:rsid w:val="00CF2D29"/>
    <w:rsid w:val="00CF581E"/>
    <w:rsid w:val="00CF5B97"/>
    <w:rsid w:val="00CF6B1E"/>
    <w:rsid w:val="00CF6C68"/>
    <w:rsid w:val="00CF71A9"/>
    <w:rsid w:val="00CF78C1"/>
    <w:rsid w:val="00CF7E59"/>
    <w:rsid w:val="00CF7E88"/>
    <w:rsid w:val="00D0027E"/>
    <w:rsid w:val="00D004D4"/>
    <w:rsid w:val="00D00593"/>
    <w:rsid w:val="00D01C47"/>
    <w:rsid w:val="00D01EB8"/>
    <w:rsid w:val="00D0272F"/>
    <w:rsid w:val="00D02843"/>
    <w:rsid w:val="00D02AA5"/>
    <w:rsid w:val="00D02C29"/>
    <w:rsid w:val="00D02E3A"/>
    <w:rsid w:val="00D03363"/>
    <w:rsid w:val="00D03A00"/>
    <w:rsid w:val="00D043DC"/>
    <w:rsid w:val="00D048A2"/>
    <w:rsid w:val="00D05AE3"/>
    <w:rsid w:val="00D06C91"/>
    <w:rsid w:val="00D06CCE"/>
    <w:rsid w:val="00D06E42"/>
    <w:rsid w:val="00D109EC"/>
    <w:rsid w:val="00D11286"/>
    <w:rsid w:val="00D1146F"/>
    <w:rsid w:val="00D13D8E"/>
    <w:rsid w:val="00D14354"/>
    <w:rsid w:val="00D14BC3"/>
    <w:rsid w:val="00D14C04"/>
    <w:rsid w:val="00D15935"/>
    <w:rsid w:val="00D15A6F"/>
    <w:rsid w:val="00D16530"/>
    <w:rsid w:val="00D16759"/>
    <w:rsid w:val="00D20201"/>
    <w:rsid w:val="00D204FA"/>
    <w:rsid w:val="00D20647"/>
    <w:rsid w:val="00D20CB3"/>
    <w:rsid w:val="00D213BE"/>
    <w:rsid w:val="00D21920"/>
    <w:rsid w:val="00D22246"/>
    <w:rsid w:val="00D22510"/>
    <w:rsid w:val="00D22F99"/>
    <w:rsid w:val="00D23DEC"/>
    <w:rsid w:val="00D23FE0"/>
    <w:rsid w:val="00D240EF"/>
    <w:rsid w:val="00D24A59"/>
    <w:rsid w:val="00D24D51"/>
    <w:rsid w:val="00D254F4"/>
    <w:rsid w:val="00D25620"/>
    <w:rsid w:val="00D2673D"/>
    <w:rsid w:val="00D26AB2"/>
    <w:rsid w:val="00D27226"/>
    <w:rsid w:val="00D27B20"/>
    <w:rsid w:val="00D27F67"/>
    <w:rsid w:val="00D27FEA"/>
    <w:rsid w:val="00D30AF1"/>
    <w:rsid w:val="00D3171C"/>
    <w:rsid w:val="00D31738"/>
    <w:rsid w:val="00D31799"/>
    <w:rsid w:val="00D31929"/>
    <w:rsid w:val="00D323FD"/>
    <w:rsid w:val="00D3250F"/>
    <w:rsid w:val="00D3283A"/>
    <w:rsid w:val="00D32970"/>
    <w:rsid w:val="00D32BE2"/>
    <w:rsid w:val="00D338C1"/>
    <w:rsid w:val="00D338EB"/>
    <w:rsid w:val="00D3401A"/>
    <w:rsid w:val="00D34584"/>
    <w:rsid w:val="00D346C3"/>
    <w:rsid w:val="00D34D3F"/>
    <w:rsid w:val="00D35201"/>
    <w:rsid w:val="00D35F60"/>
    <w:rsid w:val="00D36041"/>
    <w:rsid w:val="00D3694E"/>
    <w:rsid w:val="00D36A94"/>
    <w:rsid w:val="00D36D79"/>
    <w:rsid w:val="00D37CCF"/>
    <w:rsid w:val="00D4057B"/>
    <w:rsid w:val="00D405F1"/>
    <w:rsid w:val="00D40E87"/>
    <w:rsid w:val="00D41C5C"/>
    <w:rsid w:val="00D42060"/>
    <w:rsid w:val="00D4206A"/>
    <w:rsid w:val="00D43465"/>
    <w:rsid w:val="00D43EC4"/>
    <w:rsid w:val="00D43FF6"/>
    <w:rsid w:val="00D451A4"/>
    <w:rsid w:val="00D452EA"/>
    <w:rsid w:val="00D45793"/>
    <w:rsid w:val="00D46ADF"/>
    <w:rsid w:val="00D46B14"/>
    <w:rsid w:val="00D47DDF"/>
    <w:rsid w:val="00D47E1D"/>
    <w:rsid w:val="00D505DB"/>
    <w:rsid w:val="00D52229"/>
    <w:rsid w:val="00D52307"/>
    <w:rsid w:val="00D5242A"/>
    <w:rsid w:val="00D5248A"/>
    <w:rsid w:val="00D534BE"/>
    <w:rsid w:val="00D53FD6"/>
    <w:rsid w:val="00D5557E"/>
    <w:rsid w:val="00D555BE"/>
    <w:rsid w:val="00D56B80"/>
    <w:rsid w:val="00D57A9E"/>
    <w:rsid w:val="00D57EA5"/>
    <w:rsid w:val="00D615B4"/>
    <w:rsid w:val="00D6238B"/>
    <w:rsid w:val="00D623CB"/>
    <w:rsid w:val="00D62691"/>
    <w:rsid w:val="00D62D13"/>
    <w:rsid w:val="00D637FD"/>
    <w:rsid w:val="00D63BE7"/>
    <w:rsid w:val="00D64143"/>
    <w:rsid w:val="00D66499"/>
    <w:rsid w:val="00D66615"/>
    <w:rsid w:val="00D67A13"/>
    <w:rsid w:val="00D71A8E"/>
    <w:rsid w:val="00D72116"/>
    <w:rsid w:val="00D74081"/>
    <w:rsid w:val="00D754C3"/>
    <w:rsid w:val="00D756B9"/>
    <w:rsid w:val="00D76D45"/>
    <w:rsid w:val="00D77F34"/>
    <w:rsid w:val="00D82538"/>
    <w:rsid w:val="00D82E74"/>
    <w:rsid w:val="00D82EDC"/>
    <w:rsid w:val="00D8364F"/>
    <w:rsid w:val="00D83F27"/>
    <w:rsid w:val="00D84029"/>
    <w:rsid w:val="00D84836"/>
    <w:rsid w:val="00D84F31"/>
    <w:rsid w:val="00D84FF7"/>
    <w:rsid w:val="00D85969"/>
    <w:rsid w:val="00D85A34"/>
    <w:rsid w:val="00D874E7"/>
    <w:rsid w:val="00D87880"/>
    <w:rsid w:val="00D87A32"/>
    <w:rsid w:val="00D90917"/>
    <w:rsid w:val="00D90B53"/>
    <w:rsid w:val="00D90FEE"/>
    <w:rsid w:val="00D913D8"/>
    <w:rsid w:val="00D9191A"/>
    <w:rsid w:val="00D9237E"/>
    <w:rsid w:val="00D9330B"/>
    <w:rsid w:val="00D93C0E"/>
    <w:rsid w:val="00D944C2"/>
    <w:rsid w:val="00D94682"/>
    <w:rsid w:val="00D95548"/>
    <w:rsid w:val="00D964AD"/>
    <w:rsid w:val="00D97345"/>
    <w:rsid w:val="00D9781B"/>
    <w:rsid w:val="00DA0662"/>
    <w:rsid w:val="00DA0676"/>
    <w:rsid w:val="00DA10EE"/>
    <w:rsid w:val="00DA116B"/>
    <w:rsid w:val="00DA1608"/>
    <w:rsid w:val="00DA17B5"/>
    <w:rsid w:val="00DA18C4"/>
    <w:rsid w:val="00DA2055"/>
    <w:rsid w:val="00DA2629"/>
    <w:rsid w:val="00DA29FE"/>
    <w:rsid w:val="00DA32D6"/>
    <w:rsid w:val="00DA3AED"/>
    <w:rsid w:val="00DA3B1E"/>
    <w:rsid w:val="00DA48F7"/>
    <w:rsid w:val="00DA5334"/>
    <w:rsid w:val="00DA6863"/>
    <w:rsid w:val="00DA7628"/>
    <w:rsid w:val="00DA7D99"/>
    <w:rsid w:val="00DB0436"/>
    <w:rsid w:val="00DB0A5F"/>
    <w:rsid w:val="00DB0CBE"/>
    <w:rsid w:val="00DB14B2"/>
    <w:rsid w:val="00DB17A5"/>
    <w:rsid w:val="00DB18E1"/>
    <w:rsid w:val="00DB1B44"/>
    <w:rsid w:val="00DB1D9C"/>
    <w:rsid w:val="00DB1E53"/>
    <w:rsid w:val="00DB292D"/>
    <w:rsid w:val="00DB39D1"/>
    <w:rsid w:val="00DB4970"/>
    <w:rsid w:val="00DB4AC8"/>
    <w:rsid w:val="00DB527B"/>
    <w:rsid w:val="00DB5D08"/>
    <w:rsid w:val="00DB680E"/>
    <w:rsid w:val="00DB77DA"/>
    <w:rsid w:val="00DC0BFF"/>
    <w:rsid w:val="00DC0FB5"/>
    <w:rsid w:val="00DC1331"/>
    <w:rsid w:val="00DC1350"/>
    <w:rsid w:val="00DC1E09"/>
    <w:rsid w:val="00DC2349"/>
    <w:rsid w:val="00DC2547"/>
    <w:rsid w:val="00DC38B2"/>
    <w:rsid w:val="00DC3F28"/>
    <w:rsid w:val="00DC66E6"/>
    <w:rsid w:val="00DC6CA9"/>
    <w:rsid w:val="00DC6E60"/>
    <w:rsid w:val="00DD0046"/>
    <w:rsid w:val="00DD009F"/>
    <w:rsid w:val="00DD13B2"/>
    <w:rsid w:val="00DD2142"/>
    <w:rsid w:val="00DD233F"/>
    <w:rsid w:val="00DD2A43"/>
    <w:rsid w:val="00DD36AE"/>
    <w:rsid w:val="00DD3B48"/>
    <w:rsid w:val="00DD3F63"/>
    <w:rsid w:val="00DD41A1"/>
    <w:rsid w:val="00DD4F4F"/>
    <w:rsid w:val="00DD53B3"/>
    <w:rsid w:val="00DD5672"/>
    <w:rsid w:val="00DD577E"/>
    <w:rsid w:val="00DD594A"/>
    <w:rsid w:val="00DD5B47"/>
    <w:rsid w:val="00DD608A"/>
    <w:rsid w:val="00DD61CD"/>
    <w:rsid w:val="00DD621B"/>
    <w:rsid w:val="00DD6227"/>
    <w:rsid w:val="00DD62BE"/>
    <w:rsid w:val="00DD7630"/>
    <w:rsid w:val="00DD7F0D"/>
    <w:rsid w:val="00DE0531"/>
    <w:rsid w:val="00DE1F87"/>
    <w:rsid w:val="00DE2A15"/>
    <w:rsid w:val="00DE3457"/>
    <w:rsid w:val="00DE36D6"/>
    <w:rsid w:val="00DE3DEC"/>
    <w:rsid w:val="00DE42A9"/>
    <w:rsid w:val="00DE484C"/>
    <w:rsid w:val="00DE6844"/>
    <w:rsid w:val="00DE6CE3"/>
    <w:rsid w:val="00DE6FD0"/>
    <w:rsid w:val="00DE70B8"/>
    <w:rsid w:val="00DE710F"/>
    <w:rsid w:val="00DE7585"/>
    <w:rsid w:val="00DE7710"/>
    <w:rsid w:val="00DF0540"/>
    <w:rsid w:val="00DF0ACA"/>
    <w:rsid w:val="00DF13E8"/>
    <w:rsid w:val="00DF18E5"/>
    <w:rsid w:val="00DF3588"/>
    <w:rsid w:val="00DF3679"/>
    <w:rsid w:val="00DF3CA3"/>
    <w:rsid w:val="00DF5819"/>
    <w:rsid w:val="00DF58D6"/>
    <w:rsid w:val="00DF5D2A"/>
    <w:rsid w:val="00DF5EC5"/>
    <w:rsid w:val="00DF60ED"/>
    <w:rsid w:val="00DF61B3"/>
    <w:rsid w:val="00E0049F"/>
    <w:rsid w:val="00E00552"/>
    <w:rsid w:val="00E009AF"/>
    <w:rsid w:val="00E00B50"/>
    <w:rsid w:val="00E00C19"/>
    <w:rsid w:val="00E0169F"/>
    <w:rsid w:val="00E019C5"/>
    <w:rsid w:val="00E02702"/>
    <w:rsid w:val="00E02AE4"/>
    <w:rsid w:val="00E02D99"/>
    <w:rsid w:val="00E03D74"/>
    <w:rsid w:val="00E040CC"/>
    <w:rsid w:val="00E04315"/>
    <w:rsid w:val="00E048B5"/>
    <w:rsid w:val="00E05417"/>
    <w:rsid w:val="00E0544B"/>
    <w:rsid w:val="00E05EB0"/>
    <w:rsid w:val="00E05EE5"/>
    <w:rsid w:val="00E07281"/>
    <w:rsid w:val="00E0742F"/>
    <w:rsid w:val="00E12678"/>
    <w:rsid w:val="00E1382C"/>
    <w:rsid w:val="00E13C10"/>
    <w:rsid w:val="00E14789"/>
    <w:rsid w:val="00E14838"/>
    <w:rsid w:val="00E14931"/>
    <w:rsid w:val="00E14D0A"/>
    <w:rsid w:val="00E15D2D"/>
    <w:rsid w:val="00E15E87"/>
    <w:rsid w:val="00E161DF"/>
    <w:rsid w:val="00E16202"/>
    <w:rsid w:val="00E164E4"/>
    <w:rsid w:val="00E166F2"/>
    <w:rsid w:val="00E1703B"/>
    <w:rsid w:val="00E17A4D"/>
    <w:rsid w:val="00E17C35"/>
    <w:rsid w:val="00E17FEF"/>
    <w:rsid w:val="00E214EE"/>
    <w:rsid w:val="00E21599"/>
    <w:rsid w:val="00E218BC"/>
    <w:rsid w:val="00E21D64"/>
    <w:rsid w:val="00E21F4B"/>
    <w:rsid w:val="00E21F5C"/>
    <w:rsid w:val="00E22289"/>
    <w:rsid w:val="00E2281B"/>
    <w:rsid w:val="00E22EBD"/>
    <w:rsid w:val="00E241E5"/>
    <w:rsid w:val="00E2434C"/>
    <w:rsid w:val="00E24DFD"/>
    <w:rsid w:val="00E24F4B"/>
    <w:rsid w:val="00E25CA6"/>
    <w:rsid w:val="00E269D1"/>
    <w:rsid w:val="00E26B41"/>
    <w:rsid w:val="00E26E05"/>
    <w:rsid w:val="00E27A29"/>
    <w:rsid w:val="00E30707"/>
    <w:rsid w:val="00E3178E"/>
    <w:rsid w:val="00E31830"/>
    <w:rsid w:val="00E331EA"/>
    <w:rsid w:val="00E338D4"/>
    <w:rsid w:val="00E338DC"/>
    <w:rsid w:val="00E340D8"/>
    <w:rsid w:val="00E342B9"/>
    <w:rsid w:val="00E356AB"/>
    <w:rsid w:val="00E36008"/>
    <w:rsid w:val="00E3606A"/>
    <w:rsid w:val="00E36F2C"/>
    <w:rsid w:val="00E3710B"/>
    <w:rsid w:val="00E37E58"/>
    <w:rsid w:val="00E40766"/>
    <w:rsid w:val="00E4081F"/>
    <w:rsid w:val="00E41E3A"/>
    <w:rsid w:val="00E4293A"/>
    <w:rsid w:val="00E438E3"/>
    <w:rsid w:val="00E4482F"/>
    <w:rsid w:val="00E449A7"/>
    <w:rsid w:val="00E45626"/>
    <w:rsid w:val="00E464FD"/>
    <w:rsid w:val="00E47447"/>
    <w:rsid w:val="00E47618"/>
    <w:rsid w:val="00E50900"/>
    <w:rsid w:val="00E5119D"/>
    <w:rsid w:val="00E5141C"/>
    <w:rsid w:val="00E517EA"/>
    <w:rsid w:val="00E529C4"/>
    <w:rsid w:val="00E52E7C"/>
    <w:rsid w:val="00E538FD"/>
    <w:rsid w:val="00E542E6"/>
    <w:rsid w:val="00E54B3E"/>
    <w:rsid w:val="00E5506B"/>
    <w:rsid w:val="00E55148"/>
    <w:rsid w:val="00E559FE"/>
    <w:rsid w:val="00E561B3"/>
    <w:rsid w:val="00E56663"/>
    <w:rsid w:val="00E57B5D"/>
    <w:rsid w:val="00E57D54"/>
    <w:rsid w:val="00E57F26"/>
    <w:rsid w:val="00E6002A"/>
    <w:rsid w:val="00E602C0"/>
    <w:rsid w:val="00E6083E"/>
    <w:rsid w:val="00E61D92"/>
    <w:rsid w:val="00E6200D"/>
    <w:rsid w:val="00E62101"/>
    <w:rsid w:val="00E6353D"/>
    <w:rsid w:val="00E63E3C"/>
    <w:rsid w:val="00E654DB"/>
    <w:rsid w:val="00E65503"/>
    <w:rsid w:val="00E6607E"/>
    <w:rsid w:val="00E66201"/>
    <w:rsid w:val="00E66396"/>
    <w:rsid w:val="00E66631"/>
    <w:rsid w:val="00E66939"/>
    <w:rsid w:val="00E66B8A"/>
    <w:rsid w:val="00E672B8"/>
    <w:rsid w:val="00E67507"/>
    <w:rsid w:val="00E70ACA"/>
    <w:rsid w:val="00E70E5C"/>
    <w:rsid w:val="00E7177C"/>
    <w:rsid w:val="00E71966"/>
    <w:rsid w:val="00E72F6F"/>
    <w:rsid w:val="00E74402"/>
    <w:rsid w:val="00E74A2A"/>
    <w:rsid w:val="00E74C69"/>
    <w:rsid w:val="00E74DD8"/>
    <w:rsid w:val="00E74ED5"/>
    <w:rsid w:val="00E751C3"/>
    <w:rsid w:val="00E75F58"/>
    <w:rsid w:val="00E76D56"/>
    <w:rsid w:val="00E76E36"/>
    <w:rsid w:val="00E770D4"/>
    <w:rsid w:val="00E7771E"/>
    <w:rsid w:val="00E7787C"/>
    <w:rsid w:val="00E818B3"/>
    <w:rsid w:val="00E8236C"/>
    <w:rsid w:val="00E82C06"/>
    <w:rsid w:val="00E82DAA"/>
    <w:rsid w:val="00E834AE"/>
    <w:rsid w:val="00E83655"/>
    <w:rsid w:val="00E8425F"/>
    <w:rsid w:val="00E8435D"/>
    <w:rsid w:val="00E845CA"/>
    <w:rsid w:val="00E846B2"/>
    <w:rsid w:val="00E85348"/>
    <w:rsid w:val="00E854CE"/>
    <w:rsid w:val="00E864A3"/>
    <w:rsid w:val="00E868B5"/>
    <w:rsid w:val="00E86D29"/>
    <w:rsid w:val="00E8759B"/>
    <w:rsid w:val="00E90910"/>
    <w:rsid w:val="00E90A0A"/>
    <w:rsid w:val="00E916B2"/>
    <w:rsid w:val="00E91C80"/>
    <w:rsid w:val="00E92004"/>
    <w:rsid w:val="00E92251"/>
    <w:rsid w:val="00E928FF"/>
    <w:rsid w:val="00E93986"/>
    <w:rsid w:val="00E94149"/>
    <w:rsid w:val="00E9483A"/>
    <w:rsid w:val="00E94C96"/>
    <w:rsid w:val="00E94CB1"/>
    <w:rsid w:val="00E95A22"/>
    <w:rsid w:val="00E969F0"/>
    <w:rsid w:val="00E9715B"/>
    <w:rsid w:val="00E97DE7"/>
    <w:rsid w:val="00EA00FF"/>
    <w:rsid w:val="00EA04AE"/>
    <w:rsid w:val="00EA0590"/>
    <w:rsid w:val="00EA078C"/>
    <w:rsid w:val="00EA0FE9"/>
    <w:rsid w:val="00EA1490"/>
    <w:rsid w:val="00EA158F"/>
    <w:rsid w:val="00EA167E"/>
    <w:rsid w:val="00EA2FAE"/>
    <w:rsid w:val="00EA419D"/>
    <w:rsid w:val="00EA56C1"/>
    <w:rsid w:val="00EA5FF1"/>
    <w:rsid w:val="00EA6D44"/>
    <w:rsid w:val="00EB014D"/>
    <w:rsid w:val="00EB11CC"/>
    <w:rsid w:val="00EB138D"/>
    <w:rsid w:val="00EB15FA"/>
    <w:rsid w:val="00EB1A55"/>
    <w:rsid w:val="00EB2939"/>
    <w:rsid w:val="00EB2A0F"/>
    <w:rsid w:val="00EB3578"/>
    <w:rsid w:val="00EB4586"/>
    <w:rsid w:val="00EB53BC"/>
    <w:rsid w:val="00EB5AA6"/>
    <w:rsid w:val="00EB61A6"/>
    <w:rsid w:val="00EB6C68"/>
    <w:rsid w:val="00EB6D18"/>
    <w:rsid w:val="00EC1402"/>
    <w:rsid w:val="00EC2130"/>
    <w:rsid w:val="00EC2A16"/>
    <w:rsid w:val="00EC2B4E"/>
    <w:rsid w:val="00EC3086"/>
    <w:rsid w:val="00EC3982"/>
    <w:rsid w:val="00EC4AF7"/>
    <w:rsid w:val="00EC558D"/>
    <w:rsid w:val="00EC57C0"/>
    <w:rsid w:val="00EC584F"/>
    <w:rsid w:val="00ED0137"/>
    <w:rsid w:val="00ED094F"/>
    <w:rsid w:val="00ED19C8"/>
    <w:rsid w:val="00ED2A52"/>
    <w:rsid w:val="00ED3D2E"/>
    <w:rsid w:val="00ED56DC"/>
    <w:rsid w:val="00ED5B33"/>
    <w:rsid w:val="00ED5D8C"/>
    <w:rsid w:val="00ED66AD"/>
    <w:rsid w:val="00ED6A70"/>
    <w:rsid w:val="00ED6EAA"/>
    <w:rsid w:val="00ED6ED0"/>
    <w:rsid w:val="00ED70FE"/>
    <w:rsid w:val="00ED78C9"/>
    <w:rsid w:val="00ED7C81"/>
    <w:rsid w:val="00ED7ECE"/>
    <w:rsid w:val="00EE043A"/>
    <w:rsid w:val="00EE09A2"/>
    <w:rsid w:val="00EE0A0C"/>
    <w:rsid w:val="00EE0B8B"/>
    <w:rsid w:val="00EE1CD3"/>
    <w:rsid w:val="00EE1D57"/>
    <w:rsid w:val="00EE21E9"/>
    <w:rsid w:val="00EE23D6"/>
    <w:rsid w:val="00EE308E"/>
    <w:rsid w:val="00EE3334"/>
    <w:rsid w:val="00EE3DF2"/>
    <w:rsid w:val="00EE4BF6"/>
    <w:rsid w:val="00EE52B8"/>
    <w:rsid w:val="00EE634B"/>
    <w:rsid w:val="00EE6C6E"/>
    <w:rsid w:val="00EE6CA5"/>
    <w:rsid w:val="00EE7C10"/>
    <w:rsid w:val="00EF0AFD"/>
    <w:rsid w:val="00EF1152"/>
    <w:rsid w:val="00EF123F"/>
    <w:rsid w:val="00EF1306"/>
    <w:rsid w:val="00EF1400"/>
    <w:rsid w:val="00EF20F4"/>
    <w:rsid w:val="00EF2961"/>
    <w:rsid w:val="00EF428C"/>
    <w:rsid w:val="00EF4956"/>
    <w:rsid w:val="00EF4B94"/>
    <w:rsid w:val="00EF5274"/>
    <w:rsid w:val="00EF583A"/>
    <w:rsid w:val="00EF6525"/>
    <w:rsid w:val="00EF6A25"/>
    <w:rsid w:val="00EF6C26"/>
    <w:rsid w:val="00EF6E9F"/>
    <w:rsid w:val="00EF76BD"/>
    <w:rsid w:val="00F01C3F"/>
    <w:rsid w:val="00F0205A"/>
    <w:rsid w:val="00F0207B"/>
    <w:rsid w:val="00F0268F"/>
    <w:rsid w:val="00F0297C"/>
    <w:rsid w:val="00F02AEE"/>
    <w:rsid w:val="00F02B6C"/>
    <w:rsid w:val="00F03C8F"/>
    <w:rsid w:val="00F03F89"/>
    <w:rsid w:val="00F04DC6"/>
    <w:rsid w:val="00F0538B"/>
    <w:rsid w:val="00F06545"/>
    <w:rsid w:val="00F06D62"/>
    <w:rsid w:val="00F121B7"/>
    <w:rsid w:val="00F12275"/>
    <w:rsid w:val="00F13544"/>
    <w:rsid w:val="00F14259"/>
    <w:rsid w:val="00F1487D"/>
    <w:rsid w:val="00F15E04"/>
    <w:rsid w:val="00F16C1A"/>
    <w:rsid w:val="00F200D9"/>
    <w:rsid w:val="00F20E95"/>
    <w:rsid w:val="00F22E4E"/>
    <w:rsid w:val="00F22EE7"/>
    <w:rsid w:val="00F23E3B"/>
    <w:rsid w:val="00F23EED"/>
    <w:rsid w:val="00F24AC6"/>
    <w:rsid w:val="00F24AD4"/>
    <w:rsid w:val="00F24AFC"/>
    <w:rsid w:val="00F25586"/>
    <w:rsid w:val="00F256C6"/>
    <w:rsid w:val="00F268F0"/>
    <w:rsid w:val="00F269C2"/>
    <w:rsid w:val="00F26B7A"/>
    <w:rsid w:val="00F27CFB"/>
    <w:rsid w:val="00F3008B"/>
    <w:rsid w:val="00F30CE0"/>
    <w:rsid w:val="00F3180F"/>
    <w:rsid w:val="00F31DE4"/>
    <w:rsid w:val="00F3211E"/>
    <w:rsid w:val="00F321AB"/>
    <w:rsid w:val="00F32E46"/>
    <w:rsid w:val="00F3349A"/>
    <w:rsid w:val="00F346EA"/>
    <w:rsid w:val="00F36C01"/>
    <w:rsid w:val="00F401B2"/>
    <w:rsid w:val="00F40402"/>
    <w:rsid w:val="00F40A84"/>
    <w:rsid w:val="00F40D5D"/>
    <w:rsid w:val="00F41345"/>
    <w:rsid w:val="00F416A6"/>
    <w:rsid w:val="00F42856"/>
    <w:rsid w:val="00F42BDD"/>
    <w:rsid w:val="00F441EB"/>
    <w:rsid w:val="00F4427E"/>
    <w:rsid w:val="00F44CF6"/>
    <w:rsid w:val="00F4518C"/>
    <w:rsid w:val="00F46453"/>
    <w:rsid w:val="00F465BB"/>
    <w:rsid w:val="00F4671C"/>
    <w:rsid w:val="00F470E7"/>
    <w:rsid w:val="00F47C8F"/>
    <w:rsid w:val="00F47FC0"/>
    <w:rsid w:val="00F50848"/>
    <w:rsid w:val="00F5085F"/>
    <w:rsid w:val="00F514B8"/>
    <w:rsid w:val="00F5290D"/>
    <w:rsid w:val="00F5295F"/>
    <w:rsid w:val="00F53BDC"/>
    <w:rsid w:val="00F55167"/>
    <w:rsid w:val="00F5563E"/>
    <w:rsid w:val="00F56161"/>
    <w:rsid w:val="00F5625B"/>
    <w:rsid w:val="00F56540"/>
    <w:rsid w:val="00F56BA7"/>
    <w:rsid w:val="00F5720F"/>
    <w:rsid w:val="00F5767E"/>
    <w:rsid w:val="00F603B5"/>
    <w:rsid w:val="00F606C4"/>
    <w:rsid w:val="00F60DD9"/>
    <w:rsid w:val="00F616B2"/>
    <w:rsid w:val="00F6226D"/>
    <w:rsid w:val="00F62CD6"/>
    <w:rsid w:val="00F62E65"/>
    <w:rsid w:val="00F636F1"/>
    <w:rsid w:val="00F638A0"/>
    <w:rsid w:val="00F64738"/>
    <w:rsid w:val="00F64E09"/>
    <w:rsid w:val="00F65441"/>
    <w:rsid w:val="00F65941"/>
    <w:rsid w:val="00F65CA8"/>
    <w:rsid w:val="00F660A1"/>
    <w:rsid w:val="00F660BC"/>
    <w:rsid w:val="00F6671B"/>
    <w:rsid w:val="00F66B57"/>
    <w:rsid w:val="00F67D27"/>
    <w:rsid w:val="00F712E4"/>
    <w:rsid w:val="00F71D4D"/>
    <w:rsid w:val="00F72AD1"/>
    <w:rsid w:val="00F72C6E"/>
    <w:rsid w:val="00F734E0"/>
    <w:rsid w:val="00F745CF"/>
    <w:rsid w:val="00F74CCD"/>
    <w:rsid w:val="00F74CD5"/>
    <w:rsid w:val="00F75200"/>
    <w:rsid w:val="00F75A74"/>
    <w:rsid w:val="00F80B28"/>
    <w:rsid w:val="00F81B38"/>
    <w:rsid w:val="00F81FE2"/>
    <w:rsid w:val="00F8364E"/>
    <w:rsid w:val="00F8372C"/>
    <w:rsid w:val="00F84295"/>
    <w:rsid w:val="00F847C3"/>
    <w:rsid w:val="00F84A97"/>
    <w:rsid w:val="00F8541F"/>
    <w:rsid w:val="00F865F1"/>
    <w:rsid w:val="00F8662C"/>
    <w:rsid w:val="00F86B9B"/>
    <w:rsid w:val="00F86C07"/>
    <w:rsid w:val="00F86E40"/>
    <w:rsid w:val="00F8767E"/>
    <w:rsid w:val="00F90066"/>
    <w:rsid w:val="00F900C6"/>
    <w:rsid w:val="00F90E9E"/>
    <w:rsid w:val="00F90EE3"/>
    <w:rsid w:val="00F91030"/>
    <w:rsid w:val="00F9104F"/>
    <w:rsid w:val="00F914EF"/>
    <w:rsid w:val="00F91FEF"/>
    <w:rsid w:val="00F92C7E"/>
    <w:rsid w:val="00F93C6E"/>
    <w:rsid w:val="00F944E2"/>
    <w:rsid w:val="00F94807"/>
    <w:rsid w:val="00F96CC7"/>
    <w:rsid w:val="00F96F9C"/>
    <w:rsid w:val="00F97028"/>
    <w:rsid w:val="00FA0F3F"/>
    <w:rsid w:val="00FA127B"/>
    <w:rsid w:val="00FA1F86"/>
    <w:rsid w:val="00FA2174"/>
    <w:rsid w:val="00FA2B7C"/>
    <w:rsid w:val="00FA2C0A"/>
    <w:rsid w:val="00FA401F"/>
    <w:rsid w:val="00FA408D"/>
    <w:rsid w:val="00FA4D85"/>
    <w:rsid w:val="00FA5100"/>
    <w:rsid w:val="00FA584D"/>
    <w:rsid w:val="00FA58AF"/>
    <w:rsid w:val="00FA5DD0"/>
    <w:rsid w:val="00FA7674"/>
    <w:rsid w:val="00FA7C08"/>
    <w:rsid w:val="00FA7D1D"/>
    <w:rsid w:val="00FB0D0B"/>
    <w:rsid w:val="00FB19E8"/>
    <w:rsid w:val="00FB2D71"/>
    <w:rsid w:val="00FB2E57"/>
    <w:rsid w:val="00FB3779"/>
    <w:rsid w:val="00FB3A38"/>
    <w:rsid w:val="00FB4AC5"/>
    <w:rsid w:val="00FB5333"/>
    <w:rsid w:val="00FB63B0"/>
    <w:rsid w:val="00FB675B"/>
    <w:rsid w:val="00FB6927"/>
    <w:rsid w:val="00FB70E8"/>
    <w:rsid w:val="00FC0DAE"/>
    <w:rsid w:val="00FC0F11"/>
    <w:rsid w:val="00FC151F"/>
    <w:rsid w:val="00FC288B"/>
    <w:rsid w:val="00FC31A0"/>
    <w:rsid w:val="00FC4B25"/>
    <w:rsid w:val="00FC513F"/>
    <w:rsid w:val="00FC652F"/>
    <w:rsid w:val="00FC6EA4"/>
    <w:rsid w:val="00FD00CB"/>
    <w:rsid w:val="00FD0A75"/>
    <w:rsid w:val="00FD11DA"/>
    <w:rsid w:val="00FD1534"/>
    <w:rsid w:val="00FD1574"/>
    <w:rsid w:val="00FD1920"/>
    <w:rsid w:val="00FD21EF"/>
    <w:rsid w:val="00FD22AF"/>
    <w:rsid w:val="00FD24D4"/>
    <w:rsid w:val="00FD2F5A"/>
    <w:rsid w:val="00FD3955"/>
    <w:rsid w:val="00FD4924"/>
    <w:rsid w:val="00FD599D"/>
    <w:rsid w:val="00FD63D9"/>
    <w:rsid w:val="00FD65E0"/>
    <w:rsid w:val="00FD6614"/>
    <w:rsid w:val="00FD7ED6"/>
    <w:rsid w:val="00FE0213"/>
    <w:rsid w:val="00FE046D"/>
    <w:rsid w:val="00FE06B9"/>
    <w:rsid w:val="00FE0863"/>
    <w:rsid w:val="00FE08D2"/>
    <w:rsid w:val="00FE179C"/>
    <w:rsid w:val="00FE2054"/>
    <w:rsid w:val="00FE25EC"/>
    <w:rsid w:val="00FE2F32"/>
    <w:rsid w:val="00FE3737"/>
    <w:rsid w:val="00FE39A4"/>
    <w:rsid w:val="00FE3D35"/>
    <w:rsid w:val="00FE417F"/>
    <w:rsid w:val="00FE455D"/>
    <w:rsid w:val="00FE4939"/>
    <w:rsid w:val="00FE49EB"/>
    <w:rsid w:val="00FE4F41"/>
    <w:rsid w:val="00FE5564"/>
    <w:rsid w:val="00FE5A1B"/>
    <w:rsid w:val="00FE6172"/>
    <w:rsid w:val="00FE61DC"/>
    <w:rsid w:val="00FE68C1"/>
    <w:rsid w:val="00FE7050"/>
    <w:rsid w:val="00FE7A1A"/>
    <w:rsid w:val="00FF2246"/>
    <w:rsid w:val="00FF35DA"/>
    <w:rsid w:val="00FF37A0"/>
    <w:rsid w:val="00FF3B67"/>
    <w:rsid w:val="00FF3CB9"/>
    <w:rsid w:val="00FF3D92"/>
    <w:rsid w:val="00FF5149"/>
    <w:rsid w:val="00FF51BC"/>
    <w:rsid w:val="00FF630C"/>
    <w:rsid w:val="00FF6AAC"/>
    <w:rsid w:val="00FF6CDB"/>
    <w:rsid w:val="00FF78B0"/>
    <w:rsid w:val="00FF7AA1"/>
    <w:rsid w:val="00FF7D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B815457"/>
  <w15:docId w15:val="{3B5453A5-1D3F-4879-9C4B-42F6349AB8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iPriority="0"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170DB9"/>
    <w:pPr>
      <w:spacing w:after="0" w:line="240" w:lineRule="auto"/>
      <w:ind w:firstLine="709"/>
      <w:jc w:val="both"/>
    </w:pPr>
    <w:rPr>
      <w:rFonts w:ascii="Times New Roman" w:hAnsi="Times New Roman"/>
      <w:sz w:val="28"/>
    </w:rPr>
  </w:style>
  <w:style w:type="paragraph" w:styleId="1">
    <w:name w:val="heading 1"/>
    <w:basedOn w:val="a3"/>
    <w:next w:val="a3"/>
    <w:link w:val="10"/>
    <w:autoRedefine/>
    <w:qFormat/>
    <w:rsid w:val="0087501C"/>
    <w:pPr>
      <w:ind w:firstLine="0"/>
      <w:jc w:val="center"/>
      <w:outlineLvl w:val="0"/>
    </w:pPr>
    <w:rPr>
      <w:rFonts w:ascii="PT Astra Serif" w:eastAsia="PT Astra Serif" w:hAnsi="PT Astra Serif" w:cstheme="majorBidi"/>
      <w:b/>
      <w:szCs w:val="28"/>
      <w:lang w:eastAsia="ru-RU"/>
    </w:rPr>
  </w:style>
  <w:style w:type="paragraph" w:styleId="2">
    <w:name w:val="heading 2"/>
    <w:basedOn w:val="a3"/>
    <w:next w:val="a3"/>
    <w:link w:val="20"/>
    <w:autoRedefine/>
    <w:unhideWhenUsed/>
    <w:qFormat/>
    <w:rsid w:val="00042155"/>
    <w:pPr>
      <w:widowControl w:val="0"/>
      <w:outlineLvl w:val="1"/>
    </w:pPr>
    <w:rPr>
      <w:rFonts w:ascii="PT Astra Serif" w:eastAsiaTheme="majorEastAsia" w:hAnsi="PT Astra Serif" w:cstheme="majorBidi"/>
      <w:b/>
      <w:i/>
      <w:szCs w:val="26"/>
    </w:rPr>
  </w:style>
  <w:style w:type="paragraph" w:styleId="3">
    <w:name w:val="heading 3"/>
    <w:basedOn w:val="a3"/>
    <w:next w:val="a3"/>
    <w:link w:val="30"/>
    <w:qFormat/>
    <w:rsid w:val="00532FB5"/>
    <w:pPr>
      <w:keepNext/>
      <w:spacing w:before="240" w:after="60" w:line="276" w:lineRule="auto"/>
      <w:ind w:firstLine="0"/>
      <w:outlineLvl w:val="2"/>
    </w:pPr>
    <w:rPr>
      <w:rFonts w:ascii="Arial" w:eastAsia="Times New Roman" w:hAnsi="Arial" w:cs="Times New Roman"/>
      <w:b/>
      <w:bCs/>
      <w:sz w:val="26"/>
      <w:szCs w:val="26"/>
      <w:lang w:val="x-none"/>
    </w:rPr>
  </w:style>
  <w:style w:type="paragraph" w:styleId="4">
    <w:name w:val="heading 4"/>
    <w:basedOn w:val="a3"/>
    <w:next w:val="a3"/>
    <w:link w:val="40"/>
    <w:uiPriority w:val="9"/>
    <w:qFormat/>
    <w:rsid w:val="00532FB5"/>
    <w:pPr>
      <w:keepNext/>
      <w:spacing w:before="240" w:after="60" w:line="276" w:lineRule="auto"/>
      <w:ind w:firstLine="0"/>
      <w:jc w:val="left"/>
      <w:outlineLvl w:val="3"/>
    </w:pPr>
    <w:rPr>
      <w:rFonts w:ascii="Calibri" w:eastAsia="Times New Roman" w:hAnsi="Calibri" w:cs="Times New Roman"/>
      <w:b/>
      <w:bCs/>
      <w:szCs w:val="28"/>
      <w:lang w:val="x-none" w:eastAsia="x-none"/>
    </w:rPr>
  </w:style>
  <w:style w:type="paragraph" w:styleId="50">
    <w:name w:val="heading 5"/>
    <w:basedOn w:val="a3"/>
    <w:next w:val="a3"/>
    <w:link w:val="51"/>
    <w:uiPriority w:val="9"/>
    <w:qFormat/>
    <w:rsid w:val="00532FB5"/>
    <w:pPr>
      <w:spacing w:before="240" w:after="60" w:line="276" w:lineRule="auto"/>
      <w:ind w:firstLine="0"/>
      <w:jc w:val="left"/>
      <w:outlineLvl w:val="4"/>
    </w:pPr>
    <w:rPr>
      <w:rFonts w:ascii="Calibri" w:eastAsia="Times New Roman" w:hAnsi="Calibri" w:cs="Times New Roman"/>
      <w:b/>
      <w:bCs/>
      <w:i/>
      <w:iCs/>
      <w:sz w:val="26"/>
      <w:szCs w:val="26"/>
      <w:lang w:val="x-none" w:eastAsia="x-none"/>
    </w:rPr>
  </w:style>
  <w:style w:type="paragraph" w:styleId="60">
    <w:name w:val="heading 6"/>
    <w:basedOn w:val="a3"/>
    <w:next w:val="a3"/>
    <w:link w:val="61"/>
    <w:unhideWhenUsed/>
    <w:qFormat/>
    <w:rsid w:val="00A60995"/>
    <w:pPr>
      <w:keepNext/>
      <w:keepLines/>
      <w:spacing w:before="320" w:after="200" w:line="276" w:lineRule="auto"/>
      <w:ind w:firstLine="0"/>
      <w:jc w:val="left"/>
      <w:outlineLvl w:val="5"/>
    </w:pPr>
    <w:rPr>
      <w:rFonts w:ascii="Arial" w:eastAsia="Arial" w:hAnsi="Arial" w:cs="Arial"/>
      <w:b/>
      <w:bCs/>
      <w:sz w:val="22"/>
    </w:rPr>
  </w:style>
  <w:style w:type="paragraph" w:styleId="7">
    <w:name w:val="heading 7"/>
    <w:basedOn w:val="a3"/>
    <w:next w:val="a3"/>
    <w:link w:val="70"/>
    <w:uiPriority w:val="9"/>
    <w:qFormat/>
    <w:rsid w:val="00001EEA"/>
    <w:pPr>
      <w:spacing w:before="240" w:after="60"/>
      <w:ind w:firstLine="0"/>
      <w:jc w:val="left"/>
      <w:outlineLvl w:val="6"/>
    </w:pPr>
    <w:rPr>
      <w:rFonts w:eastAsia="Times New Roman" w:cs="Times New Roman"/>
      <w:sz w:val="24"/>
      <w:szCs w:val="24"/>
      <w:lang w:eastAsia="ru-RU"/>
    </w:rPr>
  </w:style>
  <w:style w:type="paragraph" w:styleId="8">
    <w:name w:val="heading 8"/>
    <w:basedOn w:val="a3"/>
    <w:next w:val="a3"/>
    <w:link w:val="80"/>
    <w:uiPriority w:val="9"/>
    <w:unhideWhenUsed/>
    <w:qFormat/>
    <w:rsid w:val="00A60995"/>
    <w:pPr>
      <w:keepNext/>
      <w:keepLines/>
      <w:spacing w:before="320" w:after="200" w:line="276" w:lineRule="auto"/>
      <w:ind w:firstLine="0"/>
      <w:jc w:val="left"/>
      <w:outlineLvl w:val="7"/>
    </w:pPr>
    <w:rPr>
      <w:rFonts w:ascii="Arial" w:eastAsia="Arial" w:hAnsi="Arial" w:cs="Arial"/>
      <w:i/>
      <w:iCs/>
      <w:sz w:val="22"/>
    </w:rPr>
  </w:style>
  <w:style w:type="paragraph" w:styleId="9">
    <w:name w:val="heading 9"/>
    <w:basedOn w:val="a3"/>
    <w:next w:val="a3"/>
    <w:link w:val="90"/>
    <w:uiPriority w:val="9"/>
    <w:unhideWhenUsed/>
    <w:qFormat/>
    <w:rsid w:val="00A60995"/>
    <w:pPr>
      <w:keepNext/>
      <w:keepLines/>
      <w:spacing w:before="320" w:after="200" w:line="276" w:lineRule="auto"/>
      <w:ind w:firstLine="0"/>
      <w:jc w:val="left"/>
      <w:outlineLvl w:val="8"/>
    </w:pPr>
    <w:rPr>
      <w:rFonts w:ascii="Arial" w:eastAsia="Arial" w:hAnsi="Arial" w:cs="Arial"/>
      <w:i/>
      <w:iCs/>
      <w:sz w:val="21"/>
      <w:szCs w:val="21"/>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qFormat/>
    <w:rsid w:val="0087501C"/>
    <w:rPr>
      <w:rFonts w:ascii="PT Astra Serif" w:eastAsia="PT Astra Serif" w:hAnsi="PT Astra Serif" w:cstheme="majorBidi"/>
      <w:b/>
      <w:sz w:val="28"/>
      <w:szCs w:val="28"/>
      <w:lang w:eastAsia="ru-RU"/>
    </w:rPr>
  </w:style>
  <w:style w:type="character" w:customStyle="1" w:styleId="20">
    <w:name w:val="Заголовок 2 Знак"/>
    <w:basedOn w:val="a4"/>
    <w:link w:val="2"/>
    <w:rsid w:val="00042155"/>
    <w:rPr>
      <w:rFonts w:ascii="PT Astra Serif" w:eastAsiaTheme="majorEastAsia" w:hAnsi="PT Astra Serif" w:cstheme="majorBidi"/>
      <w:b/>
      <w:i/>
      <w:sz w:val="28"/>
      <w:szCs w:val="26"/>
    </w:rPr>
  </w:style>
  <w:style w:type="paragraph" w:styleId="a7">
    <w:name w:val="List Paragraph"/>
    <w:aliases w:val="Абзац списка основной,ПАРАГРАФ,Bullet List,FooterText,numbered,список 1,List_Paragraph,Multilevel para_II,List Paragraph1,List Paragraph-ExecSummary,Akapit z listą BS,Bullets,List Paragraph 1,References,Bullet,маркированный,Список точки,lp1"/>
    <w:basedOn w:val="a3"/>
    <w:link w:val="a8"/>
    <w:uiPriority w:val="99"/>
    <w:qFormat/>
    <w:rsid w:val="000C7F8D"/>
    <w:pPr>
      <w:ind w:left="720"/>
      <w:contextualSpacing/>
    </w:pPr>
  </w:style>
  <w:style w:type="paragraph" w:styleId="a9">
    <w:name w:val="No Spacing"/>
    <w:aliases w:val="ОСНОВА Без интервала,деловой"/>
    <w:link w:val="aa"/>
    <w:uiPriority w:val="1"/>
    <w:qFormat/>
    <w:rsid w:val="0048415D"/>
    <w:pPr>
      <w:spacing w:after="0" w:line="240" w:lineRule="auto"/>
    </w:pPr>
    <w:rPr>
      <w:rFonts w:ascii="Calibri" w:eastAsia="Calibri" w:hAnsi="Calibri" w:cs="Times New Roman"/>
    </w:rPr>
  </w:style>
  <w:style w:type="character" w:customStyle="1" w:styleId="aa">
    <w:name w:val="Без интервала Знак"/>
    <w:aliases w:val="ОСНОВА Без интервала Знак,деловой Знак"/>
    <w:link w:val="a9"/>
    <w:uiPriority w:val="1"/>
    <w:qFormat/>
    <w:rsid w:val="00790437"/>
    <w:rPr>
      <w:rFonts w:ascii="Calibri" w:eastAsia="Calibri" w:hAnsi="Calibri" w:cs="Times New Roman"/>
    </w:rPr>
  </w:style>
  <w:style w:type="paragraph" w:styleId="ab">
    <w:name w:val="caption"/>
    <w:basedOn w:val="a3"/>
    <w:next w:val="a3"/>
    <w:uiPriority w:val="35"/>
    <w:unhideWhenUsed/>
    <w:qFormat/>
    <w:rsid w:val="00222CC8"/>
    <w:pPr>
      <w:spacing w:after="120"/>
      <w:ind w:firstLine="0"/>
      <w:jc w:val="right"/>
    </w:pPr>
    <w:rPr>
      <w:i/>
      <w:iCs/>
      <w:sz w:val="24"/>
      <w:szCs w:val="18"/>
    </w:rPr>
  </w:style>
  <w:style w:type="table" w:customStyle="1" w:styleId="-11">
    <w:name w:val="Список-таблица 1 светлая1"/>
    <w:basedOn w:val="a5"/>
    <w:uiPriority w:val="99"/>
    <w:rsid w:val="0061225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c">
    <w:name w:val="header"/>
    <w:aliases w:val=" Знак"/>
    <w:basedOn w:val="a3"/>
    <w:link w:val="ad"/>
    <w:uiPriority w:val="99"/>
    <w:unhideWhenUsed/>
    <w:qFormat/>
    <w:rsid w:val="00843571"/>
    <w:pPr>
      <w:tabs>
        <w:tab w:val="center" w:pos="4677"/>
        <w:tab w:val="right" w:pos="9355"/>
      </w:tabs>
    </w:pPr>
  </w:style>
  <w:style w:type="character" w:customStyle="1" w:styleId="ad">
    <w:name w:val="Верхний колонтитул Знак"/>
    <w:aliases w:val=" Знак Знак"/>
    <w:basedOn w:val="a4"/>
    <w:link w:val="ac"/>
    <w:uiPriority w:val="99"/>
    <w:qFormat/>
    <w:rsid w:val="00843571"/>
    <w:rPr>
      <w:rFonts w:ascii="Times New Roman" w:hAnsi="Times New Roman"/>
      <w:sz w:val="28"/>
    </w:rPr>
  </w:style>
  <w:style w:type="paragraph" w:styleId="ae">
    <w:name w:val="footer"/>
    <w:basedOn w:val="a3"/>
    <w:link w:val="af"/>
    <w:uiPriority w:val="99"/>
    <w:unhideWhenUsed/>
    <w:rsid w:val="00843571"/>
    <w:pPr>
      <w:tabs>
        <w:tab w:val="center" w:pos="4677"/>
        <w:tab w:val="right" w:pos="9355"/>
      </w:tabs>
    </w:pPr>
  </w:style>
  <w:style w:type="character" w:customStyle="1" w:styleId="af">
    <w:name w:val="Нижний колонтитул Знак"/>
    <w:basedOn w:val="a4"/>
    <w:link w:val="ae"/>
    <w:uiPriority w:val="99"/>
    <w:qFormat/>
    <w:rsid w:val="00843571"/>
    <w:rPr>
      <w:rFonts w:ascii="Times New Roman" w:hAnsi="Times New Roman"/>
      <w:sz w:val="28"/>
    </w:rPr>
  </w:style>
  <w:style w:type="paragraph" w:styleId="af0">
    <w:name w:val="TOC Heading"/>
    <w:basedOn w:val="1"/>
    <w:next w:val="a3"/>
    <w:uiPriority w:val="39"/>
    <w:unhideWhenUsed/>
    <w:qFormat/>
    <w:rsid w:val="00843571"/>
    <w:pPr>
      <w:spacing w:before="240" w:line="259" w:lineRule="auto"/>
      <w:jc w:val="left"/>
      <w:outlineLvl w:val="9"/>
    </w:pPr>
    <w:rPr>
      <w:rFonts w:asciiTheme="majorHAnsi" w:hAnsiTheme="majorHAnsi"/>
      <w:b w:val="0"/>
      <w:color w:val="830F0E" w:themeColor="accent1" w:themeShade="BF"/>
    </w:rPr>
  </w:style>
  <w:style w:type="paragraph" w:styleId="11">
    <w:name w:val="toc 1"/>
    <w:basedOn w:val="a3"/>
    <w:next w:val="a3"/>
    <w:autoRedefine/>
    <w:uiPriority w:val="39"/>
    <w:unhideWhenUsed/>
    <w:qFormat/>
    <w:rsid w:val="00F660A1"/>
    <w:pPr>
      <w:tabs>
        <w:tab w:val="right" w:leader="dot" w:pos="9345"/>
      </w:tabs>
      <w:spacing w:after="100"/>
      <w:ind w:left="426" w:firstLine="0"/>
      <w:jc w:val="left"/>
    </w:pPr>
  </w:style>
  <w:style w:type="paragraph" w:styleId="21">
    <w:name w:val="toc 2"/>
    <w:basedOn w:val="a3"/>
    <w:next w:val="a3"/>
    <w:autoRedefine/>
    <w:uiPriority w:val="39"/>
    <w:unhideWhenUsed/>
    <w:qFormat/>
    <w:rsid w:val="00843571"/>
    <w:pPr>
      <w:spacing w:after="100"/>
      <w:ind w:left="280"/>
    </w:pPr>
  </w:style>
  <w:style w:type="character" w:styleId="af1">
    <w:name w:val="Hyperlink"/>
    <w:basedOn w:val="a4"/>
    <w:uiPriority w:val="99"/>
    <w:unhideWhenUsed/>
    <w:qFormat/>
    <w:rsid w:val="00843571"/>
    <w:rPr>
      <w:color w:val="58C1BA" w:themeColor="hyperlink"/>
      <w:u w:val="single"/>
    </w:rPr>
  </w:style>
  <w:style w:type="character" w:customStyle="1" w:styleId="a8">
    <w:name w:val="Абзац списка Знак"/>
    <w:aliases w:val="Абзац списка основной Знак,ПАРАГРАФ Знак,Bullet List Знак,FooterText Знак,numbered Знак,список 1 Знак,List_Paragraph Знак,Multilevel para_II Знак,List Paragraph1 Знак,List Paragraph-ExecSummary Знак,Akapit z listą BS Знак,Bullets Знак"/>
    <w:link w:val="a7"/>
    <w:uiPriority w:val="99"/>
    <w:qFormat/>
    <w:locked/>
    <w:rsid w:val="001775C5"/>
    <w:rPr>
      <w:rFonts w:ascii="Times New Roman" w:hAnsi="Times New Roman"/>
      <w:sz w:val="28"/>
    </w:rPr>
  </w:style>
  <w:style w:type="paragraph" w:styleId="af2">
    <w:name w:val="Normal (Web)"/>
    <w:aliases w:val="Обычный (Web),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Обычный (Web)1"/>
    <w:basedOn w:val="a3"/>
    <w:link w:val="af3"/>
    <w:uiPriority w:val="99"/>
    <w:qFormat/>
    <w:rsid w:val="003C3908"/>
    <w:pPr>
      <w:spacing w:before="100" w:beforeAutospacing="1" w:after="100" w:afterAutospacing="1"/>
      <w:ind w:firstLine="0"/>
      <w:jc w:val="left"/>
    </w:pPr>
    <w:rPr>
      <w:rFonts w:eastAsia="Times New Roman" w:cs="Times New Roman"/>
      <w:sz w:val="24"/>
      <w:szCs w:val="20"/>
      <w:lang w:eastAsia="ru-RU"/>
    </w:rPr>
  </w:style>
  <w:style w:type="character" w:customStyle="1" w:styleId="af3">
    <w:name w:val="Обычный (веб) Знак"/>
    <w:aliases w:val="Обычный (Web)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Обычный (Web)1 Знак"/>
    <w:link w:val="af2"/>
    <w:uiPriority w:val="99"/>
    <w:qFormat/>
    <w:locked/>
    <w:rsid w:val="003C3908"/>
    <w:rPr>
      <w:rFonts w:ascii="Times New Roman" w:eastAsia="Times New Roman" w:hAnsi="Times New Roman" w:cs="Times New Roman"/>
      <w:sz w:val="24"/>
      <w:szCs w:val="20"/>
      <w:lang w:eastAsia="ru-RU"/>
    </w:rPr>
  </w:style>
  <w:style w:type="character" w:customStyle="1" w:styleId="FontStyle143">
    <w:name w:val="Font Style143"/>
    <w:uiPriority w:val="99"/>
    <w:rsid w:val="003C3908"/>
    <w:rPr>
      <w:rFonts w:ascii="Times New Roman" w:hAnsi="Times New Roman" w:cs="Times New Roman"/>
      <w:sz w:val="24"/>
      <w:szCs w:val="24"/>
    </w:rPr>
  </w:style>
  <w:style w:type="paragraph" w:customStyle="1" w:styleId="ConsPlusTitle">
    <w:name w:val="ConsPlusTitle"/>
    <w:qFormat/>
    <w:rsid w:val="003C3908"/>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4">
    <w:name w:val="Текстовый блок A"/>
    <w:qFormat/>
    <w:rsid w:val="003C3908"/>
    <w:pPr>
      <w:spacing w:after="0" w:line="240" w:lineRule="auto"/>
    </w:pPr>
    <w:rPr>
      <w:rFonts w:ascii="Helvetica" w:eastAsia="Times New Roman" w:hAnsi="Helvetica" w:cs="Helvetica"/>
      <w:color w:val="000000"/>
      <w:sz w:val="24"/>
      <w:szCs w:val="24"/>
      <w:lang w:eastAsia="ru-RU"/>
    </w:rPr>
  </w:style>
  <w:style w:type="character" w:customStyle="1" w:styleId="apple-converted-space">
    <w:name w:val="apple-converted-space"/>
    <w:qFormat/>
    <w:rsid w:val="003C3908"/>
    <w:rPr>
      <w:rFonts w:cs="Times New Roman"/>
    </w:rPr>
  </w:style>
  <w:style w:type="character" w:customStyle="1" w:styleId="af5">
    <w:name w:val="Гипертекстовая ссылка"/>
    <w:uiPriority w:val="99"/>
    <w:rsid w:val="003C3908"/>
    <w:rPr>
      <w:rFonts w:cs="Times New Roman"/>
      <w:b/>
      <w:bCs/>
      <w:color w:val="008000"/>
    </w:rPr>
  </w:style>
  <w:style w:type="character" w:customStyle="1" w:styleId="blk">
    <w:name w:val="blk"/>
    <w:qFormat/>
    <w:rsid w:val="003C3908"/>
  </w:style>
  <w:style w:type="paragraph" w:customStyle="1" w:styleId="13">
    <w:name w:val="Основной текст13"/>
    <w:basedOn w:val="a3"/>
    <w:qFormat/>
    <w:rsid w:val="003C3908"/>
    <w:pPr>
      <w:widowControl w:val="0"/>
      <w:shd w:val="clear" w:color="auto" w:fill="FFFFFF"/>
      <w:spacing w:line="283" w:lineRule="exact"/>
      <w:ind w:hanging="2020"/>
      <w:jc w:val="center"/>
    </w:pPr>
    <w:rPr>
      <w:rFonts w:eastAsia="Times New Roman" w:cs="Times New Roman"/>
      <w:color w:val="000000"/>
      <w:sz w:val="26"/>
      <w:szCs w:val="26"/>
      <w:lang w:eastAsia="ru-RU" w:bidi="ru-RU"/>
    </w:rPr>
  </w:style>
  <w:style w:type="character" w:customStyle="1" w:styleId="fontstyle01">
    <w:name w:val="fontstyle01"/>
    <w:rsid w:val="003C3908"/>
    <w:rPr>
      <w:rFonts w:ascii="Times New Roman" w:hAnsi="Times New Roman" w:cs="Times New Roman" w:hint="default"/>
      <w:b w:val="0"/>
      <w:bCs w:val="0"/>
      <w:i w:val="0"/>
      <w:iCs w:val="0"/>
      <w:color w:val="000000"/>
      <w:sz w:val="28"/>
      <w:szCs w:val="28"/>
    </w:rPr>
  </w:style>
  <w:style w:type="character" w:customStyle="1" w:styleId="nobr">
    <w:name w:val="nobr"/>
    <w:rsid w:val="003C3908"/>
  </w:style>
  <w:style w:type="character" w:styleId="af6">
    <w:name w:val="Strong"/>
    <w:uiPriority w:val="22"/>
    <w:qFormat/>
    <w:rsid w:val="00DA18C4"/>
    <w:rPr>
      <w:b/>
      <w:bCs/>
    </w:rPr>
  </w:style>
  <w:style w:type="paragraph" w:styleId="af7">
    <w:name w:val="Body Text"/>
    <w:basedOn w:val="a3"/>
    <w:link w:val="af8"/>
    <w:qFormat/>
    <w:rsid w:val="00DA18C4"/>
    <w:pPr>
      <w:suppressAutoHyphens/>
      <w:spacing w:after="120" w:line="100" w:lineRule="atLeast"/>
      <w:ind w:firstLine="0"/>
      <w:jc w:val="left"/>
    </w:pPr>
    <w:rPr>
      <w:rFonts w:eastAsia="Times New Roman" w:cs="Times New Roman"/>
      <w:sz w:val="24"/>
      <w:szCs w:val="24"/>
      <w:lang w:eastAsia="ar-SA"/>
    </w:rPr>
  </w:style>
  <w:style w:type="character" w:customStyle="1" w:styleId="af8">
    <w:name w:val="Основной текст Знак"/>
    <w:basedOn w:val="a4"/>
    <w:link w:val="af7"/>
    <w:rsid w:val="00DA18C4"/>
    <w:rPr>
      <w:rFonts w:ascii="Times New Roman" w:eastAsia="Times New Roman" w:hAnsi="Times New Roman" w:cs="Times New Roman"/>
      <w:sz w:val="24"/>
      <w:szCs w:val="24"/>
      <w:lang w:eastAsia="ar-SA"/>
    </w:rPr>
  </w:style>
  <w:style w:type="character" w:customStyle="1" w:styleId="22">
    <w:name w:val="Основной текст (2)"/>
    <w:rsid w:val="00CD402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3">
    <w:name w:val="Основной текст (2) + Курсив"/>
    <w:rsid w:val="00CD4027"/>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4">
    <w:name w:val="Основной текст (2) + Полужирный"/>
    <w:rsid w:val="00CD4027"/>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ListParagraphChar">
    <w:name w:val="List Paragraph Char"/>
    <w:aliases w:val="ТЗ список Char,Use Case List Paragraph Char,Маркер Char,Абзац списка литеральный Char,Bullet List Char,FooterText Char,List Paragraph1 Char,numbered Char,Paragraphe de liste1 Char,Bulletr List Paragraph Char,Bullet 1 Char,Булет1 Cha"/>
    <w:link w:val="12"/>
    <w:qFormat/>
    <w:locked/>
    <w:rsid w:val="007357EA"/>
    <w:rPr>
      <w:rFonts w:ascii="Calibri" w:hAnsi="Calibri" w:cs="Calibri"/>
    </w:rPr>
  </w:style>
  <w:style w:type="paragraph" w:customStyle="1" w:styleId="12">
    <w:name w:val="Абзац списка1"/>
    <w:basedOn w:val="a3"/>
    <w:link w:val="ListParagraphChar"/>
    <w:qFormat/>
    <w:rsid w:val="007357EA"/>
    <w:pPr>
      <w:spacing w:after="200" w:line="276" w:lineRule="auto"/>
      <w:ind w:left="720" w:firstLine="0"/>
      <w:jc w:val="left"/>
    </w:pPr>
    <w:rPr>
      <w:rFonts w:ascii="Calibri" w:hAnsi="Calibri" w:cs="Calibri"/>
      <w:sz w:val="22"/>
    </w:rPr>
  </w:style>
  <w:style w:type="paragraph" w:customStyle="1" w:styleId="ConsPlusNonformat">
    <w:name w:val="ConsPlusNonformat"/>
    <w:link w:val="ConsPlusNonformat0"/>
    <w:uiPriority w:val="99"/>
    <w:qFormat/>
    <w:rsid w:val="007357EA"/>
    <w:pPr>
      <w:widowControl w:val="0"/>
      <w:autoSpaceDE w:val="0"/>
      <w:autoSpaceDN w:val="0"/>
      <w:adjustRightInd w:val="0"/>
      <w:spacing w:after="0" w:line="240" w:lineRule="auto"/>
    </w:pPr>
    <w:rPr>
      <w:rFonts w:ascii="Courier New" w:eastAsia="Calibri" w:hAnsi="Courier New" w:cs="Courier New"/>
      <w:sz w:val="20"/>
      <w:szCs w:val="20"/>
      <w:lang w:eastAsia="ru-RU"/>
    </w:rPr>
  </w:style>
  <w:style w:type="character" w:customStyle="1" w:styleId="30">
    <w:name w:val="Заголовок 3 Знак"/>
    <w:basedOn w:val="a4"/>
    <w:link w:val="3"/>
    <w:rsid w:val="00532FB5"/>
    <w:rPr>
      <w:rFonts w:ascii="Arial" w:eastAsia="Times New Roman" w:hAnsi="Arial" w:cs="Times New Roman"/>
      <w:b/>
      <w:bCs/>
      <w:sz w:val="26"/>
      <w:szCs w:val="26"/>
      <w:lang w:val="x-none"/>
    </w:rPr>
  </w:style>
  <w:style w:type="character" w:customStyle="1" w:styleId="40">
    <w:name w:val="Заголовок 4 Знак"/>
    <w:basedOn w:val="a4"/>
    <w:link w:val="4"/>
    <w:uiPriority w:val="9"/>
    <w:rsid w:val="00532FB5"/>
    <w:rPr>
      <w:rFonts w:ascii="Calibri" w:eastAsia="Times New Roman" w:hAnsi="Calibri" w:cs="Times New Roman"/>
      <w:b/>
      <w:bCs/>
      <w:sz w:val="28"/>
      <w:szCs w:val="28"/>
      <w:lang w:val="x-none" w:eastAsia="x-none"/>
    </w:rPr>
  </w:style>
  <w:style w:type="character" w:customStyle="1" w:styleId="51">
    <w:name w:val="Заголовок 5 Знак"/>
    <w:basedOn w:val="a4"/>
    <w:link w:val="50"/>
    <w:uiPriority w:val="9"/>
    <w:rsid w:val="00532FB5"/>
    <w:rPr>
      <w:rFonts w:ascii="Calibri" w:eastAsia="Times New Roman" w:hAnsi="Calibri" w:cs="Times New Roman"/>
      <w:b/>
      <w:bCs/>
      <w:i/>
      <w:iCs/>
      <w:sz w:val="26"/>
      <w:szCs w:val="26"/>
      <w:lang w:val="x-none" w:eastAsia="x-none"/>
    </w:rPr>
  </w:style>
  <w:style w:type="paragraph" w:styleId="af9">
    <w:name w:val="Balloon Text"/>
    <w:aliases w:val="Знак1"/>
    <w:basedOn w:val="a3"/>
    <w:link w:val="afa"/>
    <w:uiPriority w:val="99"/>
    <w:qFormat/>
    <w:rsid w:val="00532FB5"/>
    <w:pPr>
      <w:ind w:firstLine="0"/>
      <w:jc w:val="left"/>
    </w:pPr>
    <w:rPr>
      <w:rFonts w:ascii="Tahoma" w:eastAsia="Times New Roman" w:hAnsi="Tahoma" w:cs="Times New Roman"/>
      <w:sz w:val="16"/>
      <w:szCs w:val="16"/>
      <w:lang w:val="x-none" w:eastAsia="x-none"/>
    </w:rPr>
  </w:style>
  <w:style w:type="character" w:customStyle="1" w:styleId="afa">
    <w:name w:val="Текст выноски Знак"/>
    <w:aliases w:val="Знак1 Знак"/>
    <w:basedOn w:val="a4"/>
    <w:link w:val="af9"/>
    <w:uiPriority w:val="99"/>
    <w:qFormat/>
    <w:rsid w:val="00532FB5"/>
    <w:rPr>
      <w:rFonts w:ascii="Tahoma" w:eastAsia="Times New Roman" w:hAnsi="Tahoma" w:cs="Times New Roman"/>
      <w:sz w:val="16"/>
      <w:szCs w:val="16"/>
      <w:lang w:val="x-none" w:eastAsia="x-none"/>
    </w:rPr>
  </w:style>
  <w:style w:type="paragraph" w:customStyle="1" w:styleId="Style13">
    <w:name w:val="Style13"/>
    <w:basedOn w:val="a3"/>
    <w:qFormat/>
    <w:rsid w:val="00532FB5"/>
    <w:pPr>
      <w:widowControl w:val="0"/>
      <w:autoSpaceDE w:val="0"/>
      <w:autoSpaceDN w:val="0"/>
      <w:adjustRightInd w:val="0"/>
      <w:ind w:firstLine="0"/>
      <w:jc w:val="left"/>
    </w:pPr>
    <w:rPr>
      <w:rFonts w:eastAsia="Times New Roman" w:cs="Times New Roman"/>
      <w:sz w:val="24"/>
      <w:szCs w:val="24"/>
      <w:lang w:eastAsia="ru-RU"/>
    </w:rPr>
  </w:style>
  <w:style w:type="character" w:customStyle="1" w:styleId="FontStyle28">
    <w:name w:val="Font Style28"/>
    <w:rsid w:val="00532FB5"/>
    <w:rPr>
      <w:rFonts w:ascii="Times New Roman" w:eastAsia="Times New Roman" w:hAnsi="Times New Roman" w:cs="Times New Roman"/>
      <w:b/>
      <w:bCs/>
      <w:sz w:val="26"/>
      <w:szCs w:val="26"/>
    </w:rPr>
  </w:style>
  <w:style w:type="paragraph" w:customStyle="1" w:styleId="ConsPlusNormal">
    <w:name w:val="ConsPlusNormal"/>
    <w:link w:val="ConsPlusNormal0"/>
    <w:qFormat/>
    <w:rsid w:val="00532FB5"/>
    <w:pPr>
      <w:widowControl w:val="0"/>
      <w:autoSpaceDE w:val="0"/>
      <w:autoSpaceDN w:val="0"/>
      <w:adjustRightInd w:val="0"/>
      <w:spacing w:after="0" w:line="240" w:lineRule="auto"/>
    </w:pPr>
    <w:rPr>
      <w:rFonts w:ascii="Arial" w:eastAsia="Times New Roman" w:hAnsi="Arial" w:cs="Arial"/>
      <w:lang w:eastAsia="ru-RU"/>
    </w:rPr>
  </w:style>
  <w:style w:type="character" w:customStyle="1" w:styleId="ConsPlusNormal0">
    <w:name w:val="ConsPlusNormal Знак"/>
    <w:link w:val="ConsPlusNormal"/>
    <w:rsid w:val="00532FB5"/>
    <w:rPr>
      <w:rFonts w:ascii="Arial" w:eastAsia="Times New Roman" w:hAnsi="Arial" w:cs="Arial"/>
      <w:lang w:eastAsia="ru-RU"/>
    </w:rPr>
  </w:style>
  <w:style w:type="character" w:customStyle="1" w:styleId="NoSpacingChar">
    <w:name w:val="No Spacing Char"/>
    <w:link w:val="14"/>
    <w:rsid w:val="00532FB5"/>
    <w:rPr>
      <w:rFonts w:ascii="Times New Roman" w:eastAsia="Times New Roman" w:hAnsi="Times New Roman" w:cs="Times New Roman"/>
      <w:sz w:val="20"/>
      <w:szCs w:val="20"/>
    </w:rPr>
  </w:style>
  <w:style w:type="paragraph" w:customStyle="1" w:styleId="14">
    <w:name w:val="Без интервала1"/>
    <w:basedOn w:val="a3"/>
    <w:link w:val="NoSpacingChar"/>
    <w:qFormat/>
    <w:rsid w:val="00532FB5"/>
    <w:pPr>
      <w:ind w:firstLine="0"/>
      <w:jc w:val="left"/>
    </w:pPr>
    <w:rPr>
      <w:rFonts w:eastAsia="Times New Roman" w:cs="Times New Roman"/>
      <w:sz w:val="20"/>
      <w:szCs w:val="20"/>
    </w:rPr>
  </w:style>
  <w:style w:type="paragraph" w:customStyle="1" w:styleId="25">
    <w:name w:val="Без интервала2"/>
    <w:qFormat/>
    <w:rsid w:val="00532FB5"/>
    <w:pPr>
      <w:spacing w:after="0" w:line="240" w:lineRule="auto"/>
    </w:pPr>
    <w:rPr>
      <w:rFonts w:ascii="Calibri" w:eastAsia="Times New Roman" w:hAnsi="Calibri" w:cs="Times New Roman"/>
    </w:rPr>
  </w:style>
  <w:style w:type="paragraph" w:customStyle="1" w:styleId="31">
    <w:name w:val="Без интервала3"/>
    <w:qFormat/>
    <w:rsid w:val="00532FB5"/>
    <w:pPr>
      <w:spacing w:after="0" w:line="240" w:lineRule="auto"/>
    </w:pPr>
    <w:rPr>
      <w:rFonts w:ascii="Calibri" w:eastAsia="Times New Roman" w:hAnsi="Calibri" w:cs="Times New Roman"/>
    </w:rPr>
  </w:style>
  <w:style w:type="paragraph" w:customStyle="1" w:styleId="NoSpacing1">
    <w:name w:val="No Spacing1"/>
    <w:qFormat/>
    <w:rsid w:val="00532FB5"/>
    <w:pPr>
      <w:spacing w:after="0" w:line="240" w:lineRule="auto"/>
    </w:pPr>
    <w:rPr>
      <w:rFonts w:ascii="Times New Roman" w:eastAsia="Calibri" w:hAnsi="Times New Roman" w:cs="Times New Roman"/>
    </w:rPr>
  </w:style>
  <w:style w:type="character" w:customStyle="1" w:styleId="afb">
    <w:name w:val="мой Знак"/>
    <w:link w:val="afc"/>
    <w:rsid w:val="00532FB5"/>
    <w:rPr>
      <w:rFonts w:ascii="Calibri" w:eastAsia="Times New Roman" w:hAnsi="Calibri" w:cs="Times New Roman"/>
      <w:sz w:val="24"/>
      <w:szCs w:val="24"/>
    </w:rPr>
  </w:style>
  <w:style w:type="paragraph" w:customStyle="1" w:styleId="afc">
    <w:name w:val="мой"/>
    <w:basedOn w:val="a3"/>
    <w:link w:val="afb"/>
    <w:qFormat/>
    <w:rsid w:val="00532FB5"/>
    <w:pPr>
      <w:spacing w:line="360" w:lineRule="auto"/>
    </w:pPr>
    <w:rPr>
      <w:rFonts w:ascii="Calibri" w:eastAsia="Times New Roman" w:hAnsi="Calibri" w:cs="Times New Roman"/>
      <w:sz w:val="24"/>
      <w:szCs w:val="24"/>
    </w:rPr>
  </w:style>
  <w:style w:type="paragraph" w:customStyle="1" w:styleId="Style4">
    <w:name w:val="Style4"/>
    <w:basedOn w:val="a3"/>
    <w:qFormat/>
    <w:rsid w:val="00532FB5"/>
    <w:pPr>
      <w:widowControl w:val="0"/>
      <w:autoSpaceDE w:val="0"/>
      <w:autoSpaceDN w:val="0"/>
      <w:adjustRightInd w:val="0"/>
      <w:spacing w:line="415" w:lineRule="exact"/>
      <w:ind w:firstLine="677"/>
    </w:pPr>
    <w:rPr>
      <w:rFonts w:eastAsia="Times New Roman" w:cs="Times New Roman"/>
      <w:sz w:val="24"/>
      <w:szCs w:val="24"/>
      <w:lang w:eastAsia="ru-RU"/>
    </w:rPr>
  </w:style>
  <w:style w:type="character" w:customStyle="1" w:styleId="FontStyle16">
    <w:name w:val="Font Style16"/>
    <w:rsid w:val="00532FB5"/>
    <w:rPr>
      <w:rFonts w:ascii="Times New Roman" w:eastAsia="Times New Roman" w:hAnsi="Times New Roman" w:cs="Times New Roman"/>
      <w:sz w:val="24"/>
      <w:szCs w:val="24"/>
    </w:rPr>
  </w:style>
  <w:style w:type="paragraph" w:customStyle="1" w:styleId="15">
    <w:name w:val="Заголовок1"/>
    <w:basedOn w:val="a3"/>
    <w:next w:val="af7"/>
    <w:link w:val="afd"/>
    <w:qFormat/>
    <w:rsid w:val="00532FB5"/>
    <w:pPr>
      <w:keepNext/>
      <w:suppressAutoHyphens/>
      <w:spacing w:before="240" w:after="120"/>
      <w:ind w:firstLine="0"/>
      <w:jc w:val="left"/>
    </w:pPr>
    <w:rPr>
      <w:rFonts w:ascii="Arial" w:eastAsia="Microsoft YaHei" w:hAnsi="Arial" w:cs="Times New Roman"/>
      <w:szCs w:val="28"/>
      <w:lang w:val="x-none" w:eastAsia="ar-SA"/>
    </w:rPr>
  </w:style>
  <w:style w:type="character" w:customStyle="1" w:styleId="afd">
    <w:name w:val="Заголовок Знак"/>
    <w:link w:val="15"/>
    <w:rsid w:val="00532FB5"/>
    <w:rPr>
      <w:rFonts w:ascii="Arial" w:eastAsia="Microsoft YaHei" w:hAnsi="Arial" w:cs="Times New Roman"/>
      <w:sz w:val="28"/>
      <w:szCs w:val="28"/>
      <w:lang w:val="x-none" w:eastAsia="ar-SA"/>
    </w:rPr>
  </w:style>
  <w:style w:type="paragraph" w:customStyle="1" w:styleId="Standard">
    <w:name w:val="Standard"/>
    <w:qFormat/>
    <w:rsid w:val="00532FB5"/>
    <w:pPr>
      <w:widowControl w:val="0"/>
      <w:suppressAutoHyphens/>
      <w:autoSpaceDN w:val="0"/>
      <w:spacing w:after="0" w:line="240" w:lineRule="auto"/>
      <w:textAlignment w:val="baseline"/>
    </w:pPr>
    <w:rPr>
      <w:rFonts w:ascii="Times New Roman" w:eastAsia="Times New Roman" w:hAnsi="Times New Roman" w:cs="Tahoma"/>
      <w:kern w:val="3"/>
      <w:sz w:val="24"/>
      <w:szCs w:val="24"/>
      <w:lang w:val="de-DE" w:eastAsia="ja-JP" w:bidi="fa-IR"/>
    </w:rPr>
  </w:style>
  <w:style w:type="character" w:customStyle="1" w:styleId="FontStyle18">
    <w:name w:val="Font Style18"/>
    <w:rsid w:val="00532FB5"/>
    <w:rPr>
      <w:rFonts w:ascii="Times New Roman" w:eastAsia="Times New Roman" w:hAnsi="Times New Roman" w:cs="Times New Roman"/>
      <w:sz w:val="24"/>
      <w:szCs w:val="24"/>
    </w:rPr>
  </w:style>
  <w:style w:type="paragraph" w:styleId="26">
    <w:name w:val="Body Text Indent 2"/>
    <w:basedOn w:val="a3"/>
    <w:link w:val="27"/>
    <w:uiPriority w:val="99"/>
    <w:rsid w:val="00532FB5"/>
    <w:pPr>
      <w:spacing w:after="120" w:line="480" w:lineRule="auto"/>
      <w:ind w:left="283" w:firstLine="0"/>
      <w:jc w:val="left"/>
    </w:pPr>
    <w:rPr>
      <w:rFonts w:ascii="Calibri" w:eastAsia="Times New Roman" w:hAnsi="Calibri" w:cs="Times New Roman"/>
      <w:sz w:val="20"/>
      <w:szCs w:val="20"/>
      <w:lang w:val="x-none" w:eastAsia="x-none"/>
    </w:rPr>
  </w:style>
  <w:style w:type="character" w:customStyle="1" w:styleId="27">
    <w:name w:val="Основной текст с отступом 2 Знак"/>
    <w:basedOn w:val="a4"/>
    <w:link w:val="26"/>
    <w:uiPriority w:val="99"/>
    <w:rsid w:val="00532FB5"/>
    <w:rPr>
      <w:rFonts w:ascii="Calibri" w:eastAsia="Times New Roman" w:hAnsi="Calibri" w:cs="Times New Roman"/>
      <w:sz w:val="20"/>
      <w:szCs w:val="20"/>
      <w:lang w:val="x-none" w:eastAsia="x-none"/>
    </w:rPr>
  </w:style>
  <w:style w:type="paragraph" w:customStyle="1" w:styleId="16">
    <w:name w:val="Обычный1"/>
    <w:qFormat/>
    <w:rsid w:val="00532FB5"/>
    <w:pPr>
      <w:widowControl w:val="0"/>
      <w:spacing w:after="0" w:line="480" w:lineRule="auto"/>
      <w:ind w:firstLine="720"/>
      <w:jc w:val="both"/>
    </w:pPr>
    <w:rPr>
      <w:rFonts w:ascii="Times New Roman" w:eastAsia="Times New Roman" w:hAnsi="Times New Roman" w:cs="Times New Roman"/>
      <w:snapToGrid w:val="0"/>
      <w:sz w:val="24"/>
      <w:szCs w:val="20"/>
      <w:lang w:eastAsia="ru-RU"/>
    </w:rPr>
  </w:style>
  <w:style w:type="paragraph" w:customStyle="1" w:styleId="110">
    <w:name w:val="Абзац списка11"/>
    <w:basedOn w:val="a3"/>
    <w:qFormat/>
    <w:rsid w:val="00532FB5"/>
    <w:pPr>
      <w:spacing w:after="200" w:line="276" w:lineRule="auto"/>
      <w:ind w:left="720" w:firstLine="0"/>
      <w:contextualSpacing/>
      <w:jc w:val="left"/>
    </w:pPr>
    <w:rPr>
      <w:rFonts w:eastAsia="Calibri" w:cs="Times New Roman"/>
      <w:lang w:val="x-none"/>
    </w:rPr>
  </w:style>
  <w:style w:type="paragraph" w:styleId="afe">
    <w:name w:val="Body Text Indent"/>
    <w:basedOn w:val="a3"/>
    <w:link w:val="aff"/>
    <w:rsid w:val="00532FB5"/>
    <w:pPr>
      <w:spacing w:after="120"/>
      <w:ind w:left="283" w:firstLine="0"/>
      <w:jc w:val="left"/>
    </w:pPr>
    <w:rPr>
      <w:rFonts w:eastAsia="Times New Roman" w:cs="Times New Roman"/>
      <w:szCs w:val="28"/>
      <w:lang w:val="x-none" w:eastAsia="x-none"/>
    </w:rPr>
  </w:style>
  <w:style w:type="character" w:customStyle="1" w:styleId="aff">
    <w:name w:val="Основной текст с отступом Знак"/>
    <w:basedOn w:val="a4"/>
    <w:link w:val="afe"/>
    <w:rsid w:val="00532FB5"/>
    <w:rPr>
      <w:rFonts w:ascii="Times New Roman" w:eastAsia="Times New Roman" w:hAnsi="Times New Roman" w:cs="Times New Roman"/>
      <w:sz w:val="28"/>
      <w:szCs w:val="28"/>
      <w:lang w:val="x-none" w:eastAsia="x-none"/>
    </w:rPr>
  </w:style>
  <w:style w:type="paragraph" w:customStyle="1" w:styleId="Style3">
    <w:name w:val="Style3"/>
    <w:basedOn w:val="a3"/>
    <w:qFormat/>
    <w:rsid w:val="00532FB5"/>
    <w:pPr>
      <w:widowControl w:val="0"/>
      <w:autoSpaceDE w:val="0"/>
      <w:autoSpaceDN w:val="0"/>
      <w:adjustRightInd w:val="0"/>
      <w:spacing w:line="326" w:lineRule="exact"/>
      <w:ind w:firstLine="706"/>
    </w:pPr>
    <w:rPr>
      <w:rFonts w:eastAsia="Times New Roman" w:cs="Times New Roman"/>
      <w:sz w:val="24"/>
      <w:szCs w:val="24"/>
      <w:lang w:eastAsia="ru-RU"/>
    </w:rPr>
  </w:style>
  <w:style w:type="character" w:customStyle="1" w:styleId="FontStyle25">
    <w:name w:val="Font Style25"/>
    <w:rsid w:val="00532FB5"/>
    <w:rPr>
      <w:rFonts w:ascii="Times New Roman" w:eastAsia="Times New Roman" w:hAnsi="Times New Roman" w:cs="Times New Roman"/>
      <w:sz w:val="26"/>
      <w:szCs w:val="26"/>
    </w:rPr>
  </w:style>
  <w:style w:type="character" w:customStyle="1" w:styleId="FontStyle14">
    <w:name w:val="Font Style14"/>
    <w:qFormat/>
    <w:rsid w:val="00532FB5"/>
    <w:rPr>
      <w:rFonts w:ascii="Times New Roman" w:eastAsia="Times New Roman" w:hAnsi="Times New Roman" w:cs="Times New Roman"/>
      <w:sz w:val="22"/>
      <w:szCs w:val="22"/>
    </w:rPr>
  </w:style>
  <w:style w:type="paragraph" w:customStyle="1" w:styleId="17">
    <w:name w:val="Стиль1"/>
    <w:basedOn w:val="a3"/>
    <w:link w:val="18"/>
    <w:qFormat/>
    <w:rsid w:val="00532FB5"/>
    <w:pPr>
      <w:ind w:firstLine="720"/>
    </w:pPr>
    <w:rPr>
      <w:rFonts w:eastAsia="Times New Roman" w:cs="Times New Roman"/>
      <w:szCs w:val="28"/>
      <w:lang w:val="x-none"/>
    </w:rPr>
  </w:style>
  <w:style w:type="paragraph" w:styleId="28">
    <w:name w:val="Body Text 2"/>
    <w:basedOn w:val="a3"/>
    <w:link w:val="29"/>
    <w:rsid w:val="00532FB5"/>
    <w:pPr>
      <w:spacing w:after="120" w:line="480" w:lineRule="auto"/>
      <w:ind w:firstLine="0"/>
      <w:jc w:val="left"/>
    </w:pPr>
    <w:rPr>
      <w:rFonts w:ascii="Calibri" w:eastAsia="Times New Roman" w:hAnsi="Calibri" w:cs="Times New Roman"/>
      <w:sz w:val="22"/>
      <w:lang w:val="x-none" w:eastAsia="x-none"/>
    </w:rPr>
  </w:style>
  <w:style w:type="character" w:customStyle="1" w:styleId="29">
    <w:name w:val="Основной текст 2 Знак"/>
    <w:basedOn w:val="a4"/>
    <w:link w:val="28"/>
    <w:rsid w:val="00532FB5"/>
    <w:rPr>
      <w:rFonts w:ascii="Calibri" w:eastAsia="Times New Roman" w:hAnsi="Calibri" w:cs="Times New Roman"/>
      <w:lang w:val="x-none" w:eastAsia="x-none"/>
    </w:rPr>
  </w:style>
  <w:style w:type="paragraph" w:styleId="aff0">
    <w:name w:val="Title"/>
    <w:basedOn w:val="a3"/>
    <w:link w:val="19"/>
    <w:uiPriority w:val="10"/>
    <w:qFormat/>
    <w:rsid w:val="00532FB5"/>
    <w:pPr>
      <w:spacing w:after="200" w:line="276" w:lineRule="auto"/>
      <w:ind w:firstLine="0"/>
      <w:jc w:val="center"/>
    </w:pPr>
    <w:rPr>
      <w:rFonts w:ascii="Calibri" w:eastAsia="Times New Roman" w:hAnsi="Calibri" w:cs="Times New Roman"/>
      <w:b/>
      <w:bCs/>
      <w:szCs w:val="20"/>
      <w:lang w:val="x-none"/>
    </w:rPr>
  </w:style>
  <w:style w:type="character" w:customStyle="1" w:styleId="19">
    <w:name w:val="Заголовок Знак1"/>
    <w:basedOn w:val="a4"/>
    <w:link w:val="aff0"/>
    <w:uiPriority w:val="10"/>
    <w:rsid w:val="00532FB5"/>
    <w:rPr>
      <w:rFonts w:ascii="Calibri" w:eastAsia="Times New Roman" w:hAnsi="Calibri" w:cs="Times New Roman"/>
      <w:b/>
      <w:bCs/>
      <w:sz w:val="28"/>
      <w:szCs w:val="20"/>
      <w:lang w:val="x-none"/>
    </w:rPr>
  </w:style>
  <w:style w:type="character" w:styleId="aff1">
    <w:name w:val="Emphasis"/>
    <w:qFormat/>
    <w:rsid w:val="00532FB5"/>
    <w:rPr>
      <w:rFonts w:ascii="Calibri" w:eastAsia="Times New Roman" w:hAnsi="Calibri" w:cs="Times New Roman"/>
      <w:b/>
      <w:bCs/>
      <w:i w:val="0"/>
      <w:iCs w:val="0"/>
    </w:rPr>
  </w:style>
  <w:style w:type="paragraph" w:customStyle="1" w:styleId="Heading">
    <w:name w:val="Heading"/>
    <w:qFormat/>
    <w:rsid w:val="00532FB5"/>
    <w:pPr>
      <w:autoSpaceDE w:val="0"/>
      <w:autoSpaceDN w:val="0"/>
      <w:adjustRightInd w:val="0"/>
      <w:spacing w:after="0" w:line="240" w:lineRule="auto"/>
    </w:pPr>
    <w:rPr>
      <w:rFonts w:ascii="Arial" w:eastAsia="Calibri" w:hAnsi="Arial" w:cs="Arial"/>
      <w:b/>
      <w:bCs/>
      <w:lang w:eastAsia="ru-RU"/>
    </w:rPr>
  </w:style>
  <w:style w:type="paragraph" w:styleId="32">
    <w:name w:val="Body Text 3"/>
    <w:basedOn w:val="a3"/>
    <w:link w:val="33"/>
    <w:uiPriority w:val="99"/>
    <w:qFormat/>
    <w:rsid w:val="00532FB5"/>
    <w:pPr>
      <w:spacing w:after="120" w:line="276" w:lineRule="auto"/>
      <w:ind w:firstLine="0"/>
      <w:jc w:val="left"/>
    </w:pPr>
    <w:rPr>
      <w:rFonts w:ascii="Calibri" w:eastAsia="Times New Roman" w:hAnsi="Calibri" w:cs="Times New Roman"/>
      <w:sz w:val="16"/>
      <w:szCs w:val="16"/>
      <w:lang w:val="x-none"/>
    </w:rPr>
  </w:style>
  <w:style w:type="character" w:customStyle="1" w:styleId="33">
    <w:name w:val="Основной текст 3 Знак"/>
    <w:basedOn w:val="a4"/>
    <w:link w:val="32"/>
    <w:uiPriority w:val="99"/>
    <w:qFormat/>
    <w:rsid w:val="00532FB5"/>
    <w:rPr>
      <w:rFonts w:ascii="Calibri" w:eastAsia="Times New Roman" w:hAnsi="Calibri" w:cs="Times New Roman"/>
      <w:sz w:val="16"/>
      <w:szCs w:val="16"/>
      <w:lang w:val="x-none"/>
    </w:rPr>
  </w:style>
  <w:style w:type="paragraph" w:customStyle="1" w:styleId="western">
    <w:name w:val="western"/>
    <w:basedOn w:val="a3"/>
    <w:qFormat/>
    <w:rsid w:val="00532FB5"/>
    <w:pPr>
      <w:spacing w:before="100" w:beforeAutospacing="1" w:after="100" w:afterAutospacing="1"/>
      <w:ind w:firstLine="0"/>
      <w:jc w:val="left"/>
    </w:pPr>
    <w:rPr>
      <w:rFonts w:eastAsia="Calibri" w:cs="Times New Roman"/>
      <w:sz w:val="24"/>
      <w:szCs w:val="24"/>
      <w:lang w:eastAsia="ru-RU"/>
    </w:rPr>
  </w:style>
  <w:style w:type="paragraph" w:customStyle="1" w:styleId="2a">
    <w:name w:val="Абзац списка2"/>
    <w:basedOn w:val="a3"/>
    <w:qFormat/>
    <w:rsid w:val="00532FB5"/>
    <w:pPr>
      <w:spacing w:after="200" w:line="276" w:lineRule="auto"/>
      <w:ind w:left="720" w:firstLine="0"/>
      <w:contextualSpacing/>
      <w:jc w:val="left"/>
    </w:pPr>
    <w:rPr>
      <w:rFonts w:ascii="Calibri" w:eastAsia="Times New Roman" w:hAnsi="Calibri" w:cs="Times New Roman"/>
      <w:sz w:val="22"/>
    </w:rPr>
  </w:style>
  <w:style w:type="paragraph" w:customStyle="1" w:styleId="Default">
    <w:name w:val="Default"/>
    <w:qFormat/>
    <w:rsid w:val="00532FB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2">
    <w:name w:val="footnote text"/>
    <w:aliases w:val="Знак5,Текст сноски-FN,Oaeno niinee-FN,Oaeno niinee Ciae,Table_Footnote_last,Текст сноски Знак2,Текст сноски Знак1 Знак,Текст сноски Знак Знак Знак,Текст сноски Знак Знак1,Текст сноски Знак Знак,single space,footnote text,F1,F"/>
    <w:basedOn w:val="a3"/>
    <w:link w:val="aff3"/>
    <w:uiPriority w:val="99"/>
    <w:qFormat/>
    <w:rsid w:val="00532FB5"/>
    <w:pPr>
      <w:ind w:firstLine="0"/>
      <w:jc w:val="left"/>
    </w:pPr>
    <w:rPr>
      <w:rFonts w:eastAsia="Times New Roman" w:cs="Times New Roman"/>
      <w:sz w:val="20"/>
      <w:szCs w:val="20"/>
      <w:lang w:val="x-none" w:eastAsia="x-none"/>
    </w:rPr>
  </w:style>
  <w:style w:type="character" w:customStyle="1" w:styleId="aff3">
    <w:name w:val="Текст сноски Знак"/>
    <w:aliases w:val="Знак5 Знак,Текст сноски-FN Знак,Oaeno niinee-FN Знак,Oaeno niinee Ciae Знак,Table_Footnote_last Знак,Текст сноски Знак2 Знак,Текст сноски Знак1 Знак Знак,Текст сноски Знак Знак Знак Знак,Текст сноски Знак Знак1 Знак,single space Знак"/>
    <w:basedOn w:val="a4"/>
    <w:link w:val="aff2"/>
    <w:uiPriority w:val="99"/>
    <w:rsid w:val="00532FB5"/>
    <w:rPr>
      <w:rFonts w:ascii="Times New Roman" w:eastAsia="Times New Roman" w:hAnsi="Times New Roman" w:cs="Times New Roman"/>
      <w:sz w:val="20"/>
      <w:szCs w:val="20"/>
      <w:lang w:val="x-none" w:eastAsia="x-none"/>
    </w:rPr>
  </w:style>
  <w:style w:type="character" w:customStyle="1" w:styleId="hps">
    <w:name w:val="hps"/>
    <w:rsid w:val="00532FB5"/>
    <w:rPr>
      <w:rFonts w:ascii="Calibri" w:eastAsia="Times New Roman" w:hAnsi="Calibri" w:cs="Times New Roman"/>
    </w:rPr>
  </w:style>
  <w:style w:type="character" w:customStyle="1" w:styleId="highlighthighlightactive">
    <w:name w:val="highlight highlight_active"/>
    <w:rsid w:val="00532FB5"/>
    <w:rPr>
      <w:rFonts w:ascii="Calibri" w:eastAsia="Times New Roman" w:hAnsi="Calibri" w:cs="Times New Roman"/>
    </w:rPr>
  </w:style>
  <w:style w:type="character" w:customStyle="1" w:styleId="js-extracted-address">
    <w:name w:val="js-extracted-address"/>
    <w:rsid w:val="00532FB5"/>
    <w:rPr>
      <w:rFonts w:ascii="Calibri" w:eastAsia="Times New Roman" w:hAnsi="Calibri" w:cs="Times New Roman"/>
    </w:rPr>
  </w:style>
  <w:style w:type="character" w:customStyle="1" w:styleId="mail-message-map-nobreak">
    <w:name w:val="mail-message-map-nobreak"/>
    <w:rsid w:val="00532FB5"/>
    <w:rPr>
      <w:rFonts w:ascii="Calibri" w:eastAsia="Times New Roman" w:hAnsi="Calibri" w:cs="Times New Roman"/>
    </w:rPr>
  </w:style>
  <w:style w:type="character" w:customStyle="1" w:styleId="18">
    <w:name w:val="Стиль1 Знак"/>
    <w:link w:val="17"/>
    <w:rsid w:val="00532FB5"/>
    <w:rPr>
      <w:rFonts w:ascii="Times New Roman" w:eastAsia="Times New Roman" w:hAnsi="Times New Roman" w:cs="Times New Roman"/>
      <w:sz w:val="28"/>
      <w:szCs w:val="28"/>
      <w:lang w:val="x-none"/>
    </w:rPr>
  </w:style>
  <w:style w:type="paragraph" w:customStyle="1" w:styleId="msonormalmailrucssattributepostfix">
    <w:name w:val="msonormal_mailru_css_attribute_postfix"/>
    <w:basedOn w:val="a3"/>
    <w:qFormat/>
    <w:rsid w:val="00532FB5"/>
    <w:pPr>
      <w:spacing w:before="100" w:beforeAutospacing="1" w:after="100" w:afterAutospacing="1"/>
      <w:ind w:firstLine="0"/>
      <w:jc w:val="left"/>
    </w:pPr>
    <w:rPr>
      <w:rFonts w:eastAsia="Times New Roman" w:cs="Times New Roman"/>
      <w:sz w:val="24"/>
      <w:szCs w:val="24"/>
      <w:lang w:eastAsia="ru-RU"/>
    </w:rPr>
  </w:style>
  <w:style w:type="table" w:customStyle="1" w:styleId="TableNormal">
    <w:name w:val="Table Normal"/>
    <w:rsid w:val="00B458FB"/>
    <w:pPr>
      <w:pBdr>
        <w:top w:val="nil"/>
        <w:left w:val="nil"/>
        <w:bottom w:val="nil"/>
        <w:right w:val="nil"/>
        <w:between w:val="nil"/>
        <w:bar w:val="nil"/>
      </w:pBdr>
      <w:spacing w:after="8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person0theme16">
    <w:name w:val="person_0 theme_16"/>
    <w:basedOn w:val="a3"/>
    <w:qFormat/>
    <w:rsid w:val="00B458FB"/>
    <w:pPr>
      <w:spacing w:before="100" w:beforeAutospacing="1" w:after="100" w:afterAutospacing="1"/>
      <w:ind w:firstLine="0"/>
      <w:jc w:val="left"/>
    </w:pPr>
    <w:rPr>
      <w:rFonts w:eastAsia="Times New Roman" w:cs="Times New Roman"/>
      <w:sz w:val="24"/>
      <w:szCs w:val="24"/>
      <w:u w:color="000000"/>
      <w:lang w:eastAsia="ru-RU"/>
    </w:rPr>
  </w:style>
  <w:style w:type="paragraph" w:styleId="34">
    <w:name w:val="Body Text Indent 3"/>
    <w:basedOn w:val="a3"/>
    <w:link w:val="35"/>
    <w:uiPriority w:val="99"/>
    <w:unhideWhenUsed/>
    <w:rsid w:val="00B458FB"/>
    <w:pPr>
      <w:spacing w:after="120" w:line="276" w:lineRule="auto"/>
      <w:ind w:left="283" w:firstLine="0"/>
      <w:jc w:val="left"/>
    </w:pPr>
    <w:rPr>
      <w:rFonts w:ascii="Calibri" w:eastAsia="Times New Roman" w:hAnsi="Calibri" w:cs="Times New Roman"/>
      <w:sz w:val="16"/>
      <w:szCs w:val="16"/>
      <w:lang w:val="x-none" w:eastAsia="ru-RU"/>
    </w:rPr>
  </w:style>
  <w:style w:type="character" w:customStyle="1" w:styleId="35">
    <w:name w:val="Основной текст с отступом 3 Знак"/>
    <w:basedOn w:val="a4"/>
    <w:link w:val="34"/>
    <w:uiPriority w:val="99"/>
    <w:rsid w:val="00B458FB"/>
    <w:rPr>
      <w:rFonts w:ascii="Calibri" w:eastAsia="Times New Roman" w:hAnsi="Calibri" w:cs="Times New Roman"/>
      <w:sz w:val="16"/>
      <w:szCs w:val="16"/>
      <w:lang w:val="x-none" w:eastAsia="ru-RU"/>
    </w:rPr>
  </w:style>
  <w:style w:type="paragraph" w:customStyle="1" w:styleId="ConsTitle">
    <w:name w:val="ConsTitle"/>
    <w:qFormat/>
    <w:rsid w:val="00B458FB"/>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table" w:styleId="aff4">
    <w:name w:val="Table Grid"/>
    <w:basedOn w:val="a5"/>
    <w:uiPriority w:val="59"/>
    <w:rsid w:val="00B458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
    <w:name w:val="Импортированный стиль 5"/>
    <w:rsid w:val="00B458FB"/>
    <w:pPr>
      <w:numPr>
        <w:numId w:val="1"/>
      </w:numPr>
    </w:pPr>
  </w:style>
  <w:style w:type="numbering" w:customStyle="1" w:styleId="6">
    <w:name w:val="6"/>
    <w:rsid w:val="00B458FB"/>
    <w:pPr>
      <w:numPr>
        <w:numId w:val="2"/>
      </w:numPr>
    </w:pPr>
  </w:style>
  <w:style w:type="paragraph" w:customStyle="1" w:styleId="210">
    <w:name w:val="Основной текст 21"/>
    <w:basedOn w:val="a3"/>
    <w:qFormat/>
    <w:rsid w:val="00B458FB"/>
    <w:pPr>
      <w:suppressAutoHyphens/>
      <w:spacing w:after="120" w:line="480" w:lineRule="auto"/>
      <w:ind w:firstLine="0"/>
      <w:jc w:val="left"/>
    </w:pPr>
    <w:rPr>
      <w:rFonts w:eastAsia="Times New Roman" w:cs="Calibri"/>
      <w:szCs w:val="28"/>
      <w:lang w:eastAsia="ar-SA"/>
    </w:rPr>
  </w:style>
  <w:style w:type="paragraph" w:styleId="aff5">
    <w:name w:val="Subtitle"/>
    <w:basedOn w:val="a3"/>
    <w:next w:val="a3"/>
    <w:link w:val="aff6"/>
    <w:uiPriority w:val="11"/>
    <w:qFormat/>
    <w:rsid w:val="00B458FB"/>
    <w:pPr>
      <w:pBdr>
        <w:top w:val="nil"/>
        <w:left w:val="nil"/>
        <w:bottom w:val="nil"/>
        <w:right w:val="nil"/>
        <w:between w:val="nil"/>
        <w:bar w:val="nil"/>
      </w:pBdr>
      <w:suppressAutoHyphens/>
      <w:spacing w:after="60"/>
      <w:ind w:firstLine="0"/>
      <w:jc w:val="center"/>
      <w:outlineLvl w:val="1"/>
    </w:pPr>
    <w:rPr>
      <w:rFonts w:ascii="Cambria" w:eastAsia="Times New Roman" w:hAnsi="Cambria" w:cs="Times New Roman"/>
      <w:color w:val="000000"/>
      <w:sz w:val="24"/>
      <w:szCs w:val="24"/>
      <w:u w:color="000000"/>
      <w:bdr w:val="nil"/>
      <w:lang w:eastAsia="ru-RU"/>
    </w:rPr>
  </w:style>
  <w:style w:type="character" w:customStyle="1" w:styleId="aff6">
    <w:name w:val="Подзаголовок Знак"/>
    <w:basedOn w:val="a4"/>
    <w:link w:val="aff5"/>
    <w:uiPriority w:val="11"/>
    <w:rsid w:val="00B458FB"/>
    <w:rPr>
      <w:rFonts w:ascii="Cambria" w:eastAsia="Times New Roman" w:hAnsi="Cambria" w:cs="Times New Roman"/>
      <w:color w:val="000000"/>
      <w:sz w:val="24"/>
      <w:szCs w:val="24"/>
      <w:u w:color="000000"/>
      <w:bdr w:val="nil"/>
      <w:lang w:eastAsia="ru-RU"/>
    </w:rPr>
  </w:style>
  <w:style w:type="character" w:customStyle="1" w:styleId="aff7">
    <w:name w:val="Основной текст_"/>
    <w:link w:val="52"/>
    <w:rsid w:val="00B458FB"/>
    <w:rPr>
      <w:rFonts w:ascii="Times New Roman" w:eastAsia="Times New Roman" w:hAnsi="Times New Roman"/>
      <w:sz w:val="25"/>
      <w:szCs w:val="25"/>
      <w:shd w:val="clear" w:color="auto" w:fill="FFFFFF"/>
    </w:rPr>
  </w:style>
  <w:style w:type="paragraph" w:customStyle="1" w:styleId="52">
    <w:name w:val="Основной текст5"/>
    <w:basedOn w:val="a3"/>
    <w:link w:val="aff7"/>
    <w:qFormat/>
    <w:rsid w:val="00B458FB"/>
    <w:pPr>
      <w:shd w:val="clear" w:color="auto" w:fill="FFFFFF"/>
      <w:spacing w:before="360" w:after="300" w:line="0" w:lineRule="atLeast"/>
      <w:ind w:hanging="480"/>
      <w:jc w:val="left"/>
    </w:pPr>
    <w:rPr>
      <w:rFonts w:eastAsia="Times New Roman"/>
      <w:sz w:val="25"/>
      <w:szCs w:val="25"/>
    </w:rPr>
  </w:style>
  <w:style w:type="character" w:styleId="aff8">
    <w:name w:val="annotation reference"/>
    <w:basedOn w:val="a4"/>
    <w:uiPriority w:val="99"/>
    <w:unhideWhenUsed/>
    <w:rsid w:val="00AF62A7"/>
    <w:rPr>
      <w:sz w:val="16"/>
      <w:szCs w:val="16"/>
    </w:rPr>
  </w:style>
  <w:style w:type="paragraph" w:styleId="aff9">
    <w:name w:val="annotation text"/>
    <w:basedOn w:val="a3"/>
    <w:link w:val="affa"/>
    <w:uiPriority w:val="99"/>
    <w:unhideWhenUsed/>
    <w:rsid w:val="00AF62A7"/>
    <w:rPr>
      <w:sz w:val="20"/>
      <w:szCs w:val="20"/>
    </w:rPr>
  </w:style>
  <w:style w:type="character" w:customStyle="1" w:styleId="affa">
    <w:name w:val="Текст примечания Знак"/>
    <w:basedOn w:val="a4"/>
    <w:link w:val="aff9"/>
    <w:uiPriority w:val="99"/>
    <w:rsid w:val="00AF62A7"/>
    <w:rPr>
      <w:rFonts w:ascii="Times New Roman" w:hAnsi="Times New Roman"/>
      <w:sz w:val="20"/>
      <w:szCs w:val="20"/>
    </w:rPr>
  </w:style>
  <w:style w:type="paragraph" w:styleId="affb">
    <w:name w:val="annotation subject"/>
    <w:basedOn w:val="aff9"/>
    <w:next w:val="aff9"/>
    <w:link w:val="affc"/>
    <w:uiPriority w:val="99"/>
    <w:unhideWhenUsed/>
    <w:rsid w:val="00AF62A7"/>
    <w:rPr>
      <w:b/>
      <w:bCs/>
    </w:rPr>
  </w:style>
  <w:style w:type="character" w:customStyle="1" w:styleId="affc">
    <w:name w:val="Тема примечания Знак"/>
    <w:basedOn w:val="affa"/>
    <w:link w:val="affb"/>
    <w:uiPriority w:val="99"/>
    <w:rsid w:val="00AF62A7"/>
    <w:rPr>
      <w:rFonts w:ascii="Times New Roman" w:hAnsi="Times New Roman"/>
      <w:b/>
      <w:bCs/>
      <w:sz w:val="20"/>
      <w:szCs w:val="20"/>
    </w:rPr>
  </w:style>
  <w:style w:type="paragraph" w:styleId="36">
    <w:name w:val="toc 3"/>
    <w:basedOn w:val="a3"/>
    <w:next w:val="a3"/>
    <w:autoRedefine/>
    <w:uiPriority w:val="39"/>
    <w:unhideWhenUsed/>
    <w:qFormat/>
    <w:rsid w:val="00B821AA"/>
    <w:pPr>
      <w:spacing w:after="100"/>
      <w:ind w:left="560"/>
    </w:pPr>
  </w:style>
  <w:style w:type="paragraph" w:customStyle="1" w:styleId="rmcwibxe">
    <w:name w:val="rmcwibxe"/>
    <w:basedOn w:val="a3"/>
    <w:qFormat/>
    <w:rsid w:val="00231DD0"/>
    <w:pPr>
      <w:spacing w:before="100" w:beforeAutospacing="1" w:after="100" w:afterAutospacing="1"/>
      <w:ind w:firstLine="0"/>
      <w:jc w:val="left"/>
    </w:pPr>
    <w:rPr>
      <w:rFonts w:eastAsia="Times New Roman" w:cs="Times New Roman"/>
      <w:sz w:val="24"/>
      <w:szCs w:val="24"/>
      <w:lang w:eastAsia="ru-RU"/>
    </w:rPr>
  </w:style>
  <w:style w:type="character" w:customStyle="1" w:styleId="1a">
    <w:name w:val="Дата1"/>
    <w:basedOn w:val="a4"/>
    <w:qFormat/>
    <w:rsid w:val="00F15E04"/>
  </w:style>
  <w:style w:type="character" w:customStyle="1" w:styleId="print">
    <w:name w:val="print"/>
    <w:basedOn w:val="a4"/>
    <w:rsid w:val="00F15E04"/>
  </w:style>
  <w:style w:type="character" w:customStyle="1" w:styleId="plink">
    <w:name w:val="plink"/>
    <w:basedOn w:val="a4"/>
    <w:rsid w:val="00F15E04"/>
  </w:style>
  <w:style w:type="paragraph" w:customStyle="1" w:styleId="1b">
    <w:name w:val="Знак Знак Знак Знак1"/>
    <w:basedOn w:val="a3"/>
    <w:qFormat/>
    <w:rsid w:val="00F15E04"/>
    <w:pPr>
      <w:widowControl w:val="0"/>
      <w:adjustRightInd w:val="0"/>
      <w:spacing w:after="160" w:line="240" w:lineRule="exact"/>
      <w:ind w:firstLine="0"/>
      <w:jc w:val="right"/>
    </w:pPr>
    <w:rPr>
      <w:rFonts w:eastAsia="Times New Roman" w:cs="Times New Roman"/>
      <w:sz w:val="20"/>
      <w:szCs w:val="20"/>
      <w:lang w:val="en-GB"/>
    </w:rPr>
  </w:style>
  <w:style w:type="paragraph" w:customStyle="1" w:styleId="Style6">
    <w:name w:val="Style6"/>
    <w:basedOn w:val="a3"/>
    <w:qFormat/>
    <w:rsid w:val="00F15E04"/>
    <w:pPr>
      <w:widowControl w:val="0"/>
      <w:autoSpaceDE w:val="0"/>
      <w:autoSpaceDN w:val="0"/>
      <w:adjustRightInd w:val="0"/>
      <w:spacing w:line="370" w:lineRule="exact"/>
      <w:ind w:firstLine="0"/>
    </w:pPr>
    <w:rPr>
      <w:rFonts w:eastAsia="Times New Roman" w:cs="Times New Roman"/>
      <w:sz w:val="24"/>
      <w:szCs w:val="24"/>
      <w:lang w:eastAsia="ru-RU"/>
    </w:rPr>
  </w:style>
  <w:style w:type="paragraph" w:customStyle="1" w:styleId="affd">
    <w:name w:val="Знак Знак Знак Знак"/>
    <w:basedOn w:val="a3"/>
    <w:qFormat/>
    <w:rsid w:val="00F15E04"/>
    <w:pPr>
      <w:spacing w:before="100" w:beforeAutospacing="1" w:after="100" w:afterAutospacing="1"/>
      <w:ind w:firstLine="0"/>
      <w:jc w:val="left"/>
    </w:pPr>
    <w:rPr>
      <w:rFonts w:ascii="Tahoma" w:eastAsia="Times New Roman" w:hAnsi="Tahoma" w:cs="Times New Roman"/>
      <w:sz w:val="20"/>
      <w:szCs w:val="20"/>
      <w:lang w:val="en-US"/>
    </w:rPr>
  </w:style>
  <w:style w:type="table" w:customStyle="1" w:styleId="1c">
    <w:name w:val="Сетка таблицы1"/>
    <w:basedOn w:val="a5"/>
    <w:next w:val="aff4"/>
    <w:uiPriority w:val="39"/>
    <w:rsid w:val="00F15E0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d">
    <w:name w:val="Нет списка1"/>
    <w:next w:val="a6"/>
    <w:uiPriority w:val="99"/>
    <w:semiHidden/>
    <w:unhideWhenUsed/>
    <w:rsid w:val="00F15E04"/>
  </w:style>
  <w:style w:type="paragraph" w:customStyle="1" w:styleId="affe">
    <w:name w:val="Текст письма"/>
    <w:basedOn w:val="a3"/>
    <w:qFormat/>
    <w:rsid w:val="00F15E04"/>
    <w:pPr>
      <w:spacing w:line="360" w:lineRule="auto"/>
    </w:pPr>
    <w:rPr>
      <w:rFonts w:eastAsia="ag_souvenir" w:cs="Times New Roman"/>
      <w:sz w:val="24"/>
      <w:szCs w:val="20"/>
      <w:lang w:eastAsia="ru-RU"/>
    </w:rPr>
  </w:style>
  <w:style w:type="paragraph" w:customStyle="1" w:styleId="formattext">
    <w:name w:val="formattext"/>
    <w:basedOn w:val="a3"/>
    <w:qFormat/>
    <w:rsid w:val="00F15E04"/>
    <w:pPr>
      <w:spacing w:before="100" w:beforeAutospacing="1" w:after="100" w:afterAutospacing="1"/>
      <w:ind w:firstLine="0"/>
      <w:jc w:val="left"/>
    </w:pPr>
    <w:rPr>
      <w:rFonts w:eastAsia="Times New Roman" w:cs="Times New Roman"/>
      <w:sz w:val="24"/>
      <w:szCs w:val="24"/>
      <w:lang w:eastAsia="ru-RU"/>
    </w:rPr>
  </w:style>
  <w:style w:type="paragraph" w:customStyle="1" w:styleId="p3">
    <w:name w:val="p3"/>
    <w:basedOn w:val="a3"/>
    <w:qFormat/>
    <w:rsid w:val="00F15E04"/>
    <w:pPr>
      <w:spacing w:before="100" w:beforeAutospacing="1" w:after="100" w:afterAutospacing="1"/>
      <w:ind w:firstLine="0"/>
      <w:jc w:val="left"/>
    </w:pPr>
    <w:rPr>
      <w:rFonts w:eastAsia="Times New Roman" w:cs="Times New Roman"/>
      <w:sz w:val="24"/>
      <w:szCs w:val="24"/>
      <w:lang w:eastAsia="ru-RU"/>
    </w:rPr>
  </w:style>
  <w:style w:type="table" w:customStyle="1" w:styleId="2b">
    <w:name w:val="Сетка таблицы2"/>
    <w:basedOn w:val="a5"/>
    <w:next w:val="aff4"/>
    <w:rsid w:val="00F15E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Текст приказа"/>
    <w:basedOn w:val="a3"/>
    <w:uiPriority w:val="99"/>
    <w:qFormat/>
    <w:rsid w:val="00F15E04"/>
    <w:pPr>
      <w:spacing w:line="360" w:lineRule="auto"/>
      <w:ind w:firstLine="851"/>
    </w:pPr>
    <w:rPr>
      <w:rFonts w:ascii="Arial" w:eastAsia="Times New Roman" w:hAnsi="Arial" w:cs="Times New Roman"/>
      <w:sz w:val="24"/>
      <w:szCs w:val="20"/>
      <w:lang w:eastAsia="ru-RU"/>
    </w:rPr>
  </w:style>
  <w:style w:type="character" w:customStyle="1" w:styleId="afff0">
    <w:name w:val="Цветовое выделение для Нормальный"/>
    <w:uiPriority w:val="99"/>
    <w:rsid w:val="00F15E04"/>
    <w:rPr>
      <w:sz w:val="20"/>
    </w:rPr>
  </w:style>
  <w:style w:type="paragraph" w:customStyle="1" w:styleId="1e">
    <w:name w:val="Основной текст1"/>
    <w:basedOn w:val="a3"/>
    <w:link w:val="Bodytext"/>
    <w:qFormat/>
    <w:rsid w:val="00F15E04"/>
    <w:pPr>
      <w:widowControl w:val="0"/>
      <w:shd w:val="clear" w:color="auto" w:fill="FFFFFF"/>
      <w:spacing w:before="420" w:line="320" w:lineRule="exact"/>
      <w:ind w:firstLine="0"/>
    </w:pPr>
    <w:rPr>
      <w:rFonts w:eastAsia="Times New Roman"/>
      <w:spacing w:val="6"/>
      <w:sz w:val="22"/>
    </w:rPr>
  </w:style>
  <w:style w:type="character" w:customStyle="1" w:styleId="2c">
    <w:name w:val="Основной текст (2)_"/>
    <w:locked/>
    <w:rsid w:val="006038DA"/>
    <w:rPr>
      <w:rFonts w:eastAsia="Times New Roman" w:cs="Times New Roman"/>
      <w:spacing w:val="1"/>
      <w:shd w:val="clear" w:color="auto" w:fill="FFFFFF"/>
    </w:rPr>
  </w:style>
  <w:style w:type="paragraph" w:customStyle="1" w:styleId="afff1">
    <w:name w:val="Содержимое таблицы"/>
    <w:basedOn w:val="a3"/>
    <w:qFormat/>
    <w:rsid w:val="006038DA"/>
    <w:pPr>
      <w:suppressLineNumbers/>
      <w:suppressAutoHyphens/>
      <w:ind w:firstLine="0"/>
      <w:jc w:val="left"/>
    </w:pPr>
    <w:rPr>
      <w:rFonts w:eastAsia="Times New Roman" w:cs="Times New Roman"/>
      <w:sz w:val="24"/>
      <w:szCs w:val="24"/>
      <w:lang w:eastAsia="ar-SA"/>
    </w:rPr>
  </w:style>
  <w:style w:type="character" w:customStyle="1" w:styleId="CharAttribute0">
    <w:name w:val="CharAttribute0"/>
    <w:uiPriority w:val="99"/>
    <w:rsid w:val="006038DA"/>
    <w:rPr>
      <w:rFonts w:ascii="Times New Roman" w:hAnsi="Times New Roman"/>
      <w:sz w:val="28"/>
    </w:rPr>
  </w:style>
  <w:style w:type="paragraph" w:customStyle="1" w:styleId="310">
    <w:name w:val="Основной текст с отступом 31"/>
    <w:basedOn w:val="a3"/>
    <w:qFormat/>
    <w:rsid w:val="006038DA"/>
    <w:pPr>
      <w:suppressAutoHyphens/>
      <w:ind w:firstLine="567"/>
      <w:jc w:val="left"/>
    </w:pPr>
    <w:rPr>
      <w:rFonts w:cs="Times New Roman"/>
      <w:color w:val="000000"/>
      <w:kern w:val="1"/>
      <w:sz w:val="20"/>
      <w:szCs w:val="20"/>
      <w:lang w:eastAsia="hi-IN" w:bidi="hi-IN"/>
    </w:rPr>
  </w:style>
  <w:style w:type="character" w:customStyle="1" w:styleId="17pt">
    <w:name w:val="Основной текст + 17 pt"/>
    <w:rsid w:val="006038DA"/>
    <w:rPr>
      <w:rFonts w:ascii="Times New Roman" w:hAnsi="Times New Roman"/>
      <w:sz w:val="34"/>
      <w:u w:val="none"/>
    </w:rPr>
  </w:style>
  <w:style w:type="character" w:customStyle="1" w:styleId="afff2">
    <w:name w:val="Текст концевой сноски Знак"/>
    <w:link w:val="afff3"/>
    <w:uiPriority w:val="99"/>
    <w:semiHidden/>
    <w:locked/>
    <w:rsid w:val="006038DA"/>
    <w:rPr>
      <w:rFonts w:ascii="Calibri" w:hAnsi="Calibri" w:cs="Times New Roman"/>
      <w:sz w:val="20"/>
      <w:szCs w:val="20"/>
    </w:rPr>
  </w:style>
  <w:style w:type="paragraph" w:styleId="afff3">
    <w:name w:val="endnote text"/>
    <w:basedOn w:val="a3"/>
    <w:link w:val="afff2"/>
    <w:uiPriority w:val="99"/>
    <w:semiHidden/>
    <w:rsid w:val="006038DA"/>
    <w:pPr>
      <w:ind w:firstLine="0"/>
      <w:jc w:val="left"/>
    </w:pPr>
    <w:rPr>
      <w:rFonts w:ascii="Calibri" w:hAnsi="Calibri" w:cs="Times New Roman"/>
      <w:sz w:val="20"/>
      <w:szCs w:val="20"/>
    </w:rPr>
  </w:style>
  <w:style w:type="character" w:customStyle="1" w:styleId="1f">
    <w:name w:val="Текст концевой сноски Знак1"/>
    <w:basedOn w:val="a4"/>
    <w:uiPriority w:val="99"/>
    <w:semiHidden/>
    <w:rsid w:val="006038DA"/>
    <w:rPr>
      <w:rFonts w:ascii="Times New Roman" w:hAnsi="Times New Roman"/>
      <w:sz w:val="20"/>
      <w:szCs w:val="20"/>
    </w:rPr>
  </w:style>
  <w:style w:type="character" w:customStyle="1" w:styleId="EndnoteTextChar1">
    <w:name w:val="Endnote Text Char1"/>
    <w:uiPriority w:val="99"/>
    <w:semiHidden/>
    <w:rsid w:val="006038DA"/>
    <w:rPr>
      <w:rFonts w:ascii="Calibri" w:hAnsi="Calibri"/>
      <w:sz w:val="20"/>
      <w:szCs w:val="20"/>
      <w:lang w:eastAsia="en-US"/>
    </w:rPr>
  </w:style>
  <w:style w:type="character" w:customStyle="1" w:styleId="CommentSubjectChar1">
    <w:name w:val="Comment Subject Char1"/>
    <w:uiPriority w:val="99"/>
    <w:semiHidden/>
    <w:rsid w:val="006038DA"/>
    <w:rPr>
      <w:rFonts w:ascii="Calibri" w:hAnsi="Calibri" w:cs="Times New Roman"/>
      <w:b/>
      <w:bCs/>
      <w:sz w:val="20"/>
      <w:szCs w:val="20"/>
      <w:lang w:eastAsia="en-US"/>
    </w:rPr>
  </w:style>
  <w:style w:type="paragraph" w:styleId="afff4">
    <w:name w:val="Revision"/>
    <w:hidden/>
    <w:uiPriority w:val="99"/>
    <w:semiHidden/>
    <w:rsid w:val="006038DA"/>
    <w:pPr>
      <w:spacing w:after="0" w:line="240" w:lineRule="auto"/>
    </w:pPr>
    <w:rPr>
      <w:rFonts w:ascii="Calibri" w:eastAsia="Calibri" w:hAnsi="Calibri" w:cs="Times New Roman"/>
    </w:rPr>
  </w:style>
  <w:style w:type="paragraph" w:customStyle="1" w:styleId="p1mailrucssattributepostfix">
    <w:name w:val="p1_mailru_css_attribute_postfix"/>
    <w:basedOn w:val="a3"/>
    <w:uiPriority w:val="99"/>
    <w:qFormat/>
    <w:rsid w:val="006038DA"/>
    <w:pPr>
      <w:spacing w:before="100" w:beforeAutospacing="1" w:after="100" w:afterAutospacing="1"/>
      <w:ind w:firstLine="0"/>
      <w:jc w:val="left"/>
    </w:pPr>
    <w:rPr>
      <w:rFonts w:eastAsia="Times New Roman" w:cs="Times New Roman"/>
      <w:sz w:val="24"/>
      <w:szCs w:val="24"/>
      <w:lang w:eastAsia="ru-RU"/>
    </w:rPr>
  </w:style>
  <w:style w:type="character" w:customStyle="1" w:styleId="s1mailrucssattributepostfix">
    <w:name w:val="s1_mailru_css_attribute_postfix"/>
    <w:uiPriority w:val="99"/>
    <w:rsid w:val="006038DA"/>
  </w:style>
  <w:style w:type="character" w:customStyle="1" w:styleId="apple-converted-spacemailrucssattributepostfix">
    <w:name w:val="apple-converted-space_mailru_css_attribute_postfix"/>
    <w:uiPriority w:val="99"/>
    <w:rsid w:val="006038DA"/>
  </w:style>
  <w:style w:type="paragraph" w:customStyle="1" w:styleId="msonormalmailrucssattributepostfixmailrucssattributepostfix">
    <w:name w:val="msonormal_mailru_css_attribute_postfix_mailru_css_attribute_postfix"/>
    <w:basedOn w:val="a3"/>
    <w:uiPriority w:val="99"/>
    <w:qFormat/>
    <w:rsid w:val="006038DA"/>
    <w:pPr>
      <w:spacing w:before="100" w:beforeAutospacing="1" w:after="100" w:afterAutospacing="1"/>
      <w:ind w:firstLine="0"/>
      <w:jc w:val="left"/>
    </w:pPr>
    <w:rPr>
      <w:rFonts w:eastAsia="Times New Roman" w:cs="Times New Roman"/>
      <w:sz w:val="24"/>
      <w:szCs w:val="24"/>
      <w:lang w:eastAsia="ru-RU"/>
    </w:rPr>
  </w:style>
  <w:style w:type="character" w:customStyle="1" w:styleId="b-articleintro">
    <w:name w:val="b-article__intro"/>
    <w:rsid w:val="006038DA"/>
  </w:style>
  <w:style w:type="paragraph" w:customStyle="1" w:styleId="ConsPlusCell">
    <w:name w:val="ConsPlusCell"/>
    <w:uiPriority w:val="99"/>
    <w:qFormat/>
    <w:rsid w:val="006038DA"/>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37">
    <w:name w:val="Сетка таблицы3"/>
    <w:basedOn w:val="a5"/>
    <w:next w:val="aff4"/>
    <w:rsid w:val="006038D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Основной текст Знак1"/>
    <w:rsid w:val="006038DA"/>
    <w:rPr>
      <w:sz w:val="22"/>
      <w:szCs w:val="22"/>
      <w:lang w:eastAsia="en-US"/>
    </w:rPr>
  </w:style>
  <w:style w:type="character" w:styleId="afff5">
    <w:name w:val="page number"/>
    <w:basedOn w:val="a4"/>
    <w:rsid w:val="006038DA"/>
  </w:style>
  <w:style w:type="paragraph" w:customStyle="1" w:styleId="msonormalcxspmiddle">
    <w:name w:val="msonormalcxspmiddle"/>
    <w:basedOn w:val="a3"/>
    <w:qFormat/>
    <w:rsid w:val="006038DA"/>
    <w:pPr>
      <w:spacing w:before="100" w:beforeAutospacing="1" w:after="100" w:afterAutospacing="1"/>
    </w:pPr>
    <w:rPr>
      <w:rFonts w:eastAsia="Times New Roman" w:cs="Times New Roman"/>
      <w:sz w:val="24"/>
      <w:szCs w:val="24"/>
      <w:lang w:eastAsia="ru-RU"/>
    </w:rPr>
  </w:style>
  <w:style w:type="character" w:customStyle="1" w:styleId="Bodytext">
    <w:name w:val="Body text_"/>
    <w:link w:val="1e"/>
    <w:rsid w:val="006038DA"/>
    <w:rPr>
      <w:rFonts w:ascii="Times New Roman" w:eastAsia="Times New Roman" w:hAnsi="Times New Roman"/>
      <w:spacing w:val="6"/>
      <w:shd w:val="clear" w:color="auto" w:fill="FFFFFF"/>
    </w:rPr>
  </w:style>
  <w:style w:type="character" w:customStyle="1" w:styleId="s3">
    <w:name w:val="s3"/>
    <w:rsid w:val="006038DA"/>
    <w:rPr>
      <w:rFonts w:cs="Times New Roman"/>
    </w:rPr>
  </w:style>
  <w:style w:type="paragraph" w:customStyle="1" w:styleId="1f1">
    <w:name w:val="Знак Знак1 Знак Знак Знак Знак Знак Знак"/>
    <w:basedOn w:val="a3"/>
    <w:qFormat/>
    <w:rsid w:val="006038DA"/>
    <w:pPr>
      <w:spacing w:before="60" w:after="160" w:line="240" w:lineRule="exact"/>
    </w:pPr>
    <w:rPr>
      <w:rFonts w:ascii="Verdana" w:eastAsia="Times New Roman" w:hAnsi="Verdana" w:cs="Times New Roman"/>
      <w:sz w:val="20"/>
      <w:szCs w:val="20"/>
      <w:lang w:val="en-US"/>
    </w:rPr>
  </w:style>
  <w:style w:type="paragraph" w:customStyle="1" w:styleId="1f2">
    <w:name w:val="Знак Знак1 Знак Знак Знак Знак"/>
    <w:basedOn w:val="a3"/>
    <w:qFormat/>
    <w:rsid w:val="006038DA"/>
    <w:pPr>
      <w:spacing w:before="60" w:after="160" w:line="240" w:lineRule="exact"/>
    </w:pPr>
    <w:rPr>
      <w:rFonts w:ascii="Verdana" w:eastAsia="Times New Roman" w:hAnsi="Verdana" w:cs="Times New Roman"/>
      <w:sz w:val="20"/>
      <w:szCs w:val="20"/>
      <w:lang w:val="en-US"/>
    </w:rPr>
  </w:style>
  <w:style w:type="character" w:customStyle="1" w:styleId="2d">
    <w:name w:val="Заголовок №2"/>
    <w:rsid w:val="006038DA"/>
    <w:rPr>
      <w:rFonts w:eastAsia="DejaVu Sans"/>
      <w:b/>
      <w:bCs/>
      <w:sz w:val="22"/>
      <w:szCs w:val="22"/>
      <w:lang w:val="ru-RU" w:eastAsia="ja-JP" w:bidi="ar-SA"/>
    </w:rPr>
  </w:style>
  <w:style w:type="character" w:customStyle="1" w:styleId="250">
    <w:name w:val="Заголовок №25"/>
    <w:rsid w:val="006038DA"/>
    <w:rPr>
      <w:rFonts w:eastAsia="DejaVu Sans"/>
      <w:b/>
      <w:bCs/>
      <w:noProof/>
      <w:sz w:val="22"/>
      <w:szCs w:val="22"/>
      <w:lang w:val="ru-RU" w:eastAsia="ja-JP" w:bidi="ar-SA"/>
    </w:rPr>
  </w:style>
  <w:style w:type="paragraph" w:customStyle="1" w:styleId="1f3">
    <w:name w:val="Красная строка1"/>
    <w:basedOn w:val="af7"/>
    <w:qFormat/>
    <w:rsid w:val="006038DA"/>
    <w:pPr>
      <w:suppressAutoHyphens w:val="0"/>
      <w:overflowPunct w:val="0"/>
      <w:autoSpaceDE w:val="0"/>
      <w:autoSpaceDN w:val="0"/>
      <w:adjustRightInd w:val="0"/>
      <w:spacing w:after="60" w:line="240" w:lineRule="auto"/>
      <w:ind w:firstLine="709"/>
      <w:jc w:val="both"/>
    </w:pPr>
    <w:rPr>
      <w:szCs w:val="20"/>
      <w:lang w:val="x-none" w:eastAsia="ru-RU"/>
    </w:rPr>
  </w:style>
  <w:style w:type="paragraph" w:customStyle="1" w:styleId="CharChar">
    <w:name w:val="Char Char"/>
    <w:basedOn w:val="a3"/>
    <w:qFormat/>
    <w:rsid w:val="006038DA"/>
    <w:pPr>
      <w:spacing w:after="160" w:line="240" w:lineRule="exact"/>
      <w:ind w:firstLine="0"/>
      <w:jc w:val="left"/>
    </w:pPr>
    <w:rPr>
      <w:rFonts w:ascii="Verdana" w:eastAsia="Times New Roman" w:hAnsi="Verdana" w:cs="Times New Roman"/>
      <w:sz w:val="20"/>
      <w:szCs w:val="20"/>
      <w:lang w:val="en-US"/>
    </w:rPr>
  </w:style>
  <w:style w:type="character" w:customStyle="1" w:styleId="350">
    <w:name w:val="Основной текст (3)5"/>
    <w:uiPriority w:val="99"/>
    <w:rsid w:val="006038DA"/>
    <w:rPr>
      <w:rFonts w:ascii="Times New Roman" w:hAnsi="Times New Roman" w:cs="Times New Roman"/>
      <w:spacing w:val="0"/>
      <w:sz w:val="26"/>
      <w:szCs w:val="19"/>
      <w:shd w:val="clear" w:color="auto" w:fill="FFFFFF"/>
    </w:rPr>
  </w:style>
  <w:style w:type="character" w:styleId="afff6">
    <w:name w:val="FollowedHyperlink"/>
    <w:uiPriority w:val="99"/>
    <w:unhideWhenUsed/>
    <w:rsid w:val="006038DA"/>
    <w:rPr>
      <w:color w:val="800080"/>
      <w:u w:val="single"/>
    </w:rPr>
  </w:style>
  <w:style w:type="paragraph" w:customStyle="1" w:styleId="1f4">
    <w:name w:val="Обычный (веб)1"/>
    <w:basedOn w:val="a3"/>
    <w:qFormat/>
    <w:rsid w:val="006038DA"/>
    <w:pPr>
      <w:suppressAutoHyphens/>
      <w:spacing w:before="28" w:after="100" w:line="100" w:lineRule="atLeast"/>
      <w:ind w:firstLine="0"/>
      <w:jc w:val="left"/>
    </w:pPr>
    <w:rPr>
      <w:rFonts w:eastAsia="Times New Roman" w:cs="Times New Roman"/>
      <w:kern w:val="1"/>
      <w:sz w:val="24"/>
      <w:szCs w:val="24"/>
      <w:lang w:eastAsia="ar-SA"/>
    </w:rPr>
  </w:style>
  <w:style w:type="character" w:customStyle="1" w:styleId="ConsPlusNonformat0">
    <w:name w:val="ConsPlusNonformat Знак"/>
    <w:link w:val="ConsPlusNonformat"/>
    <w:uiPriority w:val="99"/>
    <w:locked/>
    <w:rsid w:val="006038DA"/>
    <w:rPr>
      <w:rFonts w:ascii="Courier New" w:eastAsia="Calibri" w:hAnsi="Courier New" w:cs="Courier New"/>
      <w:sz w:val="20"/>
      <w:szCs w:val="20"/>
      <w:lang w:eastAsia="ru-RU"/>
    </w:rPr>
  </w:style>
  <w:style w:type="paragraph" w:customStyle="1" w:styleId="p28">
    <w:name w:val="p28"/>
    <w:basedOn w:val="a3"/>
    <w:qFormat/>
    <w:rsid w:val="006038DA"/>
    <w:pPr>
      <w:spacing w:before="100" w:beforeAutospacing="1" w:after="100" w:afterAutospacing="1"/>
      <w:ind w:firstLine="0"/>
      <w:jc w:val="left"/>
    </w:pPr>
    <w:rPr>
      <w:rFonts w:eastAsia="Times New Roman" w:cs="Times New Roman"/>
      <w:sz w:val="24"/>
      <w:szCs w:val="24"/>
      <w:lang w:eastAsia="ru-RU"/>
    </w:rPr>
  </w:style>
  <w:style w:type="character" w:customStyle="1" w:styleId="s9">
    <w:name w:val="s9"/>
    <w:rsid w:val="006038DA"/>
  </w:style>
  <w:style w:type="character" w:customStyle="1" w:styleId="s2">
    <w:name w:val="s2"/>
    <w:rsid w:val="006038DA"/>
  </w:style>
  <w:style w:type="table" w:customStyle="1" w:styleId="41">
    <w:name w:val="Сетка таблицы4"/>
    <w:basedOn w:val="a5"/>
    <w:next w:val="aff4"/>
    <w:rsid w:val="006038D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
    <w:name w:val="Цитата 21"/>
    <w:rsid w:val="006038DA"/>
  </w:style>
  <w:style w:type="character" w:customStyle="1" w:styleId="70">
    <w:name w:val="Заголовок 7 Знак"/>
    <w:basedOn w:val="a4"/>
    <w:link w:val="7"/>
    <w:uiPriority w:val="9"/>
    <w:rsid w:val="00001EEA"/>
    <w:rPr>
      <w:rFonts w:ascii="Times New Roman" w:eastAsia="Times New Roman" w:hAnsi="Times New Roman" w:cs="Times New Roman"/>
      <w:sz w:val="24"/>
      <w:szCs w:val="24"/>
      <w:lang w:eastAsia="ru-RU"/>
    </w:rPr>
  </w:style>
  <w:style w:type="paragraph" w:customStyle="1" w:styleId="marker-quote3">
    <w:name w:val="marker-quote3"/>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u">
    <w:name w:val="u"/>
    <w:basedOn w:val="a3"/>
    <w:qFormat/>
    <w:rsid w:val="00001EEA"/>
    <w:pPr>
      <w:ind w:firstLine="390"/>
    </w:pPr>
    <w:rPr>
      <w:rFonts w:eastAsia="Times New Roman" w:cs="Times New Roman"/>
      <w:sz w:val="24"/>
      <w:szCs w:val="24"/>
      <w:lang w:eastAsia="ru-RU"/>
    </w:rPr>
  </w:style>
  <w:style w:type="paragraph" w:customStyle="1" w:styleId="afff7">
    <w:name w:val="Базовый"/>
    <w:qFormat/>
    <w:rsid w:val="00001EEA"/>
    <w:pPr>
      <w:tabs>
        <w:tab w:val="left" w:pos="708"/>
      </w:tabs>
      <w:suppressAutoHyphens/>
      <w:spacing w:after="200" w:line="276" w:lineRule="auto"/>
    </w:pPr>
    <w:rPr>
      <w:rFonts w:ascii="Calibri" w:hAnsi="Calibri" w:cs="Times New Roman"/>
      <w:color w:val="00000A"/>
    </w:rPr>
  </w:style>
  <w:style w:type="paragraph" w:customStyle="1" w:styleId="38">
    <w:name w:val="Абзац списка3"/>
    <w:basedOn w:val="a3"/>
    <w:qFormat/>
    <w:rsid w:val="00001EEA"/>
    <w:pPr>
      <w:suppressAutoHyphens/>
      <w:ind w:left="720" w:firstLine="0"/>
      <w:jc w:val="left"/>
    </w:pPr>
    <w:rPr>
      <w:rFonts w:eastAsia="Lucida Sans Unicode" w:cs="Mangal"/>
      <w:kern w:val="1"/>
      <w:sz w:val="24"/>
      <w:szCs w:val="24"/>
      <w:lang w:eastAsia="hi-IN" w:bidi="hi-IN"/>
    </w:rPr>
  </w:style>
  <w:style w:type="paragraph" w:customStyle="1" w:styleId="just">
    <w:name w:val="just"/>
    <w:basedOn w:val="a3"/>
    <w:qFormat/>
    <w:rsid w:val="00001EEA"/>
    <w:pPr>
      <w:spacing w:before="120" w:after="120"/>
      <w:ind w:firstLine="0"/>
    </w:pPr>
    <w:rPr>
      <w:rFonts w:eastAsia="Times New Roman" w:cs="Times New Roman"/>
      <w:sz w:val="24"/>
      <w:szCs w:val="24"/>
      <w:lang w:eastAsia="ru-RU"/>
    </w:rPr>
  </w:style>
  <w:style w:type="paragraph" w:customStyle="1" w:styleId="afff8">
    <w:name w:val="Знак"/>
    <w:basedOn w:val="a3"/>
    <w:rsid w:val="00001EEA"/>
    <w:pPr>
      <w:spacing w:after="160" w:line="240" w:lineRule="exact"/>
      <w:ind w:firstLine="0"/>
      <w:jc w:val="left"/>
    </w:pPr>
    <w:rPr>
      <w:rFonts w:ascii="Verdana" w:eastAsia="Times New Roman" w:hAnsi="Verdana" w:cs="Verdana"/>
      <w:sz w:val="20"/>
      <w:szCs w:val="20"/>
      <w:lang w:val="en-US"/>
    </w:rPr>
  </w:style>
  <w:style w:type="paragraph" w:customStyle="1" w:styleId="FORMATTEXT0">
    <w:name w:val=".FORMATTEXT"/>
    <w:qFormat/>
    <w:rsid w:val="00001EE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9">
    <w:name w:val="Body Text First Indent"/>
    <w:basedOn w:val="af7"/>
    <w:link w:val="afffa"/>
    <w:uiPriority w:val="99"/>
    <w:rsid w:val="00001EEA"/>
    <w:pPr>
      <w:suppressAutoHyphens w:val="0"/>
      <w:spacing w:line="240" w:lineRule="auto"/>
      <w:ind w:firstLine="210"/>
    </w:pPr>
    <w:rPr>
      <w:lang w:eastAsia="ru-RU"/>
    </w:rPr>
  </w:style>
  <w:style w:type="character" w:customStyle="1" w:styleId="afffa">
    <w:name w:val="Красная строка Знак"/>
    <w:basedOn w:val="af8"/>
    <w:link w:val="afff9"/>
    <w:uiPriority w:val="99"/>
    <w:rsid w:val="00001EEA"/>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msobodytextcxspmiddle">
    <w:name w:val="msobodytextcxspmiddle"/>
    <w:basedOn w:val="a3"/>
    <w:qFormat/>
    <w:rsid w:val="00001EEA"/>
    <w:pPr>
      <w:spacing w:before="100" w:beforeAutospacing="1" w:after="100" w:afterAutospacing="1"/>
      <w:ind w:firstLine="0"/>
      <w:jc w:val="left"/>
    </w:pPr>
    <w:rPr>
      <w:rFonts w:eastAsia="Times New Roman" w:cs="Times New Roman"/>
      <w:sz w:val="24"/>
      <w:szCs w:val="24"/>
      <w:lang w:eastAsia="ru-RU"/>
    </w:rPr>
  </w:style>
  <w:style w:type="character" w:customStyle="1" w:styleId="FontStyle13">
    <w:name w:val="Font Style13"/>
    <w:qFormat/>
    <w:rsid w:val="00001EEA"/>
    <w:rPr>
      <w:rFonts w:ascii="Times New Roman" w:hAnsi="Times New Roman" w:cs="Times New Roman"/>
      <w:sz w:val="22"/>
      <w:szCs w:val="22"/>
    </w:rPr>
  </w:style>
  <w:style w:type="character" w:customStyle="1" w:styleId="FontStyle88">
    <w:name w:val="Font Style88"/>
    <w:rsid w:val="00001EEA"/>
    <w:rPr>
      <w:rFonts w:ascii="Times New Roman" w:hAnsi="Times New Roman" w:cs="Times New Roman" w:hint="default"/>
      <w:sz w:val="26"/>
      <w:szCs w:val="26"/>
    </w:rPr>
  </w:style>
  <w:style w:type="paragraph" w:customStyle="1" w:styleId="announcement">
    <w:name w:val="announcement"/>
    <w:basedOn w:val="a3"/>
    <w:qFormat/>
    <w:rsid w:val="00001EEA"/>
    <w:pPr>
      <w:spacing w:before="100" w:after="100" w:line="100" w:lineRule="atLeast"/>
      <w:ind w:firstLine="0"/>
      <w:jc w:val="left"/>
    </w:pPr>
    <w:rPr>
      <w:rFonts w:eastAsia="Times New Roman" w:cs="Times New Roman"/>
      <w:sz w:val="24"/>
      <w:szCs w:val="24"/>
      <w:lang w:eastAsia="ar-SA"/>
    </w:rPr>
  </w:style>
  <w:style w:type="paragraph" w:customStyle="1" w:styleId="person0">
    <w:name w:val="person_0"/>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2e">
    <w:name w:val="Обычный2"/>
    <w:qFormat/>
    <w:rsid w:val="00001EEA"/>
    <w:pPr>
      <w:spacing w:after="0" w:line="100" w:lineRule="atLeast"/>
      <w:jc w:val="center"/>
    </w:pPr>
    <w:rPr>
      <w:rFonts w:ascii="Times New Roman" w:eastAsia="Calibri" w:hAnsi="Times New Roman" w:cs="Times New Roman"/>
      <w:sz w:val="28"/>
      <w:szCs w:val="28"/>
      <w:lang w:eastAsia="ar-SA"/>
    </w:rPr>
  </w:style>
  <w:style w:type="character" w:customStyle="1" w:styleId="1f5">
    <w:name w:val="Основной шрифт абзаца1"/>
    <w:qFormat/>
    <w:rsid w:val="00001EEA"/>
  </w:style>
  <w:style w:type="paragraph" w:styleId="HTML">
    <w:name w:val="HTML Preformatted"/>
    <w:basedOn w:val="a3"/>
    <w:link w:val="HTML0"/>
    <w:rsid w:val="00001E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001EEA"/>
    <w:rPr>
      <w:rFonts w:ascii="Courier New" w:eastAsia="Times New Roman" w:hAnsi="Courier New" w:cs="Courier New"/>
      <w:sz w:val="20"/>
      <w:szCs w:val="20"/>
      <w:lang w:eastAsia="ru-RU"/>
    </w:rPr>
  </w:style>
  <w:style w:type="paragraph" w:customStyle="1" w:styleId="a">
    <w:name w:val="Анкета"/>
    <w:basedOn w:val="a3"/>
    <w:qFormat/>
    <w:rsid w:val="00001EEA"/>
    <w:pPr>
      <w:numPr>
        <w:ilvl w:val="1"/>
        <w:numId w:val="3"/>
      </w:numPr>
      <w:jc w:val="left"/>
    </w:pPr>
    <w:rPr>
      <w:rFonts w:eastAsia="Times New Roman" w:cs="Times New Roman"/>
      <w:sz w:val="20"/>
      <w:szCs w:val="20"/>
      <w:lang w:eastAsia="ru-RU"/>
    </w:rPr>
  </w:style>
  <w:style w:type="paragraph" w:customStyle="1" w:styleId="afffb">
    <w:name w:val="Знак Знак Знак Знак Знак Знак Знак Знак Знак Знак"/>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par">
    <w:name w:val="par"/>
    <w:basedOn w:val="a3"/>
    <w:qFormat/>
    <w:rsid w:val="00001EEA"/>
    <w:pPr>
      <w:spacing w:before="100" w:beforeAutospacing="1" w:after="100" w:afterAutospacing="1"/>
      <w:ind w:firstLine="0"/>
      <w:jc w:val="left"/>
    </w:pPr>
    <w:rPr>
      <w:rFonts w:eastAsia="Times New Roman" w:cs="Times New Roman"/>
      <w:sz w:val="19"/>
      <w:szCs w:val="19"/>
      <w:lang w:eastAsia="ru-RU"/>
    </w:rPr>
  </w:style>
  <w:style w:type="paragraph" w:customStyle="1" w:styleId="MTDisplayEquation">
    <w:name w:val="MTDisplayEquation"/>
    <w:basedOn w:val="a3"/>
    <w:next w:val="a3"/>
    <w:qFormat/>
    <w:rsid w:val="00001EEA"/>
    <w:pPr>
      <w:tabs>
        <w:tab w:val="center" w:pos="4680"/>
        <w:tab w:val="right" w:pos="9360"/>
      </w:tabs>
    </w:pPr>
    <w:rPr>
      <w:rFonts w:eastAsia="Times New Roman" w:cs="Times New Roman"/>
      <w:szCs w:val="28"/>
    </w:rPr>
  </w:style>
  <w:style w:type="paragraph" w:customStyle="1" w:styleId="ConsNormal">
    <w:name w:val="ConsNormal"/>
    <w:qFormat/>
    <w:rsid w:val="00001EEA"/>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styleId="2f">
    <w:name w:val="Body Text First Indent 2"/>
    <w:basedOn w:val="afe"/>
    <w:link w:val="2f0"/>
    <w:unhideWhenUsed/>
    <w:rsid w:val="00001EEA"/>
    <w:pPr>
      <w:spacing w:line="360" w:lineRule="auto"/>
      <w:ind w:firstLine="210"/>
      <w:jc w:val="both"/>
    </w:pPr>
    <w:rPr>
      <w:lang w:val="ru-RU" w:eastAsia="ru-RU"/>
    </w:rPr>
  </w:style>
  <w:style w:type="character" w:customStyle="1" w:styleId="2f0">
    <w:name w:val="Красная строка 2 Знак"/>
    <w:basedOn w:val="aff"/>
    <w:link w:val="2f"/>
    <w:rsid w:val="00001EEA"/>
    <w:rPr>
      <w:rFonts w:ascii="Times New Roman" w:eastAsia="Times New Roman" w:hAnsi="Times New Roman" w:cs="Times New Roman"/>
      <w:sz w:val="28"/>
      <w:szCs w:val="28"/>
      <w:lang w:val="x-none" w:eastAsia="ru-RU"/>
    </w:rPr>
  </w:style>
  <w:style w:type="paragraph" w:customStyle="1" w:styleId="normtext">
    <w:name w:val="normtext"/>
    <w:basedOn w:val="a3"/>
    <w:qFormat/>
    <w:rsid w:val="00001EEA"/>
    <w:pPr>
      <w:spacing w:before="240" w:after="480"/>
      <w:ind w:left="480" w:right="480" w:firstLine="480"/>
    </w:pPr>
    <w:rPr>
      <w:rFonts w:ascii="Verdana" w:eastAsia="Times New Roman" w:hAnsi="Verdana" w:cs="Times New Roman"/>
      <w:color w:val="666666"/>
      <w:sz w:val="18"/>
      <w:szCs w:val="18"/>
      <w:lang w:eastAsia="ru-RU"/>
    </w:rPr>
  </w:style>
  <w:style w:type="paragraph" w:customStyle="1" w:styleId="CharCharCharChar">
    <w:name w:val="Знак Знак Знак Знак Знак Знак Знак Знак Знак Char Char Знак Знак Char Char Знак Знак Знак Знак Знак Знак Знак"/>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1f6">
    <w:name w:val="Знак Знак Знак Знак Знак Знак Знак Знак Знак Знак1"/>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Normal1">
    <w:name w:val="Normal1"/>
    <w:qFormat/>
    <w:rsid w:val="00001EEA"/>
    <w:pPr>
      <w:spacing w:after="0" w:line="240" w:lineRule="auto"/>
    </w:pPr>
    <w:rPr>
      <w:rFonts w:ascii="Times New Roman" w:eastAsia="Times New Roman" w:hAnsi="Times New Roman" w:cs="Times New Roman"/>
      <w:sz w:val="20"/>
      <w:szCs w:val="20"/>
      <w:lang w:eastAsia="ru-RU"/>
    </w:rPr>
  </w:style>
  <w:style w:type="character" w:customStyle="1" w:styleId="scayt-misspell">
    <w:name w:val="scayt-misspell"/>
    <w:basedOn w:val="a4"/>
    <w:rsid w:val="00001EEA"/>
  </w:style>
  <w:style w:type="character" w:customStyle="1" w:styleId="apple-style-span">
    <w:name w:val="apple-style-span"/>
    <w:basedOn w:val="a4"/>
    <w:rsid w:val="00001EEA"/>
  </w:style>
  <w:style w:type="paragraph" w:customStyle="1" w:styleId="1f7">
    <w:name w:val="Знак1 Знак Знак Знак"/>
    <w:basedOn w:val="a3"/>
    <w:qFormat/>
    <w:rsid w:val="00001EEA"/>
    <w:pPr>
      <w:pageBreakBefore/>
      <w:spacing w:after="160" w:line="360" w:lineRule="auto"/>
      <w:ind w:firstLine="0"/>
      <w:jc w:val="left"/>
    </w:pPr>
    <w:rPr>
      <w:rFonts w:eastAsia="Times New Roman" w:cs="Times New Roman"/>
      <w:szCs w:val="20"/>
      <w:lang w:val="en-US"/>
    </w:rPr>
  </w:style>
  <w:style w:type="paragraph" w:customStyle="1" w:styleId="a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afffd">
    <w:name w:val="Стиль"/>
    <w:basedOn w:val="a3"/>
    <w:qFormat/>
    <w:rsid w:val="00001EEA"/>
    <w:pPr>
      <w:suppressAutoHyphens/>
      <w:autoSpaceDE w:val="0"/>
      <w:autoSpaceDN w:val="0"/>
      <w:adjustRightInd w:val="0"/>
      <w:spacing w:line="288" w:lineRule="auto"/>
      <w:ind w:firstLine="0"/>
      <w:jc w:val="left"/>
      <w:textAlignment w:val="baseline"/>
    </w:pPr>
    <w:rPr>
      <w:rFonts w:eastAsia="Times New Roman" w:cs="Times New Roman"/>
      <w:color w:val="000000"/>
      <w:sz w:val="24"/>
      <w:szCs w:val="24"/>
      <w:lang w:eastAsia="ru-RU"/>
    </w:rPr>
  </w:style>
  <w:style w:type="paragraph" w:styleId="a1">
    <w:name w:val="Plain Text"/>
    <w:basedOn w:val="a3"/>
    <w:link w:val="afffe"/>
    <w:qFormat/>
    <w:rsid w:val="00001EEA"/>
    <w:pPr>
      <w:numPr>
        <w:numId w:val="4"/>
      </w:numPr>
      <w:jc w:val="left"/>
    </w:pPr>
    <w:rPr>
      <w:rFonts w:ascii="Courier New" w:eastAsia="Times New Roman" w:hAnsi="Courier New" w:cs="Courier New"/>
      <w:sz w:val="20"/>
      <w:szCs w:val="20"/>
      <w:lang w:eastAsia="ru-RU"/>
    </w:rPr>
  </w:style>
  <w:style w:type="character" w:customStyle="1" w:styleId="afffe">
    <w:name w:val="Текст Знак"/>
    <w:basedOn w:val="a4"/>
    <w:link w:val="a1"/>
    <w:rsid w:val="00001EEA"/>
    <w:rPr>
      <w:rFonts w:ascii="Courier New" w:eastAsia="Times New Roman" w:hAnsi="Courier New" w:cs="Courier New"/>
      <w:sz w:val="20"/>
      <w:szCs w:val="20"/>
      <w:lang w:eastAsia="ru-RU"/>
    </w:rPr>
  </w:style>
  <w:style w:type="paragraph" w:styleId="affff">
    <w:name w:val="Document Map"/>
    <w:basedOn w:val="a3"/>
    <w:link w:val="affff0"/>
    <w:rsid w:val="00001EEA"/>
    <w:pPr>
      <w:shd w:val="clear" w:color="auto" w:fill="000080"/>
      <w:ind w:firstLine="0"/>
      <w:jc w:val="left"/>
    </w:pPr>
    <w:rPr>
      <w:rFonts w:ascii="Tahoma" w:eastAsia="Times New Roman" w:hAnsi="Tahoma" w:cs="Times New Roman"/>
      <w:sz w:val="20"/>
      <w:szCs w:val="20"/>
      <w:lang w:val="x-none" w:eastAsia="ru-RU"/>
    </w:rPr>
  </w:style>
  <w:style w:type="character" w:customStyle="1" w:styleId="affff0">
    <w:name w:val="Схема документа Знак"/>
    <w:basedOn w:val="a4"/>
    <w:link w:val="affff"/>
    <w:rsid w:val="00001EEA"/>
    <w:rPr>
      <w:rFonts w:ascii="Tahoma" w:eastAsia="Times New Roman" w:hAnsi="Tahoma" w:cs="Times New Roman"/>
      <w:sz w:val="20"/>
      <w:szCs w:val="20"/>
      <w:shd w:val="clear" w:color="auto" w:fill="000080"/>
      <w:lang w:val="x-none" w:eastAsia="ru-RU"/>
    </w:rPr>
  </w:style>
  <w:style w:type="character" w:customStyle="1" w:styleId="FontStyle197">
    <w:name w:val="Font Style197"/>
    <w:rsid w:val="00001EEA"/>
    <w:rPr>
      <w:rFonts w:ascii="Times New Roman" w:hAnsi="Times New Roman" w:cs="Times New Roman"/>
      <w:b/>
      <w:bCs/>
      <w:sz w:val="12"/>
      <w:szCs w:val="12"/>
    </w:rPr>
  </w:style>
  <w:style w:type="character" w:customStyle="1" w:styleId="FontStyle199">
    <w:name w:val="Font Style199"/>
    <w:rsid w:val="00001EEA"/>
    <w:rPr>
      <w:rFonts w:ascii="Times New Roman" w:hAnsi="Times New Roman" w:cs="Times New Roman"/>
      <w:sz w:val="12"/>
      <w:szCs w:val="12"/>
    </w:rPr>
  </w:style>
  <w:style w:type="paragraph" w:customStyle="1" w:styleId="affff1">
    <w:name w:val="Знак Знак Знак"/>
    <w:basedOn w:val="a3"/>
    <w:autoRedefine/>
    <w:qFormat/>
    <w:rsid w:val="00001EEA"/>
    <w:pPr>
      <w:keepLines/>
      <w:widowControl w:val="0"/>
      <w:autoSpaceDE w:val="0"/>
      <w:autoSpaceDN w:val="0"/>
      <w:adjustRightInd w:val="0"/>
      <w:spacing w:after="160"/>
      <w:ind w:firstLine="0"/>
      <w:jc w:val="center"/>
    </w:pPr>
    <w:rPr>
      <w:rFonts w:eastAsia="MS Mincho" w:cs="Times New Roman"/>
      <w:sz w:val="22"/>
    </w:rPr>
  </w:style>
  <w:style w:type="paragraph" w:customStyle="1" w:styleId="1f8">
    <w:name w:val="Знак Знак Знак Знак Знак Знак Знак1 Знак Знак Знак"/>
    <w:basedOn w:val="a3"/>
    <w:qFormat/>
    <w:rsid w:val="00001EEA"/>
    <w:pPr>
      <w:tabs>
        <w:tab w:val="num" w:pos="643"/>
      </w:tabs>
      <w:spacing w:after="160" w:line="240" w:lineRule="exact"/>
      <w:ind w:firstLine="0"/>
      <w:jc w:val="left"/>
    </w:pPr>
    <w:rPr>
      <w:rFonts w:ascii="Verdana" w:eastAsia="Times New Roman" w:hAnsi="Verdana" w:cs="Verdana"/>
      <w:sz w:val="20"/>
      <w:szCs w:val="20"/>
      <w:lang w:val="en-US"/>
    </w:rPr>
  </w:style>
  <w:style w:type="paragraph" w:customStyle="1" w:styleId="2f1">
    <w:name w:val="Знак Знак Знак Знак2"/>
    <w:basedOn w:val="a3"/>
    <w:qFormat/>
    <w:rsid w:val="00001EEA"/>
    <w:pPr>
      <w:spacing w:after="160" w:line="240" w:lineRule="exact"/>
      <w:ind w:firstLine="0"/>
    </w:pPr>
    <w:rPr>
      <w:rFonts w:ascii="Verdana" w:eastAsia="Times New Roman" w:hAnsi="Verdana" w:cs="Times New Roman"/>
      <w:sz w:val="20"/>
      <w:szCs w:val="20"/>
      <w:lang w:val="en-US"/>
    </w:rPr>
  </w:style>
  <w:style w:type="paragraph" w:customStyle="1" w:styleId="itemfulltext">
    <w:name w:val="itemfulltext"/>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111">
    <w:name w:val="Знак1 Знак Знак Знак1"/>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39">
    <w:name w:val="заголовок 3"/>
    <w:basedOn w:val="a3"/>
    <w:next w:val="a3"/>
    <w:qFormat/>
    <w:rsid w:val="00001EEA"/>
    <w:pPr>
      <w:keepNext/>
      <w:spacing w:line="360" w:lineRule="auto"/>
      <w:ind w:firstLine="0"/>
      <w:jc w:val="center"/>
      <w:outlineLvl w:val="2"/>
    </w:pPr>
    <w:rPr>
      <w:rFonts w:eastAsia="Times New Roman" w:cs="Times New Roman"/>
      <w:b/>
      <w:szCs w:val="20"/>
      <w:lang w:eastAsia="ru-RU"/>
    </w:rPr>
  </w:style>
  <w:style w:type="paragraph" w:customStyle="1" w:styleId="CharCharCharChar0">
    <w:name w:val="Знак Знак Знак Знак Знак Знак Знак Знак Знак Char Char Знак Знак Char Char Знак Знак Знак Знак"/>
    <w:basedOn w:val="a3"/>
    <w:qFormat/>
    <w:rsid w:val="00001EEA"/>
    <w:pPr>
      <w:spacing w:after="160" w:line="240" w:lineRule="exact"/>
      <w:ind w:firstLine="0"/>
      <w:jc w:val="left"/>
    </w:pPr>
    <w:rPr>
      <w:rFonts w:ascii="Verdana" w:eastAsia="Times New Roman" w:hAnsi="Verdana" w:cs="Times New Roman"/>
      <w:sz w:val="20"/>
      <w:szCs w:val="20"/>
      <w:lang w:val="en-US"/>
    </w:rPr>
  </w:style>
  <w:style w:type="paragraph" w:customStyle="1" w:styleId="1f9">
    <w:name w:val="Знак Знак Знак1 Знак"/>
    <w:basedOn w:val="a3"/>
    <w:qFormat/>
    <w:rsid w:val="00001EEA"/>
    <w:pPr>
      <w:spacing w:after="160" w:line="240" w:lineRule="exact"/>
      <w:ind w:firstLine="0"/>
      <w:jc w:val="left"/>
    </w:pPr>
    <w:rPr>
      <w:rFonts w:ascii="Verdana" w:eastAsia="Times New Roman" w:hAnsi="Verdana" w:cs="Times New Roman"/>
      <w:sz w:val="24"/>
      <w:szCs w:val="24"/>
      <w:lang w:val="en-US"/>
    </w:rPr>
  </w:style>
  <w:style w:type="character" w:customStyle="1" w:styleId="1fa">
    <w:name w:val="Знак Знак1"/>
    <w:rsid w:val="00001EEA"/>
    <w:rPr>
      <w:sz w:val="28"/>
      <w:lang w:val="ru-RU" w:eastAsia="ru-RU" w:bidi="ar-SA"/>
    </w:rPr>
  </w:style>
  <w:style w:type="paragraph" w:customStyle="1" w:styleId="2f2">
    <w:name w:val="Основной текст2"/>
    <w:basedOn w:val="a3"/>
    <w:qFormat/>
    <w:rsid w:val="00001EEA"/>
    <w:pPr>
      <w:shd w:val="clear" w:color="auto" w:fill="FFFFFF"/>
      <w:spacing w:before="240" w:line="259" w:lineRule="exact"/>
      <w:ind w:firstLine="0"/>
    </w:pPr>
    <w:rPr>
      <w:rFonts w:eastAsia="Times New Roman" w:cs="Times New Roman"/>
      <w:sz w:val="20"/>
      <w:szCs w:val="20"/>
      <w:shd w:val="clear" w:color="auto" w:fill="FFFFFF"/>
      <w:lang w:val="x-none" w:eastAsia="x-none"/>
    </w:rPr>
  </w:style>
  <w:style w:type="character" w:customStyle="1" w:styleId="QuoteChar">
    <w:name w:val="Quote Char"/>
    <w:locked/>
    <w:rsid w:val="00001EEA"/>
    <w:rPr>
      <w:i/>
      <w:iCs/>
      <w:color w:val="000000"/>
    </w:rPr>
  </w:style>
  <w:style w:type="paragraph" w:customStyle="1" w:styleId="affff2">
    <w:name w:val="График"/>
    <w:next w:val="a3"/>
    <w:qFormat/>
    <w:rsid w:val="00001EEA"/>
    <w:pPr>
      <w:keepNext/>
      <w:autoSpaceDE w:val="0"/>
      <w:autoSpaceDN w:val="0"/>
      <w:spacing w:after="240" w:line="240" w:lineRule="auto"/>
      <w:jc w:val="center"/>
    </w:pPr>
    <w:rPr>
      <w:rFonts w:ascii="Arial" w:eastAsia="Times New Roman" w:hAnsi="Arial" w:cs="Arial"/>
      <w:b/>
      <w:bCs/>
      <w:noProof/>
      <w:lang w:val="en-US" w:eastAsia="ru-RU"/>
    </w:rPr>
  </w:style>
  <w:style w:type="character" w:customStyle="1" w:styleId="s1">
    <w:name w:val="s1"/>
    <w:basedOn w:val="a4"/>
    <w:rsid w:val="00001EEA"/>
  </w:style>
  <w:style w:type="character" w:styleId="affff3">
    <w:name w:val="Subtle Emphasis"/>
    <w:qFormat/>
    <w:rsid w:val="00001EEA"/>
    <w:rPr>
      <w:i/>
      <w:iCs/>
      <w:color w:val="808080"/>
    </w:rPr>
  </w:style>
  <w:style w:type="paragraph" w:customStyle="1" w:styleId="a0">
    <w:name w:val="Стиль список цифр + полужирный"/>
    <w:basedOn w:val="a3"/>
    <w:qFormat/>
    <w:rsid w:val="00001EEA"/>
    <w:pPr>
      <w:numPr>
        <w:numId w:val="5"/>
      </w:numPr>
      <w:jc w:val="left"/>
    </w:pPr>
    <w:rPr>
      <w:rFonts w:eastAsia="Times New Roman" w:cs="Times New Roman"/>
      <w:b/>
      <w:bCs/>
      <w:szCs w:val="24"/>
      <w:lang w:eastAsia="ru-RU"/>
    </w:rPr>
  </w:style>
  <w:style w:type="character" w:customStyle="1" w:styleId="BodyTextChar">
    <w:name w:val="Body Text Char"/>
    <w:locked/>
    <w:rsid w:val="00001EEA"/>
    <w:rPr>
      <w:rFonts w:ascii="Times New Roman" w:hAnsi="Times New Roman" w:cs="Times New Roman"/>
      <w:spacing w:val="4"/>
      <w:sz w:val="20"/>
      <w:szCs w:val="20"/>
      <w:shd w:val="clear" w:color="auto" w:fill="FFFFFF"/>
    </w:rPr>
  </w:style>
  <w:style w:type="paragraph" w:customStyle="1" w:styleId="msonormalcxspmiddlecxspmiddlecxspmiddle">
    <w:name w:val="msonormalcxspmiddlecxspmiddlecxspmiddle"/>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a10">
    <w:name w:val="a1"/>
    <w:basedOn w:val="a3"/>
    <w:qFormat/>
    <w:rsid w:val="00001EEA"/>
    <w:pPr>
      <w:spacing w:before="100" w:beforeAutospacing="1" w:after="100" w:afterAutospacing="1"/>
      <w:ind w:firstLine="0"/>
      <w:jc w:val="left"/>
    </w:pPr>
    <w:rPr>
      <w:rFonts w:eastAsia="Times New Roman" w:cs="Times New Roman"/>
      <w:sz w:val="24"/>
      <w:szCs w:val="24"/>
      <w:lang w:eastAsia="ru-RU"/>
    </w:rPr>
  </w:style>
  <w:style w:type="character" w:customStyle="1" w:styleId="FontStyle12">
    <w:name w:val="Font Style12"/>
    <w:rsid w:val="00001EEA"/>
    <w:rPr>
      <w:rFonts w:ascii="Arial" w:hAnsi="Arial" w:cs="Arial"/>
      <w:b/>
      <w:bCs/>
      <w:sz w:val="30"/>
      <w:szCs w:val="30"/>
    </w:rPr>
  </w:style>
  <w:style w:type="paragraph" w:customStyle="1" w:styleId="Style2">
    <w:name w:val="Style2"/>
    <w:basedOn w:val="a3"/>
    <w:qFormat/>
    <w:rsid w:val="00001EEA"/>
    <w:pPr>
      <w:widowControl w:val="0"/>
      <w:autoSpaceDE w:val="0"/>
      <w:autoSpaceDN w:val="0"/>
      <w:adjustRightInd w:val="0"/>
      <w:ind w:firstLine="0"/>
      <w:jc w:val="left"/>
    </w:pPr>
    <w:rPr>
      <w:rFonts w:ascii="Arial" w:eastAsia="Times New Roman" w:hAnsi="Arial" w:cs="Arial"/>
      <w:sz w:val="24"/>
      <w:szCs w:val="24"/>
      <w:lang w:eastAsia="ru-RU"/>
    </w:rPr>
  </w:style>
  <w:style w:type="character" w:customStyle="1" w:styleId="docaccesstitle1">
    <w:name w:val="docaccess_title1"/>
    <w:rsid w:val="00001EEA"/>
    <w:rPr>
      <w:rFonts w:ascii="Times New Roman" w:hAnsi="Times New Roman"/>
      <w:sz w:val="28"/>
    </w:rPr>
  </w:style>
  <w:style w:type="character" w:customStyle="1" w:styleId="FontStyle27">
    <w:name w:val="Font Style27"/>
    <w:rsid w:val="00001EEA"/>
    <w:rPr>
      <w:rFonts w:ascii="Lucida Sans Unicode" w:hAnsi="Lucida Sans Unicode" w:cs="Lucida Sans Unicode"/>
      <w:b/>
      <w:bCs/>
      <w:sz w:val="20"/>
      <w:szCs w:val="20"/>
    </w:rPr>
  </w:style>
  <w:style w:type="paragraph" w:customStyle="1" w:styleId="1fb">
    <w:name w:val="Текст1"/>
    <w:basedOn w:val="a3"/>
    <w:qFormat/>
    <w:rsid w:val="00001EEA"/>
    <w:pPr>
      <w:suppressAutoHyphens/>
      <w:ind w:firstLine="0"/>
      <w:jc w:val="left"/>
    </w:pPr>
    <w:rPr>
      <w:rFonts w:ascii="Courier New" w:eastAsia="Calibri" w:hAnsi="Courier New" w:cs="Courier New"/>
      <w:sz w:val="20"/>
      <w:szCs w:val="20"/>
      <w:lang w:eastAsia="zh-CN"/>
    </w:rPr>
  </w:style>
  <w:style w:type="character" w:customStyle="1" w:styleId="translation-chunk">
    <w:name w:val="translation-chunk"/>
    <w:rsid w:val="00001EEA"/>
    <w:rPr>
      <w:rFonts w:cs="Times New Roman"/>
    </w:rPr>
  </w:style>
  <w:style w:type="paragraph" w:customStyle="1" w:styleId="3a">
    <w:name w:val="Основной текст3"/>
    <w:basedOn w:val="a3"/>
    <w:qFormat/>
    <w:rsid w:val="00001EEA"/>
    <w:pPr>
      <w:widowControl w:val="0"/>
      <w:shd w:val="clear" w:color="auto" w:fill="FFFFFF"/>
      <w:spacing w:after="540" w:line="0" w:lineRule="atLeast"/>
      <w:ind w:firstLine="0"/>
      <w:jc w:val="right"/>
    </w:pPr>
    <w:rPr>
      <w:rFonts w:ascii="Lucida Sans Unicode" w:eastAsia="Lucida Sans Unicode" w:hAnsi="Lucida Sans Unicode" w:cs="Lucida Sans Unicode"/>
      <w:sz w:val="23"/>
      <w:szCs w:val="23"/>
      <w:lang w:eastAsia="ru-RU"/>
    </w:rPr>
  </w:style>
  <w:style w:type="character" w:customStyle="1" w:styleId="affff4">
    <w:name w:val="Выделение жирным"/>
    <w:qFormat/>
    <w:rsid w:val="00001EEA"/>
    <w:rPr>
      <w:b/>
      <w:bCs/>
    </w:rPr>
  </w:style>
  <w:style w:type="paragraph" w:customStyle="1" w:styleId="westernmailrucssattributepostfix">
    <w:name w:val="western_mailru_css_attribute_postfix"/>
    <w:basedOn w:val="a3"/>
    <w:qFormat/>
    <w:rsid w:val="00001EEA"/>
    <w:pPr>
      <w:spacing w:before="100" w:beforeAutospacing="1" w:after="100" w:afterAutospacing="1"/>
      <w:ind w:firstLine="0"/>
      <w:jc w:val="left"/>
    </w:pPr>
    <w:rPr>
      <w:rFonts w:eastAsia="Times New Roman" w:cs="Times New Roman"/>
      <w:sz w:val="24"/>
      <w:szCs w:val="24"/>
      <w:lang w:eastAsia="ru-RU"/>
    </w:rPr>
  </w:style>
  <w:style w:type="paragraph" w:customStyle="1" w:styleId="msoaccenttext5">
    <w:name w:val="msoaccenttext5"/>
    <w:basedOn w:val="a3"/>
    <w:qFormat/>
    <w:rsid w:val="00001EEA"/>
    <w:pPr>
      <w:suppressAutoHyphens/>
      <w:spacing w:before="280" w:after="280"/>
      <w:ind w:firstLine="0"/>
      <w:jc w:val="left"/>
    </w:pPr>
    <w:rPr>
      <w:rFonts w:eastAsia="Times New Roman" w:cs="Times New Roman"/>
      <w:color w:val="000000"/>
      <w:sz w:val="24"/>
      <w:szCs w:val="24"/>
      <w:lang w:eastAsia="zh-CN"/>
    </w:rPr>
  </w:style>
  <w:style w:type="paragraph" w:customStyle="1" w:styleId="Style24">
    <w:name w:val="Style24"/>
    <w:basedOn w:val="a3"/>
    <w:qFormat/>
    <w:rsid w:val="00001EEA"/>
    <w:pPr>
      <w:widowControl w:val="0"/>
      <w:autoSpaceDE w:val="0"/>
      <w:autoSpaceDN w:val="0"/>
      <w:adjustRightInd w:val="0"/>
      <w:ind w:firstLine="0"/>
      <w:jc w:val="left"/>
    </w:pPr>
    <w:rPr>
      <w:rFonts w:eastAsia="Times New Roman" w:cs="Times New Roman"/>
      <w:sz w:val="24"/>
      <w:szCs w:val="24"/>
      <w:lang w:eastAsia="ru-RU"/>
    </w:rPr>
  </w:style>
  <w:style w:type="paragraph" w:customStyle="1" w:styleId="42">
    <w:name w:val="Без интервала4"/>
    <w:qFormat/>
    <w:rsid w:val="00001EEA"/>
    <w:pPr>
      <w:widowControl w:val="0"/>
      <w:autoSpaceDE w:val="0"/>
      <w:autoSpaceDN w:val="0"/>
      <w:adjustRightInd w:val="0"/>
      <w:spacing w:after="0" w:line="240" w:lineRule="auto"/>
    </w:pPr>
    <w:rPr>
      <w:rFonts w:ascii="Arial" w:eastAsia="Calibri" w:hAnsi="Arial" w:cs="Times New Roman"/>
      <w:lang w:eastAsia="ru-RU"/>
    </w:rPr>
  </w:style>
  <w:style w:type="paragraph" w:customStyle="1" w:styleId="pt-consplusnormal-000011">
    <w:name w:val="pt-consplusnormal-000011"/>
    <w:basedOn w:val="a3"/>
    <w:qFormat/>
    <w:rsid w:val="00001EEA"/>
    <w:pPr>
      <w:spacing w:before="100" w:beforeAutospacing="1" w:after="100" w:afterAutospacing="1"/>
      <w:ind w:firstLine="0"/>
      <w:jc w:val="left"/>
    </w:pPr>
    <w:rPr>
      <w:rFonts w:eastAsia="Times New Roman" w:cs="Times New Roman"/>
      <w:sz w:val="24"/>
      <w:szCs w:val="24"/>
      <w:lang w:eastAsia="ru-RU"/>
    </w:rPr>
  </w:style>
  <w:style w:type="character" w:customStyle="1" w:styleId="pt-a0">
    <w:name w:val="pt-a0"/>
    <w:basedOn w:val="a4"/>
    <w:rsid w:val="00001EEA"/>
  </w:style>
  <w:style w:type="character" w:customStyle="1" w:styleId="pt-a0-000012">
    <w:name w:val="pt-a0-000012"/>
    <w:basedOn w:val="a4"/>
    <w:rsid w:val="00001EEA"/>
  </w:style>
  <w:style w:type="paragraph" w:customStyle="1" w:styleId="affff5">
    <w:name w:val="ЭЭГ"/>
    <w:basedOn w:val="a3"/>
    <w:qFormat/>
    <w:rsid w:val="005F0C0B"/>
    <w:pPr>
      <w:spacing w:line="360" w:lineRule="auto"/>
      <w:ind w:firstLine="720"/>
    </w:pPr>
    <w:rPr>
      <w:rFonts w:eastAsia="Times New Roman" w:cs="Times New Roman"/>
      <w:sz w:val="24"/>
      <w:szCs w:val="24"/>
      <w:lang w:eastAsia="ru-RU"/>
    </w:rPr>
  </w:style>
  <w:style w:type="paragraph" w:customStyle="1" w:styleId="p11">
    <w:name w:val="p11"/>
    <w:basedOn w:val="a3"/>
    <w:qFormat/>
    <w:rsid w:val="0073589C"/>
    <w:pPr>
      <w:spacing w:before="100" w:beforeAutospacing="1" w:after="100" w:afterAutospacing="1"/>
      <w:ind w:firstLine="0"/>
      <w:jc w:val="left"/>
    </w:pPr>
    <w:rPr>
      <w:rFonts w:eastAsia="Times New Roman" w:cs="Times New Roman"/>
      <w:sz w:val="24"/>
      <w:szCs w:val="24"/>
      <w:lang w:eastAsia="ru-RU"/>
    </w:rPr>
  </w:style>
  <w:style w:type="paragraph" w:customStyle="1" w:styleId="43">
    <w:name w:val="Абзац списка4"/>
    <w:basedOn w:val="a3"/>
    <w:qFormat/>
    <w:rsid w:val="00B83895"/>
    <w:pPr>
      <w:spacing w:after="200" w:line="276" w:lineRule="auto"/>
      <w:ind w:left="720" w:firstLine="0"/>
      <w:jc w:val="left"/>
    </w:pPr>
    <w:rPr>
      <w:rFonts w:ascii="Calibri" w:eastAsia="Times New Roman" w:hAnsi="Calibri" w:cs="Times New Roman"/>
      <w:sz w:val="20"/>
      <w:szCs w:val="20"/>
      <w:lang w:eastAsia="ru-RU"/>
    </w:rPr>
  </w:style>
  <w:style w:type="paragraph" w:customStyle="1" w:styleId="Textbody">
    <w:name w:val="Text body"/>
    <w:basedOn w:val="Standard"/>
    <w:qFormat/>
    <w:rsid w:val="00F12275"/>
    <w:pPr>
      <w:widowControl/>
      <w:spacing w:after="140" w:line="288" w:lineRule="auto"/>
    </w:pPr>
    <w:rPr>
      <w:rFonts w:ascii="Liberation Serif" w:eastAsia="Tahoma" w:hAnsi="Liberation Serif" w:cs="Noto Sans Devanagari"/>
      <w:lang w:val="ru-RU" w:eastAsia="zh-CN" w:bidi="hi-IN"/>
    </w:rPr>
  </w:style>
  <w:style w:type="paragraph" w:customStyle="1" w:styleId="3b">
    <w:name w:val="Обычный3"/>
    <w:qFormat/>
    <w:rsid w:val="00F12275"/>
    <w:pPr>
      <w:spacing w:after="0" w:line="240" w:lineRule="auto"/>
    </w:pPr>
    <w:rPr>
      <w:rFonts w:ascii="Times New Roman" w:eastAsia="Times New Roman" w:hAnsi="Times New Roman" w:cs="Times New Roman"/>
      <w:sz w:val="24"/>
      <w:szCs w:val="24"/>
      <w:lang w:eastAsia="ru-RU"/>
    </w:rPr>
  </w:style>
  <w:style w:type="paragraph" w:customStyle="1" w:styleId="affff6">
    <w:name w:val="адрес"/>
    <w:basedOn w:val="a3"/>
    <w:qFormat/>
    <w:rsid w:val="00F12275"/>
    <w:pPr>
      <w:suppressAutoHyphens/>
      <w:overflowPunct w:val="0"/>
      <w:autoSpaceDE w:val="0"/>
      <w:spacing w:after="200" w:line="240" w:lineRule="atLeast"/>
      <w:ind w:left="5103" w:right="-284" w:firstLine="0"/>
      <w:jc w:val="left"/>
      <w:textAlignment w:val="baseline"/>
    </w:pPr>
    <w:rPr>
      <w:rFonts w:ascii="timesdl" w:eastAsia="Calibri" w:hAnsi="timesdl" w:cs="timesdl"/>
      <w:color w:val="00000A"/>
      <w:sz w:val="26"/>
      <w:szCs w:val="20"/>
      <w:lang w:eastAsia="zh-CN"/>
    </w:rPr>
  </w:style>
  <w:style w:type="paragraph" w:customStyle="1" w:styleId="bl0">
    <w:name w:val="bl0"/>
    <w:basedOn w:val="a3"/>
    <w:qFormat/>
    <w:rsid w:val="00F12275"/>
    <w:pPr>
      <w:spacing w:before="100" w:beforeAutospacing="1" w:after="100" w:afterAutospacing="1"/>
      <w:ind w:firstLine="0"/>
      <w:jc w:val="left"/>
    </w:pPr>
    <w:rPr>
      <w:rFonts w:eastAsia="Times New Roman" w:cs="Times New Roman"/>
      <w:sz w:val="24"/>
      <w:szCs w:val="24"/>
      <w:lang w:eastAsia="ru-RU"/>
    </w:rPr>
  </w:style>
  <w:style w:type="paragraph" w:customStyle="1" w:styleId="HEADERTEXT">
    <w:name w:val=".HEADERTEXT"/>
    <w:qFormat/>
    <w:rsid w:val="00F12275"/>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news-date-time">
    <w:name w:val="news-date-time"/>
    <w:basedOn w:val="a4"/>
    <w:rsid w:val="00F12275"/>
  </w:style>
  <w:style w:type="character" w:customStyle="1" w:styleId="WW-1">
    <w:name w:val="WW-Выделение жирным1"/>
    <w:qFormat/>
    <w:rsid w:val="00F12275"/>
    <w:rPr>
      <w:b/>
      <w:bCs/>
    </w:rPr>
  </w:style>
  <w:style w:type="paragraph" w:customStyle="1" w:styleId="1fc">
    <w:name w:val="Верхний колонтитул1"/>
    <w:basedOn w:val="a3"/>
    <w:qFormat/>
    <w:rsid w:val="00F12275"/>
    <w:pPr>
      <w:ind w:firstLine="0"/>
      <w:jc w:val="left"/>
    </w:pPr>
    <w:rPr>
      <w:rFonts w:ascii="PT Astra Serif" w:eastAsia="NSimSun" w:hAnsi="PT Astra Serif" w:cs="Mangal"/>
      <w:kern w:val="2"/>
      <w:sz w:val="24"/>
      <w:szCs w:val="24"/>
      <w:lang w:eastAsia="zh-CN" w:bidi="hi-IN"/>
    </w:rPr>
  </w:style>
  <w:style w:type="paragraph" w:customStyle="1" w:styleId="ConsNonformat">
    <w:name w:val="ConsNonformat"/>
    <w:qFormat/>
    <w:rsid w:val="00F12275"/>
    <w:pPr>
      <w:widowControl w:val="0"/>
      <w:suppressAutoHyphens/>
      <w:spacing w:after="0" w:line="240" w:lineRule="auto"/>
    </w:pPr>
    <w:rPr>
      <w:rFonts w:ascii="Courier New" w:eastAsia="Arial" w:hAnsi="Courier New" w:cs="Courier New"/>
      <w:kern w:val="2"/>
      <w:sz w:val="20"/>
      <w:szCs w:val="20"/>
      <w:lang w:eastAsia="zh-CN"/>
    </w:rPr>
  </w:style>
  <w:style w:type="character" w:customStyle="1" w:styleId="StrongEmphasis">
    <w:name w:val="Strong Emphasis"/>
    <w:basedOn w:val="a4"/>
    <w:rsid w:val="00F12275"/>
    <w:rPr>
      <w:b/>
      <w:bCs/>
    </w:rPr>
  </w:style>
  <w:style w:type="numbering" w:customStyle="1" w:styleId="WWNum6">
    <w:name w:val="WWNum6"/>
    <w:basedOn w:val="a6"/>
    <w:rsid w:val="00F12275"/>
    <w:pPr>
      <w:numPr>
        <w:numId w:val="6"/>
      </w:numPr>
    </w:pPr>
  </w:style>
  <w:style w:type="paragraph" w:customStyle="1" w:styleId="Standarduser">
    <w:name w:val="Standard (user)"/>
    <w:qFormat/>
    <w:rsid w:val="00F12275"/>
    <w:pPr>
      <w:suppressAutoHyphens/>
      <w:autoSpaceDN w:val="0"/>
      <w:spacing w:after="0" w:line="240" w:lineRule="auto"/>
      <w:textAlignment w:val="baseline"/>
    </w:pPr>
    <w:rPr>
      <w:rFonts w:ascii="Liberation Serif" w:eastAsia="Tahoma" w:hAnsi="Liberation Serif" w:cs="Noto Sans Devanagari"/>
      <w:kern w:val="3"/>
      <w:sz w:val="24"/>
      <w:szCs w:val="24"/>
      <w:lang w:eastAsia="zh-CN" w:bidi="hi-IN"/>
    </w:rPr>
  </w:style>
  <w:style w:type="paragraph" w:customStyle="1" w:styleId="Textbodyuser">
    <w:name w:val="Text body (user)"/>
    <w:basedOn w:val="a3"/>
    <w:qFormat/>
    <w:rsid w:val="00F12275"/>
    <w:pPr>
      <w:suppressAutoHyphens/>
      <w:autoSpaceDN w:val="0"/>
      <w:spacing w:after="140" w:line="288" w:lineRule="auto"/>
      <w:ind w:firstLine="0"/>
      <w:jc w:val="left"/>
      <w:textAlignment w:val="baseline"/>
    </w:pPr>
    <w:rPr>
      <w:rFonts w:ascii="Liberation Serif" w:eastAsia="Tahoma" w:hAnsi="Liberation Serif" w:cs="Noto Sans Devanagari"/>
      <w:kern w:val="3"/>
      <w:sz w:val="24"/>
      <w:szCs w:val="24"/>
      <w:lang w:eastAsia="zh-CN" w:bidi="hi-IN"/>
    </w:rPr>
  </w:style>
  <w:style w:type="character" w:customStyle="1" w:styleId="ref">
    <w:name w:val="ref"/>
    <w:basedOn w:val="a4"/>
    <w:rsid w:val="00F12275"/>
  </w:style>
  <w:style w:type="character" w:customStyle="1" w:styleId="number">
    <w:name w:val="number"/>
    <w:basedOn w:val="a4"/>
    <w:rsid w:val="00F12275"/>
  </w:style>
  <w:style w:type="character" w:customStyle="1" w:styleId="1fd">
    <w:name w:val="Строгий1"/>
    <w:qFormat/>
    <w:rsid w:val="00F12275"/>
    <w:rPr>
      <w:b/>
      <w:bCs/>
    </w:rPr>
  </w:style>
  <w:style w:type="character" w:customStyle="1" w:styleId="FontStyle15">
    <w:name w:val="Font Style15"/>
    <w:basedOn w:val="a4"/>
    <w:qFormat/>
    <w:rsid w:val="00F12275"/>
    <w:rPr>
      <w:rFonts w:ascii="Times New Roman" w:hAnsi="Times New Roman" w:cs="Times New Roman"/>
      <w:sz w:val="22"/>
      <w:szCs w:val="22"/>
    </w:rPr>
  </w:style>
  <w:style w:type="paragraph" w:customStyle="1" w:styleId="Style5">
    <w:name w:val="Style5"/>
    <w:basedOn w:val="a3"/>
    <w:qFormat/>
    <w:rsid w:val="00F12275"/>
    <w:pPr>
      <w:widowControl w:val="0"/>
      <w:spacing w:line="392" w:lineRule="exact"/>
      <w:ind w:firstLine="187"/>
      <w:jc w:val="left"/>
    </w:pPr>
    <w:rPr>
      <w:rFonts w:eastAsia="Times New Roman" w:cs="Times New Roman"/>
      <w:sz w:val="24"/>
      <w:szCs w:val="24"/>
      <w:lang w:eastAsia="zh-CN"/>
    </w:rPr>
  </w:style>
  <w:style w:type="paragraph" w:customStyle="1" w:styleId="Style7">
    <w:name w:val="Style7"/>
    <w:basedOn w:val="a3"/>
    <w:qFormat/>
    <w:rsid w:val="00F12275"/>
    <w:pPr>
      <w:widowControl w:val="0"/>
      <w:ind w:firstLine="0"/>
      <w:jc w:val="left"/>
    </w:pPr>
    <w:rPr>
      <w:rFonts w:eastAsia="Times New Roman" w:cs="Times New Roman"/>
      <w:sz w:val="24"/>
      <w:szCs w:val="24"/>
      <w:lang w:eastAsia="zh-CN"/>
    </w:rPr>
  </w:style>
  <w:style w:type="character" w:customStyle="1" w:styleId="Contents2">
    <w:name w:val="Contents 2"/>
    <w:qFormat/>
    <w:rsid w:val="00F12275"/>
  </w:style>
  <w:style w:type="paragraph" w:customStyle="1" w:styleId="ListLabel81">
    <w:name w:val="ListLabel 81"/>
    <w:qFormat/>
    <w:rsid w:val="00F12275"/>
    <w:pPr>
      <w:spacing w:after="0" w:line="240" w:lineRule="auto"/>
    </w:pPr>
    <w:rPr>
      <w:rFonts w:ascii="Calibri" w:eastAsia="Tahoma" w:hAnsi="Calibri" w:cs="Noto Sans Devanagari"/>
      <w:color w:val="000000"/>
      <w:szCs w:val="20"/>
      <w:lang w:eastAsia="zh-CN" w:bidi="hi-IN"/>
    </w:rPr>
  </w:style>
  <w:style w:type="paragraph" w:customStyle="1" w:styleId="LO-normal">
    <w:name w:val="LO-normal"/>
    <w:qFormat/>
    <w:rsid w:val="00F12275"/>
    <w:pPr>
      <w:spacing w:after="0" w:line="240" w:lineRule="auto"/>
    </w:pPr>
    <w:rPr>
      <w:rFonts w:ascii="Calibri" w:eastAsia="Tahoma" w:hAnsi="Calibri" w:cs="Noto Sans Devanagari"/>
      <w:sz w:val="24"/>
      <w:szCs w:val="24"/>
      <w:lang w:eastAsia="zh-CN" w:bidi="hi-IN"/>
    </w:rPr>
  </w:style>
  <w:style w:type="paragraph" w:customStyle="1" w:styleId="paragraph">
    <w:name w:val="paragraph"/>
    <w:basedOn w:val="a3"/>
    <w:qFormat/>
    <w:rsid w:val="00F12275"/>
    <w:pPr>
      <w:spacing w:before="280" w:after="280" w:line="1" w:lineRule="atLeast"/>
      <w:ind w:firstLine="0"/>
      <w:jc w:val="left"/>
      <w:textAlignment w:val="top"/>
      <w:outlineLvl w:val="0"/>
    </w:pPr>
    <w:rPr>
      <w:rFonts w:eastAsia="Times New Roman" w:cs="Times New Roman"/>
      <w:sz w:val="24"/>
      <w:szCs w:val="24"/>
      <w:lang w:eastAsia="zh-CN"/>
    </w:rPr>
  </w:style>
  <w:style w:type="paragraph" w:customStyle="1" w:styleId="LO-normal1">
    <w:name w:val="LO-normal1"/>
    <w:qFormat/>
    <w:rsid w:val="00F12275"/>
    <w:pPr>
      <w:spacing w:after="0" w:line="240" w:lineRule="auto"/>
    </w:pPr>
    <w:rPr>
      <w:rFonts w:ascii="Calibri" w:eastAsia="Tahoma" w:hAnsi="Calibri" w:cs="Noto Sans Devanagari"/>
      <w:sz w:val="24"/>
      <w:szCs w:val="24"/>
      <w:lang w:eastAsia="zh-CN" w:bidi="hi-IN"/>
    </w:rPr>
  </w:style>
  <w:style w:type="paragraph" w:customStyle="1" w:styleId="Pa3">
    <w:name w:val="Pa3"/>
    <w:basedOn w:val="a3"/>
    <w:next w:val="a3"/>
    <w:uiPriority w:val="99"/>
    <w:qFormat/>
    <w:rsid w:val="00081F06"/>
    <w:pPr>
      <w:autoSpaceDE w:val="0"/>
      <w:autoSpaceDN w:val="0"/>
      <w:adjustRightInd w:val="0"/>
      <w:spacing w:line="241" w:lineRule="atLeast"/>
      <w:ind w:firstLine="0"/>
      <w:jc w:val="left"/>
    </w:pPr>
    <w:rPr>
      <w:rFonts w:ascii="minion pro" w:eastAsia="Calibri" w:hAnsi="minion pro" w:cs="Times New Roman"/>
      <w:sz w:val="24"/>
      <w:szCs w:val="24"/>
      <w:lang w:eastAsia="ru-RU"/>
    </w:rPr>
  </w:style>
  <w:style w:type="paragraph" w:customStyle="1" w:styleId="06">
    <w:name w:val="06__Текст"/>
    <w:basedOn w:val="a3"/>
    <w:qFormat/>
    <w:rsid w:val="003D789C"/>
    <w:pPr>
      <w:tabs>
        <w:tab w:val="left" w:pos="10206"/>
      </w:tabs>
      <w:spacing w:before="120" w:after="120" w:line="360" w:lineRule="auto"/>
      <w:ind w:left="284" w:right="57"/>
    </w:pPr>
    <w:rPr>
      <w:rFonts w:eastAsia="Times New Roman" w:cs="Times New Roman"/>
      <w:sz w:val="24"/>
      <w:szCs w:val="24"/>
      <w:lang w:eastAsia="ru-RU"/>
    </w:rPr>
  </w:style>
  <w:style w:type="paragraph" w:customStyle="1" w:styleId="08">
    <w:name w:val="08__Таблица заголовок"/>
    <w:basedOn w:val="06"/>
    <w:qFormat/>
    <w:rsid w:val="003D789C"/>
    <w:pPr>
      <w:ind w:firstLine="0"/>
      <w:jc w:val="left"/>
    </w:pPr>
    <w:rPr>
      <w:rFonts w:eastAsia="Calibri"/>
      <w:lang w:eastAsia="en-US"/>
    </w:rPr>
  </w:style>
  <w:style w:type="character" w:customStyle="1" w:styleId="FontStyle24">
    <w:name w:val="Font Style24"/>
    <w:rsid w:val="00255234"/>
    <w:rPr>
      <w:rFonts w:ascii="Times New Roman" w:hAnsi="Times New Roman"/>
      <w:sz w:val="26"/>
    </w:rPr>
  </w:style>
  <w:style w:type="character" w:customStyle="1" w:styleId="affff7">
    <w:name w:val="Другое_"/>
    <w:link w:val="affff8"/>
    <w:uiPriority w:val="99"/>
    <w:locked/>
    <w:rsid w:val="00255234"/>
    <w:rPr>
      <w:sz w:val="28"/>
      <w:szCs w:val="28"/>
      <w:shd w:val="clear" w:color="auto" w:fill="FFFFFF"/>
    </w:rPr>
  </w:style>
  <w:style w:type="paragraph" w:customStyle="1" w:styleId="affff8">
    <w:name w:val="Другое"/>
    <w:basedOn w:val="a3"/>
    <w:link w:val="affff7"/>
    <w:uiPriority w:val="99"/>
    <w:qFormat/>
    <w:rsid w:val="00255234"/>
    <w:pPr>
      <w:widowControl w:val="0"/>
      <w:shd w:val="clear" w:color="auto" w:fill="FFFFFF"/>
      <w:ind w:firstLine="400"/>
    </w:pPr>
    <w:rPr>
      <w:rFonts w:asciiTheme="minorHAnsi" w:hAnsiTheme="minorHAnsi"/>
      <w:szCs w:val="28"/>
    </w:rPr>
  </w:style>
  <w:style w:type="character" w:customStyle="1" w:styleId="extended-textshort">
    <w:name w:val="extended-text__short"/>
    <w:rsid w:val="00255234"/>
    <w:rPr>
      <w:rFonts w:cs="Times New Roman"/>
    </w:rPr>
  </w:style>
  <w:style w:type="paragraph" w:customStyle="1" w:styleId="2f3">
    <w:name w:val="2"/>
    <w:basedOn w:val="a3"/>
    <w:next w:val="aff0"/>
    <w:link w:val="affff9"/>
    <w:uiPriority w:val="99"/>
    <w:qFormat/>
    <w:rsid w:val="00A557EA"/>
    <w:pPr>
      <w:spacing w:after="200" w:line="276" w:lineRule="auto"/>
      <w:ind w:firstLine="0"/>
      <w:jc w:val="center"/>
    </w:pPr>
    <w:rPr>
      <w:rFonts w:ascii="Calibri" w:eastAsia="Times New Roman" w:hAnsi="Calibri" w:cs="Times New Roman"/>
      <w:b/>
      <w:bCs/>
    </w:rPr>
  </w:style>
  <w:style w:type="character" w:customStyle="1" w:styleId="affff9">
    <w:name w:val="Название Знак"/>
    <w:link w:val="2f3"/>
    <w:uiPriority w:val="99"/>
    <w:rsid w:val="00A557EA"/>
    <w:rPr>
      <w:rFonts w:ascii="Calibri" w:eastAsia="Times New Roman" w:hAnsi="Calibri" w:cs="Times New Roman"/>
      <w:b/>
      <w:bCs/>
      <w:sz w:val="28"/>
      <w:lang w:eastAsia="en-US"/>
    </w:rPr>
  </w:style>
  <w:style w:type="character" w:customStyle="1" w:styleId="120">
    <w:name w:val="Основной текст + 12"/>
    <w:rsid w:val="00A557EA"/>
    <w:rPr>
      <w:rFonts w:ascii="Times New Roman" w:hAnsi="Times New Roman" w:cs="Times New Roman" w:hint="default"/>
      <w:b/>
      <w:bCs/>
      <w:i/>
      <w:iCs/>
      <w:strike w:val="0"/>
      <w:dstrike w:val="0"/>
      <w:sz w:val="25"/>
      <w:szCs w:val="25"/>
      <w:u w:val="none"/>
      <w:effect w:val="none"/>
    </w:rPr>
  </w:style>
  <w:style w:type="character" w:customStyle="1" w:styleId="11pt1">
    <w:name w:val="Основной текст + 11 pt1"/>
    <w:rsid w:val="00A557EA"/>
    <w:rPr>
      <w:rFonts w:ascii="Times New Roman" w:hAnsi="Times New Roman" w:cs="Times New Roman"/>
      <w:b/>
      <w:bCs/>
      <w:i/>
      <w:iCs/>
      <w:sz w:val="22"/>
      <w:szCs w:val="22"/>
      <w:u w:val="none"/>
    </w:rPr>
  </w:style>
  <w:style w:type="character" w:styleId="affffa">
    <w:name w:val="footnote reference"/>
    <w:aliases w:val="Знак сноски 1,Знак сноски-FN,Ciae niinee-FN,Ciae niinee 1,ОР,Footnotes refss,Fussnota,Referencia nota al pie,SUPERS,Ссылка на сноску 45,Appel note de bas de page,‚Õÿ¬ ÐÕÓÐ¬Ú-FN,‚Õÿ¬ ÐÕÓÐ¬Ú 1,âÕÿ¬ ÐÕÓÐ¬Ú-FN,fr,Мой Текст сноски,Ref"/>
    <w:basedOn w:val="a4"/>
    <w:unhideWhenUsed/>
    <w:qFormat/>
    <w:rsid w:val="00EE3334"/>
    <w:rPr>
      <w:vertAlign w:val="superscript"/>
    </w:rPr>
  </w:style>
  <w:style w:type="paragraph" w:customStyle="1" w:styleId="affffb">
    <w:name w:val="Прижатый влево"/>
    <w:basedOn w:val="a3"/>
    <w:next w:val="a3"/>
    <w:qFormat/>
    <w:rsid w:val="00D00593"/>
    <w:pPr>
      <w:autoSpaceDE w:val="0"/>
      <w:autoSpaceDN w:val="0"/>
      <w:adjustRightInd w:val="0"/>
      <w:ind w:firstLine="0"/>
      <w:jc w:val="left"/>
    </w:pPr>
    <w:rPr>
      <w:rFonts w:ascii="Arial" w:eastAsia="Calibri" w:hAnsi="Arial" w:cs="Arial"/>
      <w:sz w:val="24"/>
      <w:szCs w:val="24"/>
      <w:lang w:eastAsia="ru-RU"/>
    </w:rPr>
  </w:style>
  <w:style w:type="paragraph" w:customStyle="1" w:styleId="112">
    <w:name w:val="Знак Знак11"/>
    <w:basedOn w:val="a3"/>
    <w:qFormat/>
    <w:rsid w:val="00D00593"/>
    <w:pPr>
      <w:spacing w:after="160" w:line="240" w:lineRule="exact"/>
      <w:ind w:firstLine="0"/>
      <w:jc w:val="left"/>
    </w:pPr>
    <w:rPr>
      <w:rFonts w:ascii="Verdana" w:eastAsia="Times New Roman" w:hAnsi="Verdana" w:cs="Times New Roman"/>
      <w:sz w:val="20"/>
      <w:szCs w:val="20"/>
      <w:lang w:val="en-US"/>
    </w:rPr>
  </w:style>
  <w:style w:type="paragraph" w:customStyle="1" w:styleId="53">
    <w:name w:val="Абзац списка5"/>
    <w:basedOn w:val="a3"/>
    <w:qFormat/>
    <w:rsid w:val="00D00593"/>
    <w:pPr>
      <w:suppressAutoHyphens/>
      <w:spacing w:after="200" w:line="276" w:lineRule="auto"/>
      <w:ind w:left="720" w:firstLine="0"/>
      <w:jc w:val="left"/>
    </w:pPr>
    <w:rPr>
      <w:rFonts w:ascii="Calibri" w:hAnsi="Calibri" w:cs="font320"/>
      <w:sz w:val="22"/>
      <w:lang w:eastAsia="ar-SA"/>
    </w:rPr>
  </w:style>
  <w:style w:type="table" w:styleId="-2">
    <w:name w:val="Light Grid Accent 2"/>
    <w:basedOn w:val="a5"/>
    <w:uiPriority w:val="62"/>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3-2">
    <w:name w:val="Medium Grid 3 Accent 2"/>
    <w:basedOn w:val="a5"/>
    <w:uiPriority w:val="69"/>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1-2">
    <w:name w:val="Medium Grid 1 Accent 2"/>
    <w:basedOn w:val="a5"/>
    <w:uiPriority w:val="67"/>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1">
    <w:name w:val="Medium Grid 1 Accent 1"/>
    <w:basedOn w:val="a5"/>
    <w:uiPriority w:val="67"/>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5">
    <w:name w:val="Medium Grid 1 Accent 5"/>
    <w:basedOn w:val="a5"/>
    <w:uiPriority w:val="67"/>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1-50">
    <w:name w:val="Medium Shading 1 Accent 5"/>
    <w:basedOn w:val="a5"/>
    <w:uiPriority w:val="63"/>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6">
    <w:name w:val="Light Grid Accent 6"/>
    <w:basedOn w:val="a5"/>
    <w:uiPriority w:val="62"/>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20">
    <w:name w:val="Light Shading Accent 2"/>
    <w:basedOn w:val="a5"/>
    <w:uiPriority w:val="60"/>
    <w:rsid w:val="00D00593"/>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21">
    <w:name w:val="Colorful Shading Accent 2"/>
    <w:basedOn w:val="a5"/>
    <w:uiPriority w:val="71"/>
    <w:rsid w:val="00D00593"/>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5">
    <w:name w:val="Colorful Grid Accent 5"/>
    <w:basedOn w:val="a5"/>
    <w:uiPriority w:val="73"/>
    <w:rsid w:val="00D0059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4">
    <w:name w:val="Colorful Grid Accent 4"/>
    <w:basedOn w:val="a5"/>
    <w:uiPriority w:val="73"/>
    <w:rsid w:val="00D0059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affffc">
    <w:name w:val="Light Shading"/>
    <w:basedOn w:val="a5"/>
    <w:uiPriority w:val="60"/>
    <w:rsid w:val="00D00593"/>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20">
    <w:name w:val="Medium Shading 1 Accent 2"/>
    <w:basedOn w:val="a5"/>
    <w:uiPriority w:val="63"/>
    <w:rsid w:val="00D0059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customStyle="1" w:styleId="affffd">
    <w:name w:val="Нет"/>
    <w:rsid w:val="00D00593"/>
  </w:style>
  <w:style w:type="character" w:customStyle="1" w:styleId="Hyperlink0">
    <w:name w:val="Hyperlink.0"/>
    <w:rsid w:val="00D00593"/>
    <w:rPr>
      <w:rFonts w:ascii="Times New Roman" w:eastAsia="Times New Roman" w:hAnsi="Times New Roman" w:cs="Times New Roman"/>
      <w:sz w:val="28"/>
      <w:szCs w:val="28"/>
      <w:lang w:val="ru-RU"/>
    </w:rPr>
  </w:style>
  <w:style w:type="character" w:customStyle="1" w:styleId="Internetlink">
    <w:name w:val="Internet link"/>
    <w:rsid w:val="00D00593"/>
    <w:rPr>
      <w:color w:val="0000FF"/>
      <w:u w:val="single"/>
    </w:rPr>
  </w:style>
  <w:style w:type="character" w:customStyle="1" w:styleId="2f4">
    <w:name w:val="Строгий2"/>
    <w:basedOn w:val="a4"/>
    <w:rsid w:val="00F92C7E"/>
    <w:rPr>
      <w:b/>
      <w:bCs/>
    </w:rPr>
  </w:style>
  <w:style w:type="character" w:customStyle="1" w:styleId="-">
    <w:name w:val="Интернет-ссылка"/>
    <w:rsid w:val="00144EC6"/>
    <w:rPr>
      <w:color w:val="000080"/>
      <w:u w:val="single"/>
    </w:rPr>
  </w:style>
  <w:style w:type="paragraph" w:customStyle="1" w:styleId="113">
    <w:name w:val="Заголовок 11"/>
    <w:basedOn w:val="16"/>
    <w:next w:val="16"/>
    <w:uiPriority w:val="9"/>
    <w:qFormat/>
    <w:rsid w:val="006C508E"/>
    <w:pPr>
      <w:keepNext/>
      <w:widowControl/>
      <w:suppressAutoHyphens/>
      <w:spacing w:before="240" w:after="60" w:line="100" w:lineRule="atLeast"/>
      <w:ind w:firstLine="0"/>
      <w:jc w:val="left"/>
      <w:outlineLvl w:val="0"/>
    </w:pPr>
    <w:rPr>
      <w:rFonts w:ascii="Cambria" w:hAnsi="Cambria"/>
      <w:b/>
      <w:bCs/>
      <w:snapToGrid/>
      <w:kern w:val="2"/>
      <w:sz w:val="32"/>
      <w:szCs w:val="32"/>
      <w:lang w:eastAsia="ar-SA"/>
    </w:rPr>
  </w:style>
  <w:style w:type="character" w:customStyle="1" w:styleId="212">
    <w:name w:val="Основной текст с отступом 2 Знак1"/>
    <w:qFormat/>
    <w:rsid w:val="00041497"/>
    <w:rPr>
      <w:rFonts w:ascii="Calibri" w:eastAsia="SimSun" w:hAnsi="Calibri"/>
      <w:color w:val="00000A"/>
      <w:sz w:val="22"/>
      <w:szCs w:val="22"/>
      <w:lang w:eastAsia="en-US"/>
    </w:rPr>
  </w:style>
  <w:style w:type="paragraph" w:customStyle="1" w:styleId="affffe">
    <w:name w:val="По умолчанию"/>
    <w:qFormat/>
    <w:rsid w:val="00171785"/>
    <w:pPr>
      <w:pBdr>
        <w:top w:val="nil"/>
        <w:left w:val="nil"/>
        <w:bottom w:val="nil"/>
        <w:right w:val="nil"/>
        <w:between w:val="nil"/>
        <w:bar w:val="nil"/>
      </w:pBdr>
      <w:spacing w:before="160" w:after="0" w:line="240" w:lineRule="auto"/>
    </w:pPr>
    <w:rPr>
      <w:rFonts w:ascii="helvetica neue" w:eastAsia="Arial Unicode MS" w:hAnsi="helvetica neue" w:cs="Arial Unicode MS"/>
      <w:color w:val="000000"/>
      <w:sz w:val="24"/>
      <w:szCs w:val="24"/>
      <w:bdr w:val="nil"/>
      <w:lang w:eastAsia="ru-RU"/>
    </w:rPr>
  </w:style>
  <w:style w:type="character" w:customStyle="1" w:styleId="layout">
    <w:name w:val="layout"/>
    <w:rsid w:val="001058D8"/>
  </w:style>
  <w:style w:type="paragraph" w:customStyle="1" w:styleId="s10">
    <w:name w:val="s_1"/>
    <w:basedOn w:val="a3"/>
    <w:qFormat/>
    <w:rsid w:val="00F03F89"/>
    <w:pPr>
      <w:spacing w:before="100" w:beforeAutospacing="1" w:after="100" w:afterAutospacing="1"/>
      <w:ind w:firstLine="0"/>
      <w:jc w:val="left"/>
    </w:pPr>
    <w:rPr>
      <w:rFonts w:eastAsia="Times New Roman" w:cs="Times New Roman"/>
      <w:sz w:val="24"/>
      <w:szCs w:val="24"/>
      <w:lang w:eastAsia="ru-RU"/>
    </w:rPr>
  </w:style>
  <w:style w:type="character" w:customStyle="1" w:styleId="morecontent">
    <w:name w:val="morecontent"/>
    <w:basedOn w:val="a4"/>
    <w:rsid w:val="00734B8E"/>
  </w:style>
  <w:style w:type="character" w:customStyle="1" w:styleId="A40">
    <w:name w:val="A4"/>
    <w:uiPriority w:val="99"/>
    <w:rsid w:val="00734B8E"/>
    <w:rPr>
      <w:rFonts w:cs="helveticaneuecyr"/>
      <w:color w:val="000000"/>
      <w:sz w:val="18"/>
      <w:szCs w:val="18"/>
    </w:rPr>
  </w:style>
  <w:style w:type="paragraph" w:customStyle="1" w:styleId="formattexttopleveltext">
    <w:name w:val="formattext topleveltext"/>
    <w:basedOn w:val="a3"/>
    <w:qFormat/>
    <w:rsid w:val="00C31FAF"/>
    <w:pPr>
      <w:spacing w:before="100" w:beforeAutospacing="1" w:after="100" w:afterAutospacing="1"/>
      <w:ind w:firstLine="0"/>
      <w:jc w:val="left"/>
    </w:pPr>
    <w:rPr>
      <w:rFonts w:eastAsia="Times New Roman" w:cs="Times New Roman"/>
      <w:sz w:val="24"/>
      <w:szCs w:val="24"/>
      <w:lang w:eastAsia="ru-RU"/>
    </w:rPr>
  </w:style>
  <w:style w:type="paragraph" w:customStyle="1" w:styleId="1fe">
    <w:name w:val="1"/>
    <w:basedOn w:val="a3"/>
    <w:next w:val="af2"/>
    <w:uiPriority w:val="99"/>
    <w:unhideWhenUsed/>
    <w:qFormat/>
    <w:rsid w:val="00680317"/>
    <w:pPr>
      <w:spacing w:before="100" w:beforeAutospacing="1" w:after="100" w:afterAutospacing="1"/>
      <w:ind w:firstLine="0"/>
      <w:jc w:val="left"/>
    </w:pPr>
    <w:rPr>
      <w:rFonts w:eastAsia="Times New Roman" w:cs="Times New Roman"/>
      <w:sz w:val="24"/>
      <w:szCs w:val="24"/>
      <w:lang w:eastAsia="ru-RU"/>
    </w:rPr>
  </w:style>
  <w:style w:type="character" w:styleId="afffff">
    <w:name w:val="endnote reference"/>
    <w:basedOn w:val="a4"/>
    <w:uiPriority w:val="99"/>
    <w:semiHidden/>
    <w:unhideWhenUsed/>
    <w:rsid w:val="00DD577E"/>
    <w:rPr>
      <w:vertAlign w:val="superscript"/>
    </w:rPr>
  </w:style>
  <w:style w:type="paragraph" w:customStyle="1" w:styleId="afffff0">
    <w:name w:val="нлк ”–’”‰’”Ћ"/>
    <w:basedOn w:val="a3"/>
    <w:qFormat/>
    <w:rsid w:val="00DD577E"/>
    <w:pPr>
      <w:widowControl w:val="0"/>
      <w:spacing w:line="360" w:lineRule="auto"/>
    </w:pPr>
    <w:rPr>
      <w:rFonts w:eastAsia="Times New Roman" w:cs="Times New Roman"/>
      <w:szCs w:val="28"/>
      <w:lang w:eastAsia="zh-CN"/>
    </w:rPr>
  </w:style>
  <w:style w:type="character" w:customStyle="1" w:styleId="jsgrdq">
    <w:name w:val="jsgrdq"/>
    <w:basedOn w:val="a4"/>
    <w:rsid w:val="00F6671B"/>
  </w:style>
  <w:style w:type="character" w:customStyle="1" w:styleId="1ff">
    <w:name w:val="Мой заголовок 1 Знак"/>
    <w:basedOn w:val="a4"/>
    <w:link w:val="1ff0"/>
    <w:qFormat/>
    <w:locked/>
    <w:rsid w:val="003F39F4"/>
    <w:rPr>
      <w:rFonts w:ascii="PT Astra Serif" w:eastAsia="Calibri" w:hAnsi="PT Astra Serif" w:cs="Times New Roman"/>
      <w:b/>
      <w:color w:val="000000" w:themeColor="text1"/>
      <w:sz w:val="28"/>
      <w:szCs w:val="28"/>
      <w:shd w:val="clear" w:color="auto" w:fill="FFFFFF"/>
      <w:lang w:val="x-none" w:eastAsia="x-none"/>
    </w:rPr>
  </w:style>
  <w:style w:type="paragraph" w:customStyle="1" w:styleId="1ff0">
    <w:name w:val="Мой заголовок 1"/>
    <w:basedOn w:val="1"/>
    <w:link w:val="1ff"/>
    <w:qFormat/>
    <w:rsid w:val="003F39F4"/>
    <w:pPr>
      <w:keepNext/>
      <w:keepLines/>
      <w:shd w:val="clear" w:color="auto" w:fill="FFFFFF"/>
    </w:pPr>
    <w:rPr>
      <w:rFonts w:eastAsia="Calibri" w:cs="Times New Roman"/>
      <w:color w:val="000000" w:themeColor="text1"/>
      <w:lang w:val="x-none" w:eastAsia="x-none"/>
    </w:rPr>
  </w:style>
  <w:style w:type="character" w:customStyle="1" w:styleId="2f5">
    <w:name w:val="Мой заголовок 2 Знак"/>
    <w:basedOn w:val="a4"/>
    <w:link w:val="2f6"/>
    <w:locked/>
    <w:rsid w:val="007A5B9F"/>
    <w:rPr>
      <w:rFonts w:ascii="PT Astra Serif" w:eastAsiaTheme="majorEastAsia" w:hAnsi="PT Astra Serif" w:cstheme="majorBidi"/>
      <w:b/>
      <w:bCs/>
      <w:color w:val="000000" w:themeColor="text1"/>
      <w:sz w:val="28"/>
      <w:szCs w:val="26"/>
      <w:shd w:val="clear" w:color="auto" w:fill="FFFFFF"/>
    </w:rPr>
  </w:style>
  <w:style w:type="paragraph" w:customStyle="1" w:styleId="2f6">
    <w:name w:val="Мой заголовок 2"/>
    <w:basedOn w:val="2"/>
    <w:link w:val="2f5"/>
    <w:qFormat/>
    <w:rsid w:val="007A5B9F"/>
    <w:pPr>
      <w:keepNext/>
      <w:keepLines/>
      <w:widowControl/>
      <w:shd w:val="clear" w:color="auto" w:fill="FFFFFF"/>
      <w:ind w:firstLine="0"/>
      <w:jc w:val="center"/>
    </w:pPr>
    <w:rPr>
      <w:bCs/>
      <w:i w:val="0"/>
      <w:color w:val="000000" w:themeColor="text1"/>
    </w:rPr>
  </w:style>
  <w:style w:type="character" w:customStyle="1" w:styleId="afffff1">
    <w:name w:val="Мой подзаголовок Знак"/>
    <w:basedOn w:val="a4"/>
    <w:link w:val="afffff2"/>
    <w:qFormat/>
    <w:locked/>
    <w:rsid w:val="007A5B9F"/>
    <w:rPr>
      <w:rFonts w:ascii="PT Astra Serif" w:eastAsia="Calibri" w:hAnsi="PT Astra Serif" w:cs="Times New Roman"/>
      <w:b/>
      <w:bCs/>
      <w:i/>
      <w:sz w:val="28"/>
      <w:szCs w:val="28"/>
    </w:rPr>
  </w:style>
  <w:style w:type="paragraph" w:customStyle="1" w:styleId="afffff2">
    <w:name w:val="Мой подзаголовок"/>
    <w:basedOn w:val="a3"/>
    <w:link w:val="afffff1"/>
    <w:qFormat/>
    <w:rsid w:val="007A5B9F"/>
    <w:pPr>
      <w:ind w:firstLine="0"/>
      <w:contextualSpacing/>
      <w:jc w:val="center"/>
    </w:pPr>
    <w:rPr>
      <w:rFonts w:ascii="PT Astra Serif" w:eastAsia="Calibri" w:hAnsi="PT Astra Serif" w:cs="Times New Roman"/>
      <w:b/>
      <w:bCs/>
      <w:i/>
      <w:szCs w:val="28"/>
    </w:rPr>
  </w:style>
  <w:style w:type="numbering" w:customStyle="1" w:styleId="2f7">
    <w:name w:val="Нет списка2"/>
    <w:next w:val="a6"/>
    <w:uiPriority w:val="99"/>
    <w:semiHidden/>
    <w:unhideWhenUsed/>
    <w:rsid w:val="003F165B"/>
  </w:style>
  <w:style w:type="character" w:customStyle="1" w:styleId="1ff1">
    <w:name w:val="Текст сноски Знак1"/>
    <w:aliases w:val="Знак5 Знак1,Текст сноски-FN Знак1,Oaeno niinee-FN Знак1,Oaeno niinee Ciae Знак1,Table_Footnote_last Знак1,Текст сноски Знак2 Знак1,Текст сноски Знак1 Знак Знак1,Текст сноски Знак Знак Знак Знак1,Текст сноски Знак Знак1 Знак1,F1 Знак"/>
    <w:basedOn w:val="a4"/>
    <w:rsid w:val="003F165B"/>
    <w:rPr>
      <w:rFonts w:ascii="Calibri" w:eastAsia="Calibri" w:hAnsi="Calibri" w:cs="Times New Roman"/>
      <w:sz w:val="20"/>
      <w:szCs w:val="20"/>
    </w:rPr>
  </w:style>
  <w:style w:type="character" w:customStyle="1" w:styleId="afffff3">
    <w:name w:val="Мой абзац Знак"/>
    <w:basedOn w:val="a4"/>
    <w:link w:val="afffff4"/>
    <w:locked/>
    <w:rsid w:val="003F165B"/>
    <w:rPr>
      <w:rFonts w:ascii="PT Astra Serif" w:eastAsia="Calibri" w:hAnsi="PT Astra Serif" w:cs="Times New Roman"/>
      <w:bCs/>
      <w:sz w:val="28"/>
      <w:szCs w:val="28"/>
    </w:rPr>
  </w:style>
  <w:style w:type="paragraph" w:customStyle="1" w:styleId="afffff4">
    <w:name w:val="Мой абзац"/>
    <w:basedOn w:val="a3"/>
    <w:link w:val="afffff3"/>
    <w:qFormat/>
    <w:rsid w:val="003F165B"/>
    <w:pPr>
      <w:contextualSpacing/>
    </w:pPr>
    <w:rPr>
      <w:rFonts w:ascii="PT Astra Serif" w:eastAsia="Calibri" w:hAnsi="PT Astra Serif" w:cs="Times New Roman"/>
      <w:bCs/>
      <w:szCs w:val="28"/>
    </w:rPr>
  </w:style>
  <w:style w:type="character" w:customStyle="1" w:styleId="1ff2">
    <w:name w:val="Верхний колонтитул Знак1"/>
    <w:basedOn w:val="a4"/>
    <w:rsid w:val="003F165B"/>
    <w:rPr>
      <w:rFonts w:ascii="Calibri" w:eastAsia="Calibri" w:hAnsi="Calibri" w:cs="Times New Roman"/>
    </w:rPr>
  </w:style>
  <w:style w:type="character" w:customStyle="1" w:styleId="1ff3">
    <w:name w:val="Нижний колонтитул Знак1"/>
    <w:basedOn w:val="a4"/>
    <w:rsid w:val="003F165B"/>
    <w:rPr>
      <w:rFonts w:ascii="Calibri" w:eastAsia="Calibri" w:hAnsi="Calibri" w:cs="Times New Roman"/>
    </w:rPr>
  </w:style>
  <w:style w:type="character" w:customStyle="1" w:styleId="1ff4">
    <w:name w:val="Основной текст с отступом Знак1"/>
    <w:basedOn w:val="a4"/>
    <w:rsid w:val="003F165B"/>
    <w:rPr>
      <w:rFonts w:ascii="Calibri" w:eastAsia="Calibri" w:hAnsi="Calibri" w:cs="Times New Roman"/>
    </w:rPr>
  </w:style>
  <w:style w:type="character" w:customStyle="1" w:styleId="1ff5">
    <w:name w:val="Текст выноски Знак1"/>
    <w:aliases w:val="Знак1 Знак1"/>
    <w:basedOn w:val="a4"/>
    <w:rsid w:val="003F165B"/>
    <w:rPr>
      <w:rFonts w:ascii="Tahoma" w:eastAsia="Calibri" w:hAnsi="Tahoma" w:cs="Tahoma"/>
      <w:sz w:val="16"/>
      <w:szCs w:val="16"/>
    </w:rPr>
  </w:style>
  <w:style w:type="table" w:customStyle="1" w:styleId="54">
    <w:name w:val="Сетка таблицы5"/>
    <w:basedOn w:val="a5"/>
    <w:next w:val="aff4"/>
    <w:uiPriority w:val="39"/>
    <w:rsid w:val="003F16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uiPriority w:val="99"/>
    <w:rsid w:val="003F165B"/>
    <w:rPr>
      <w:rFonts w:ascii="Times New Roman" w:hAnsi="Times New Roman" w:cs="Times New Roman" w:hint="default"/>
      <w:sz w:val="26"/>
      <w:szCs w:val="26"/>
    </w:rPr>
  </w:style>
  <w:style w:type="numbering" w:customStyle="1" w:styleId="3c">
    <w:name w:val="Нет списка3"/>
    <w:next w:val="a6"/>
    <w:uiPriority w:val="99"/>
    <w:semiHidden/>
    <w:unhideWhenUsed/>
    <w:rsid w:val="00F04DC6"/>
  </w:style>
  <w:style w:type="table" w:customStyle="1" w:styleId="62">
    <w:name w:val="Сетка таблицы6"/>
    <w:basedOn w:val="a5"/>
    <w:next w:val="aff4"/>
    <w:uiPriority w:val="39"/>
    <w:rsid w:val="00F04D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Shading Accent 1"/>
    <w:basedOn w:val="a5"/>
    <w:uiPriority w:val="60"/>
    <w:rsid w:val="00230683"/>
    <w:pPr>
      <w:spacing w:after="0" w:line="240" w:lineRule="auto"/>
    </w:pPr>
    <w:rPr>
      <w:color w:val="830F0E" w:themeColor="accent1" w:themeShade="BF"/>
    </w:rPr>
    <w:tblPr>
      <w:tblStyleRowBandSize w:val="1"/>
      <w:tblStyleColBandSize w:val="1"/>
      <w:tblBorders>
        <w:top w:val="single" w:sz="8" w:space="0" w:color="B01513" w:themeColor="accent1"/>
        <w:bottom w:val="single" w:sz="8" w:space="0" w:color="B01513" w:themeColor="accent1"/>
      </w:tblBorders>
    </w:tblPr>
    <w:tblStylePr w:type="fir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la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B9B8" w:themeFill="accent1" w:themeFillTint="3F"/>
      </w:tcPr>
    </w:tblStylePr>
    <w:tblStylePr w:type="band1Horz">
      <w:tblPr/>
      <w:tcPr>
        <w:tcBorders>
          <w:left w:val="nil"/>
          <w:right w:val="nil"/>
          <w:insideH w:val="nil"/>
          <w:insideV w:val="nil"/>
        </w:tcBorders>
        <w:shd w:val="clear" w:color="auto" w:fill="F7B9B8" w:themeFill="accent1" w:themeFillTint="3F"/>
      </w:tcPr>
    </w:tblStylePr>
  </w:style>
  <w:style w:type="numbering" w:customStyle="1" w:styleId="44">
    <w:name w:val="Нет списка4"/>
    <w:next w:val="a6"/>
    <w:uiPriority w:val="99"/>
    <w:semiHidden/>
    <w:unhideWhenUsed/>
    <w:rsid w:val="00EE52B8"/>
  </w:style>
  <w:style w:type="paragraph" w:customStyle="1" w:styleId="2f8">
    <w:name w:val="Заголовок2"/>
    <w:basedOn w:val="a3"/>
    <w:next w:val="af7"/>
    <w:qFormat/>
    <w:rsid w:val="00EE52B8"/>
    <w:pPr>
      <w:keepNext/>
      <w:widowControl w:val="0"/>
      <w:suppressAutoHyphens/>
      <w:spacing w:before="240" w:after="120" w:line="200" w:lineRule="atLeast"/>
      <w:ind w:firstLine="0"/>
      <w:jc w:val="left"/>
    </w:pPr>
    <w:rPr>
      <w:rFonts w:ascii="PT Sans" w:eastAsia="Tahoma" w:hAnsi="PT Sans" w:cs="Noto Sans Devanagari"/>
      <w:kern w:val="2"/>
      <w:szCs w:val="28"/>
    </w:rPr>
  </w:style>
  <w:style w:type="paragraph" w:styleId="afffff5">
    <w:name w:val="List"/>
    <w:basedOn w:val="af7"/>
    <w:rsid w:val="00EE52B8"/>
    <w:pPr>
      <w:widowControl w:val="0"/>
      <w:spacing w:after="140" w:line="276" w:lineRule="auto"/>
    </w:pPr>
    <w:rPr>
      <w:rFonts w:ascii="PT Sans" w:eastAsia="Tahoma" w:hAnsi="PT Sans" w:cs="Noto Sans Devanagari"/>
      <w:kern w:val="2"/>
      <w:sz w:val="36"/>
      <w:lang w:eastAsia="en-US"/>
    </w:rPr>
  </w:style>
  <w:style w:type="paragraph" w:styleId="1ff6">
    <w:name w:val="index 1"/>
    <w:basedOn w:val="a3"/>
    <w:next w:val="a3"/>
    <w:autoRedefine/>
    <w:uiPriority w:val="99"/>
    <w:semiHidden/>
    <w:unhideWhenUsed/>
    <w:rsid w:val="00EE52B8"/>
    <w:pPr>
      <w:ind w:left="280" w:hanging="280"/>
    </w:pPr>
  </w:style>
  <w:style w:type="paragraph" w:styleId="afffff6">
    <w:name w:val="index heading"/>
    <w:basedOn w:val="a3"/>
    <w:qFormat/>
    <w:rsid w:val="00EE52B8"/>
    <w:pPr>
      <w:widowControl w:val="0"/>
      <w:suppressLineNumbers/>
      <w:suppressAutoHyphens/>
      <w:spacing w:line="200" w:lineRule="atLeast"/>
      <w:ind w:firstLine="0"/>
      <w:jc w:val="left"/>
    </w:pPr>
    <w:rPr>
      <w:rFonts w:ascii="PT Sans" w:eastAsia="Tahoma" w:hAnsi="PT Sans" w:cs="Noto Sans Devanagari"/>
      <w:kern w:val="2"/>
      <w:sz w:val="36"/>
      <w:szCs w:val="24"/>
    </w:rPr>
  </w:style>
  <w:style w:type="paragraph" w:customStyle="1" w:styleId="afffff7">
    <w:name w:val="Верхний и нижний колонтитулы"/>
    <w:basedOn w:val="a3"/>
    <w:qFormat/>
    <w:rsid w:val="00EE52B8"/>
    <w:pPr>
      <w:widowControl w:val="0"/>
      <w:suppressAutoHyphens/>
      <w:spacing w:line="200" w:lineRule="atLeast"/>
      <w:ind w:firstLine="0"/>
      <w:jc w:val="left"/>
    </w:pPr>
    <w:rPr>
      <w:rFonts w:ascii="Noto Sans Devanagari" w:eastAsia="Tahoma" w:hAnsi="Noto Sans Devanagari" w:cs="neris black"/>
      <w:kern w:val="2"/>
      <w:sz w:val="36"/>
      <w:szCs w:val="24"/>
    </w:rPr>
  </w:style>
  <w:style w:type="paragraph" w:customStyle="1" w:styleId="afffff8">
    <w:name w:val="текст таблица"/>
    <w:basedOn w:val="a3"/>
    <w:qFormat/>
    <w:rsid w:val="00EE52B8"/>
    <w:pPr>
      <w:widowControl w:val="0"/>
      <w:suppressAutoHyphens/>
      <w:spacing w:before="120" w:after="120"/>
      <w:ind w:firstLine="0"/>
      <w:jc w:val="left"/>
    </w:pPr>
    <w:rPr>
      <w:rFonts w:ascii="Arial" w:eastAsia="Times New Roman" w:hAnsi="Arial" w:cs="Times New Roman"/>
      <w:kern w:val="2"/>
      <w:sz w:val="24"/>
      <w:szCs w:val="20"/>
      <w:lang w:eastAsia="ru-RU"/>
    </w:rPr>
  </w:style>
  <w:style w:type="paragraph" w:customStyle="1" w:styleId="afffff9">
    <w:name w:val="Объект без заливки"/>
    <w:basedOn w:val="a3"/>
    <w:qFormat/>
    <w:rsid w:val="00EE52B8"/>
    <w:pPr>
      <w:widowControl w:val="0"/>
      <w:suppressAutoHyphens/>
      <w:spacing w:line="200" w:lineRule="atLeast"/>
      <w:ind w:firstLine="0"/>
      <w:jc w:val="left"/>
    </w:pPr>
    <w:rPr>
      <w:rFonts w:ascii="Noto Sans Devanagari" w:eastAsia="Tahoma" w:hAnsi="Noto Sans Devanagari" w:cs="neris black"/>
      <w:kern w:val="2"/>
      <w:sz w:val="36"/>
      <w:szCs w:val="24"/>
    </w:rPr>
  </w:style>
  <w:style w:type="paragraph" w:customStyle="1" w:styleId="afffffa">
    <w:name w:val="Объект без заливки и линий"/>
    <w:basedOn w:val="a3"/>
    <w:qFormat/>
    <w:rsid w:val="00EE52B8"/>
    <w:pPr>
      <w:widowControl w:val="0"/>
      <w:suppressAutoHyphens/>
      <w:spacing w:line="200" w:lineRule="atLeast"/>
      <w:ind w:firstLine="0"/>
      <w:jc w:val="left"/>
    </w:pPr>
    <w:rPr>
      <w:rFonts w:ascii="Noto Sans Devanagari" w:eastAsia="Tahoma" w:hAnsi="Noto Sans Devanagari" w:cs="neris black"/>
      <w:kern w:val="2"/>
      <w:sz w:val="36"/>
      <w:szCs w:val="24"/>
    </w:rPr>
  </w:style>
  <w:style w:type="paragraph" w:customStyle="1" w:styleId="45">
    <w:name w:val="Заглавие А4"/>
    <w:qFormat/>
    <w:rsid w:val="00EE52B8"/>
    <w:pPr>
      <w:widowControl w:val="0"/>
      <w:suppressLineNumbers/>
      <w:suppressAutoHyphens/>
      <w:spacing w:before="120" w:after="120" w:line="200" w:lineRule="atLeast"/>
    </w:pPr>
    <w:rPr>
      <w:rFonts w:ascii="Noto Sans" w:eastAsia="Tahoma" w:hAnsi="Noto Sans" w:cs="Noto Sans Devanagari"/>
      <w:i/>
      <w:iCs/>
      <w:kern w:val="2"/>
      <w:sz w:val="87"/>
      <w:szCs w:val="24"/>
    </w:rPr>
  </w:style>
  <w:style w:type="paragraph" w:customStyle="1" w:styleId="46">
    <w:name w:val="Заголовок А4"/>
    <w:qFormat/>
    <w:rsid w:val="00EE52B8"/>
    <w:pPr>
      <w:widowControl w:val="0"/>
      <w:suppressLineNumbers/>
      <w:suppressAutoHyphens/>
      <w:spacing w:before="120" w:after="120" w:line="200" w:lineRule="atLeast"/>
    </w:pPr>
    <w:rPr>
      <w:rFonts w:ascii="Noto Sans" w:eastAsia="Tahoma" w:hAnsi="Noto Sans" w:cs="Noto Sans Devanagari"/>
      <w:i/>
      <w:iCs/>
      <w:kern w:val="2"/>
      <w:sz w:val="48"/>
      <w:szCs w:val="24"/>
    </w:rPr>
  </w:style>
  <w:style w:type="paragraph" w:customStyle="1" w:styleId="47">
    <w:name w:val="Текст А4"/>
    <w:qFormat/>
    <w:rsid w:val="00EE52B8"/>
    <w:pPr>
      <w:widowControl w:val="0"/>
      <w:suppressLineNumbers/>
      <w:suppressAutoHyphens/>
      <w:spacing w:before="120" w:after="120" w:line="200" w:lineRule="atLeast"/>
    </w:pPr>
    <w:rPr>
      <w:rFonts w:ascii="Noto Sans" w:eastAsia="Tahoma" w:hAnsi="Noto Sans" w:cs="Noto Sans Devanagari"/>
      <w:i/>
      <w:iCs/>
      <w:kern w:val="2"/>
      <w:sz w:val="36"/>
      <w:szCs w:val="24"/>
    </w:rPr>
  </w:style>
  <w:style w:type="paragraph" w:customStyle="1" w:styleId="A00">
    <w:name w:val="A0"/>
    <w:basedOn w:val="a1"/>
    <w:qFormat/>
    <w:rsid w:val="00EE52B8"/>
    <w:pPr>
      <w:widowControl w:val="0"/>
      <w:numPr>
        <w:numId w:val="0"/>
      </w:numPr>
      <w:suppressLineNumbers/>
      <w:suppressAutoHyphens/>
      <w:spacing w:before="120" w:after="120" w:line="200" w:lineRule="atLeast"/>
    </w:pPr>
    <w:rPr>
      <w:rFonts w:ascii="Noto Sans" w:eastAsia="Tahoma" w:hAnsi="Noto Sans" w:cs="Noto Sans Devanagari"/>
      <w:i/>
      <w:iCs/>
      <w:kern w:val="2"/>
      <w:sz w:val="95"/>
      <w:szCs w:val="24"/>
      <w:lang w:eastAsia="en-US"/>
    </w:rPr>
  </w:style>
  <w:style w:type="paragraph" w:customStyle="1" w:styleId="0">
    <w:name w:val="Заглавие А0"/>
    <w:basedOn w:val="A00"/>
    <w:qFormat/>
    <w:rsid w:val="00EE52B8"/>
    <w:rPr>
      <w:sz w:val="191"/>
    </w:rPr>
  </w:style>
  <w:style w:type="paragraph" w:customStyle="1" w:styleId="00">
    <w:name w:val="Заголовок А0"/>
    <w:basedOn w:val="A00"/>
    <w:qFormat/>
    <w:rsid w:val="00EE52B8"/>
    <w:rPr>
      <w:sz w:val="143"/>
    </w:rPr>
  </w:style>
  <w:style w:type="paragraph" w:customStyle="1" w:styleId="01">
    <w:name w:val="Текст А0"/>
    <w:basedOn w:val="A00"/>
    <w:qFormat/>
    <w:rsid w:val="00EE52B8"/>
  </w:style>
  <w:style w:type="paragraph" w:customStyle="1" w:styleId="afffffb">
    <w:name w:val="Графика"/>
    <w:qFormat/>
    <w:rsid w:val="00EE52B8"/>
    <w:pPr>
      <w:widowControl w:val="0"/>
      <w:suppressAutoHyphens/>
      <w:spacing w:after="0" w:line="240" w:lineRule="auto"/>
    </w:pPr>
    <w:rPr>
      <w:rFonts w:ascii="Liberation Sans" w:eastAsia="Tahoma" w:hAnsi="Liberation Sans" w:cs="neris black"/>
      <w:sz w:val="36"/>
      <w:szCs w:val="24"/>
    </w:rPr>
  </w:style>
  <w:style w:type="paragraph" w:customStyle="1" w:styleId="afffffc">
    <w:name w:val="Фигуры"/>
    <w:basedOn w:val="afffffb"/>
    <w:qFormat/>
    <w:rsid w:val="00EE52B8"/>
    <w:rPr>
      <w:b/>
      <w:sz w:val="28"/>
    </w:rPr>
  </w:style>
  <w:style w:type="paragraph" w:customStyle="1" w:styleId="afffffd">
    <w:name w:val="Заливка"/>
    <w:basedOn w:val="afffffc"/>
    <w:qFormat/>
    <w:rsid w:val="00EE52B8"/>
  </w:style>
  <w:style w:type="paragraph" w:customStyle="1" w:styleId="afffffe">
    <w:name w:val="Заливка синим"/>
    <w:basedOn w:val="afffffd"/>
    <w:qFormat/>
    <w:rsid w:val="00EE52B8"/>
    <w:rPr>
      <w:color w:val="FFFFFF"/>
    </w:rPr>
  </w:style>
  <w:style w:type="paragraph" w:customStyle="1" w:styleId="affffff">
    <w:name w:val="Заливка зелёным"/>
    <w:basedOn w:val="afffffd"/>
    <w:qFormat/>
    <w:rsid w:val="00EE52B8"/>
    <w:rPr>
      <w:color w:val="FFFFFF"/>
    </w:rPr>
  </w:style>
  <w:style w:type="paragraph" w:customStyle="1" w:styleId="affffff0">
    <w:name w:val="Заливка красным"/>
    <w:basedOn w:val="afffffd"/>
    <w:qFormat/>
    <w:rsid w:val="00EE52B8"/>
    <w:rPr>
      <w:color w:val="FFFFFF"/>
    </w:rPr>
  </w:style>
  <w:style w:type="paragraph" w:customStyle="1" w:styleId="affffff1">
    <w:name w:val="Заливка жёлтым"/>
    <w:basedOn w:val="afffffd"/>
    <w:qFormat/>
    <w:rsid w:val="00EE52B8"/>
    <w:rPr>
      <w:color w:val="FFFFFF"/>
    </w:rPr>
  </w:style>
  <w:style w:type="paragraph" w:customStyle="1" w:styleId="affffff2">
    <w:name w:val="Контур"/>
    <w:basedOn w:val="afffffc"/>
    <w:qFormat/>
    <w:rsid w:val="00EE52B8"/>
  </w:style>
  <w:style w:type="paragraph" w:customStyle="1" w:styleId="affffff3">
    <w:name w:val="Контур синий"/>
    <w:basedOn w:val="affffff2"/>
    <w:qFormat/>
    <w:rsid w:val="00EE52B8"/>
    <w:rPr>
      <w:color w:val="355269"/>
    </w:rPr>
  </w:style>
  <w:style w:type="paragraph" w:customStyle="1" w:styleId="affffff4">
    <w:name w:val="Контур зеленый"/>
    <w:basedOn w:val="affffff2"/>
    <w:qFormat/>
    <w:rsid w:val="00EE52B8"/>
    <w:rPr>
      <w:color w:val="127622"/>
    </w:rPr>
  </w:style>
  <w:style w:type="paragraph" w:customStyle="1" w:styleId="affffff5">
    <w:name w:val="Контур красный"/>
    <w:basedOn w:val="affffff2"/>
    <w:qFormat/>
    <w:rsid w:val="00EE52B8"/>
    <w:rPr>
      <w:color w:val="C9211E"/>
    </w:rPr>
  </w:style>
  <w:style w:type="paragraph" w:customStyle="1" w:styleId="affffff6">
    <w:name w:val="Контур жёлтый"/>
    <w:basedOn w:val="affffff2"/>
    <w:qFormat/>
    <w:rsid w:val="00EE52B8"/>
    <w:rPr>
      <w:color w:val="B47804"/>
    </w:rPr>
  </w:style>
  <w:style w:type="paragraph" w:customStyle="1" w:styleId="affffff7">
    <w:name w:val="Линии"/>
    <w:basedOn w:val="afffffb"/>
    <w:qFormat/>
    <w:rsid w:val="00EE52B8"/>
  </w:style>
  <w:style w:type="paragraph" w:customStyle="1" w:styleId="affffff8">
    <w:name w:val="Стрелки"/>
    <w:basedOn w:val="affffff7"/>
    <w:qFormat/>
    <w:rsid w:val="00EE52B8"/>
  </w:style>
  <w:style w:type="paragraph" w:customStyle="1" w:styleId="affffff9">
    <w:name w:val="Штриховая линия"/>
    <w:basedOn w:val="affffff7"/>
    <w:qFormat/>
    <w:rsid w:val="00EE52B8"/>
  </w:style>
  <w:style w:type="paragraph" w:customStyle="1" w:styleId="withphotoLTGliederung1">
    <w:name w:val="with photo~LT~Gliederung 1"/>
    <w:qFormat/>
    <w:rsid w:val="00EE52B8"/>
    <w:pPr>
      <w:widowControl w:val="0"/>
      <w:suppressAutoHyphens/>
      <w:spacing w:before="283" w:after="0" w:line="216" w:lineRule="auto"/>
    </w:pPr>
    <w:rPr>
      <w:rFonts w:ascii="Noto Sans Devanagari" w:eastAsia="Tahoma" w:hAnsi="Noto Sans Devanagari" w:cs="neris black"/>
      <w:color w:val="000000"/>
      <w:kern w:val="2"/>
      <w:sz w:val="88"/>
      <w:szCs w:val="24"/>
    </w:rPr>
  </w:style>
  <w:style w:type="paragraph" w:customStyle="1" w:styleId="withphotoLTGliederung2">
    <w:name w:val="with photo~LT~Gliederung 2"/>
    <w:basedOn w:val="withphotoLTGliederung1"/>
    <w:qFormat/>
    <w:rsid w:val="00EE52B8"/>
    <w:pPr>
      <w:spacing w:before="227"/>
    </w:pPr>
    <w:rPr>
      <w:sz w:val="62"/>
    </w:rPr>
  </w:style>
  <w:style w:type="paragraph" w:customStyle="1" w:styleId="withphotoLTGliederung3">
    <w:name w:val="with photo~LT~Gliederung 3"/>
    <w:basedOn w:val="withphotoLTGliederung2"/>
    <w:qFormat/>
    <w:rsid w:val="00EE52B8"/>
    <w:pPr>
      <w:spacing w:before="170"/>
    </w:pPr>
    <w:rPr>
      <w:sz w:val="56"/>
    </w:rPr>
  </w:style>
  <w:style w:type="paragraph" w:customStyle="1" w:styleId="withphotoLTGliederung4">
    <w:name w:val="with photo~LT~Gliederung 4"/>
    <w:basedOn w:val="withphotoLTGliederung3"/>
    <w:qFormat/>
    <w:rsid w:val="00EE52B8"/>
    <w:pPr>
      <w:spacing w:before="113"/>
    </w:pPr>
  </w:style>
  <w:style w:type="paragraph" w:customStyle="1" w:styleId="withphotoLTGliederung5">
    <w:name w:val="with photo~LT~Gliederung 5"/>
    <w:basedOn w:val="withphotoLTGliederung4"/>
    <w:qFormat/>
    <w:rsid w:val="00EE52B8"/>
    <w:pPr>
      <w:spacing w:before="57"/>
    </w:pPr>
    <w:rPr>
      <w:sz w:val="40"/>
    </w:rPr>
  </w:style>
  <w:style w:type="paragraph" w:customStyle="1" w:styleId="withphotoLTGliederung6">
    <w:name w:val="with photo~LT~Gliederung 6"/>
    <w:basedOn w:val="withphotoLTGliederung5"/>
    <w:qFormat/>
    <w:rsid w:val="00EE52B8"/>
  </w:style>
  <w:style w:type="paragraph" w:customStyle="1" w:styleId="withphotoLTGliederung7">
    <w:name w:val="with photo~LT~Gliederung 7"/>
    <w:basedOn w:val="withphotoLTGliederung6"/>
    <w:qFormat/>
    <w:rsid w:val="00EE52B8"/>
  </w:style>
  <w:style w:type="paragraph" w:customStyle="1" w:styleId="withphotoLTGliederung8">
    <w:name w:val="with photo~LT~Gliederung 8"/>
    <w:basedOn w:val="withphotoLTGliederung7"/>
    <w:qFormat/>
    <w:rsid w:val="00EE52B8"/>
  </w:style>
  <w:style w:type="paragraph" w:customStyle="1" w:styleId="withphotoLTGliederung9">
    <w:name w:val="with photo~LT~Gliederung 9"/>
    <w:basedOn w:val="withphotoLTGliederung8"/>
    <w:qFormat/>
    <w:rsid w:val="00EE52B8"/>
  </w:style>
  <w:style w:type="paragraph" w:customStyle="1" w:styleId="withphotoLTTitel">
    <w:name w:val="with photo~LT~Titel"/>
    <w:qFormat/>
    <w:rsid w:val="00EE52B8"/>
    <w:pPr>
      <w:widowControl w:val="0"/>
      <w:suppressAutoHyphens/>
      <w:spacing w:after="0" w:line="200" w:lineRule="atLeast"/>
    </w:pPr>
    <w:rPr>
      <w:rFonts w:ascii="Noto Sans Devanagari" w:eastAsia="Tahoma" w:hAnsi="Noto Sans Devanagari" w:cs="neris black"/>
      <w:color w:val="000000"/>
      <w:kern w:val="2"/>
      <w:sz w:val="34"/>
      <w:szCs w:val="24"/>
    </w:rPr>
  </w:style>
  <w:style w:type="paragraph" w:customStyle="1" w:styleId="withphotoLTUntertitel">
    <w:name w:val="with photo~LT~Untertitel"/>
    <w:qFormat/>
    <w:rsid w:val="00EE52B8"/>
    <w:pPr>
      <w:widowControl w:val="0"/>
      <w:suppressAutoHyphens/>
      <w:spacing w:after="0" w:line="240" w:lineRule="auto"/>
      <w:jc w:val="center"/>
    </w:pPr>
    <w:rPr>
      <w:rFonts w:ascii="Noto Sans Devanagari" w:eastAsia="Tahoma" w:hAnsi="Noto Sans Devanagari" w:cs="neris black"/>
      <w:kern w:val="2"/>
      <w:sz w:val="64"/>
      <w:szCs w:val="24"/>
    </w:rPr>
  </w:style>
  <w:style w:type="paragraph" w:customStyle="1" w:styleId="withphotoLTNotizen">
    <w:name w:val="with photo~LT~Notizen"/>
    <w:qFormat/>
    <w:rsid w:val="00EE52B8"/>
    <w:pPr>
      <w:widowControl w:val="0"/>
      <w:suppressAutoHyphens/>
      <w:spacing w:after="0" w:line="240" w:lineRule="auto"/>
      <w:ind w:left="340" w:hanging="340"/>
    </w:pPr>
    <w:rPr>
      <w:rFonts w:ascii="Noto Sans Devanagari" w:eastAsia="Tahoma" w:hAnsi="Noto Sans Devanagari" w:cs="neris black"/>
      <w:kern w:val="2"/>
      <w:sz w:val="40"/>
      <w:szCs w:val="24"/>
    </w:rPr>
  </w:style>
  <w:style w:type="paragraph" w:customStyle="1" w:styleId="withphotoLTHintergrundobjekte">
    <w:name w:val="with photo~LT~Hintergrundobjekte"/>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withphotoLTHintergrund">
    <w:name w:val="with photo~LT~Hintergrund"/>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default0">
    <w:name w:val="default"/>
    <w:qFormat/>
    <w:rsid w:val="00EE52B8"/>
    <w:pPr>
      <w:widowControl w:val="0"/>
      <w:suppressAutoHyphens/>
      <w:spacing w:after="0" w:line="200" w:lineRule="atLeast"/>
    </w:pPr>
    <w:rPr>
      <w:rFonts w:ascii="Noto Sans Devanagari" w:eastAsia="Tahoma" w:hAnsi="Noto Sans Devanagari" w:cs="neris black"/>
      <w:kern w:val="2"/>
      <w:sz w:val="36"/>
      <w:szCs w:val="24"/>
    </w:rPr>
  </w:style>
  <w:style w:type="paragraph" w:customStyle="1" w:styleId="gray1">
    <w:name w:val="gray1"/>
    <w:basedOn w:val="default0"/>
    <w:qFormat/>
    <w:rsid w:val="00EE52B8"/>
  </w:style>
  <w:style w:type="paragraph" w:customStyle="1" w:styleId="gray2">
    <w:name w:val="gray2"/>
    <w:basedOn w:val="default0"/>
    <w:qFormat/>
    <w:rsid w:val="00EE52B8"/>
  </w:style>
  <w:style w:type="paragraph" w:customStyle="1" w:styleId="gray3">
    <w:name w:val="gray3"/>
    <w:basedOn w:val="default0"/>
    <w:qFormat/>
    <w:rsid w:val="00EE52B8"/>
  </w:style>
  <w:style w:type="paragraph" w:customStyle="1" w:styleId="bw1">
    <w:name w:val="bw1"/>
    <w:basedOn w:val="default0"/>
    <w:qFormat/>
    <w:rsid w:val="00EE52B8"/>
  </w:style>
  <w:style w:type="paragraph" w:customStyle="1" w:styleId="bw2">
    <w:name w:val="bw2"/>
    <w:basedOn w:val="default0"/>
    <w:qFormat/>
    <w:rsid w:val="00EE52B8"/>
  </w:style>
  <w:style w:type="paragraph" w:customStyle="1" w:styleId="bw3">
    <w:name w:val="bw3"/>
    <w:basedOn w:val="default0"/>
    <w:qFormat/>
    <w:rsid w:val="00EE52B8"/>
  </w:style>
  <w:style w:type="paragraph" w:customStyle="1" w:styleId="orange1">
    <w:name w:val="orange1"/>
    <w:basedOn w:val="default0"/>
    <w:qFormat/>
    <w:rsid w:val="00EE52B8"/>
  </w:style>
  <w:style w:type="paragraph" w:customStyle="1" w:styleId="orange2">
    <w:name w:val="orange2"/>
    <w:basedOn w:val="default0"/>
    <w:qFormat/>
    <w:rsid w:val="00EE52B8"/>
  </w:style>
  <w:style w:type="paragraph" w:customStyle="1" w:styleId="orange3">
    <w:name w:val="orange3"/>
    <w:basedOn w:val="default0"/>
    <w:qFormat/>
    <w:rsid w:val="00EE52B8"/>
  </w:style>
  <w:style w:type="paragraph" w:customStyle="1" w:styleId="turquoise1">
    <w:name w:val="turquoise1"/>
    <w:basedOn w:val="default0"/>
    <w:qFormat/>
    <w:rsid w:val="00EE52B8"/>
  </w:style>
  <w:style w:type="paragraph" w:customStyle="1" w:styleId="turquoise2">
    <w:name w:val="turquoise2"/>
    <w:basedOn w:val="default0"/>
    <w:qFormat/>
    <w:rsid w:val="00EE52B8"/>
  </w:style>
  <w:style w:type="paragraph" w:customStyle="1" w:styleId="turquoise3">
    <w:name w:val="turquoise3"/>
    <w:basedOn w:val="default0"/>
    <w:qFormat/>
    <w:rsid w:val="00EE52B8"/>
  </w:style>
  <w:style w:type="paragraph" w:customStyle="1" w:styleId="blue1">
    <w:name w:val="blue1"/>
    <w:basedOn w:val="default0"/>
    <w:qFormat/>
    <w:rsid w:val="00EE52B8"/>
  </w:style>
  <w:style w:type="paragraph" w:customStyle="1" w:styleId="blue2">
    <w:name w:val="blue2"/>
    <w:basedOn w:val="default0"/>
    <w:qFormat/>
    <w:rsid w:val="00EE52B8"/>
  </w:style>
  <w:style w:type="paragraph" w:customStyle="1" w:styleId="blue3">
    <w:name w:val="blue3"/>
    <w:basedOn w:val="default0"/>
    <w:qFormat/>
    <w:rsid w:val="00EE52B8"/>
  </w:style>
  <w:style w:type="paragraph" w:customStyle="1" w:styleId="sun1">
    <w:name w:val="sun1"/>
    <w:basedOn w:val="default0"/>
    <w:qFormat/>
    <w:rsid w:val="00EE52B8"/>
  </w:style>
  <w:style w:type="paragraph" w:customStyle="1" w:styleId="sun2">
    <w:name w:val="sun2"/>
    <w:basedOn w:val="default0"/>
    <w:qFormat/>
    <w:rsid w:val="00EE52B8"/>
  </w:style>
  <w:style w:type="paragraph" w:customStyle="1" w:styleId="sun3">
    <w:name w:val="sun3"/>
    <w:basedOn w:val="default0"/>
    <w:qFormat/>
    <w:rsid w:val="00EE52B8"/>
  </w:style>
  <w:style w:type="paragraph" w:customStyle="1" w:styleId="earth1">
    <w:name w:val="earth1"/>
    <w:basedOn w:val="default0"/>
    <w:qFormat/>
    <w:rsid w:val="00EE52B8"/>
  </w:style>
  <w:style w:type="paragraph" w:customStyle="1" w:styleId="earth2">
    <w:name w:val="earth2"/>
    <w:basedOn w:val="default0"/>
    <w:qFormat/>
    <w:rsid w:val="00EE52B8"/>
  </w:style>
  <w:style w:type="paragraph" w:customStyle="1" w:styleId="earth3">
    <w:name w:val="earth3"/>
    <w:basedOn w:val="default0"/>
    <w:qFormat/>
    <w:rsid w:val="00EE52B8"/>
  </w:style>
  <w:style w:type="paragraph" w:customStyle="1" w:styleId="green1">
    <w:name w:val="green1"/>
    <w:basedOn w:val="default0"/>
    <w:qFormat/>
    <w:rsid w:val="00EE52B8"/>
  </w:style>
  <w:style w:type="paragraph" w:customStyle="1" w:styleId="green2">
    <w:name w:val="green2"/>
    <w:basedOn w:val="default0"/>
    <w:qFormat/>
    <w:rsid w:val="00EE52B8"/>
  </w:style>
  <w:style w:type="paragraph" w:customStyle="1" w:styleId="green3">
    <w:name w:val="green3"/>
    <w:basedOn w:val="default0"/>
    <w:qFormat/>
    <w:rsid w:val="00EE52B8"/>
  </w:style>
  <w:style w:type="paragraph" w:customStyle="1" w:styleId="seetang1">
    <w:name w:val="seetang1"/>
    <w:basedOn w:val="default0"/>
    <w:qFormat/>
    <w:rsid w:val="00EE52B8"/>
  </w:style>
  <w:style w:type="paragraph" w:customStyle="1" w:styleId="seetang2">
    <w:name w:val="seetang2"/>
    <w:basedOn w:val="default0"/>
    <w:qFormat/>
    <w:rsid w:val="00EE52B8"/>
  </w:style>
  <w:style w:type="paragraph" w:customStyle="1" w:styleId="seetang3">
    <w:name w:val="seetang3"/>
    <w:basedOn w:val="default0"/>
    <w:qFormat/>
    <w:rsid w:val="00EE52B8"/>
  </w:style>
  <w:style w:type="paragraph" w:customStyle="1" w:styleId="lightblue1">
    <w:name w:val="lightblue1"/>
    <w:basedOn w:val="default0"/>
    <w:qFormat/>
    <w:rsid w:val="00EE52B8"/>
  </w:style>
  <w:style w:type="paragraph" w:customStyle="1" w:styleId="lightblue2">
    <w:name w:val="lightblue2"/>
    <w:basedOn w:val="default0"/>
    <w:qFormat/>
    <w:rsid w:val="00EE52B8"/>
  </w:style>
  <w:style w:type="paragraph" w:customStyle="1" w:styleId="lightblue3">
    <w:name w:val="lightblue3"/>
    <w:basedOn w:val="default0"/>
    <w:qFormat/>
    <w:rsid w:val="00EE52B8"/>
  </w:style>
  <w:style w:type="paragraph" w:customStyle="1" w:styleId="yellow1">
    <w:name w:val="yellow1"/>
    <w:basedOn w:val="default0"/>
    <w:qFormat/>
    <w:rsid w:val="00EE52B8"/>
  </w:style>
  <w:style w:type="paragraph" w:customStyle="1" w:styleId="yellow2">
    <w:name w:val="yellow2"/>
    <w:basedOn w:val="default0"/>
    <w:qFormat/>
    <w:rsid w:val="00EE52B8"/>
  </w:style>
  <w:style w:type="paragraph" w:customStyle="1" w:styleId="yellow3">
    <w:name w:val="yellow3"/>
    <w:basedOn w:val="default0"/>
    <w:qFormat/>
    <w:rsid w:val="00EE52B8"/>
  </w:style>
  <w:style w:type="paragraph" w:customStyle="1" w:styleId="affffffa">
    <w:name w:val="Объекты фона"/>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affffffb">
    <w:name w:val="Фон"/>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affffffc">
    <w:name w:val="Примечания"/>
    <w:qFormat/>
    <w:rsid w:val="00EE52B8"/>
    <w:pPr>
      <w:widowControl w:val="0"/>
      <w:suppressAutoHyphens/>
      <w:spacing w:after="0" w:line="240" w:lineRule="auto"/>
      <w:ind w:left="340" w:hanging="340"/>
    </w:pPr>
    <w:rPr>
      <w:rFonts w:ascii="Noto Sans Devanagari" w:eastAsia="Tahoma" w:hAnsi="Noto Sans Devanagari" w:cs="neris black"/>
      <w:kern w:val="2"/>
      <w:sz w:val="40"/>
      <w:szCs w:val="24"/>
    </w:rPr>
  </w:style>
  <w:style w:type="paragraph" w:customStyle="1" w:styleId="1ff7">
    <w:name w:val="Структура 1"/>
    <w:qFormat/>
    <w:rsid w:val="00EE52B8"/>
    <w:pPr>
      <w:widowControl w:val="0"/>
      <w:suppressAutoHyphens/>
      <w:spacing w:before="283" w:after="0" w:line="216" w:lineRule="auto"/>
    </w:pPr>
    <w:rPr>
      <w:rFonts w:ascii="Noto Sans Devanagari" w:eastAsia="Tahoma" w:hAnsi="Noto Sans Devanagari" w:cs="neris black"/>
      <w:color w:val="000000"/>
      <w:kern w:val="2"/>
      <w:sz w:val="88"/>
      <w:szCs w:val="24"/>
    </w:rPr>
  </w:style>
  <w:style w:type="paragraph" w:customStyle="1" w:styleId="2f9">
    <w:name w:val="Структура 2"/>
    <w:basedOn w:val="1ff7"/>
    <w:qFormat/>
    <w:rsid w:val="00EE52B8"/>
    <w:pPr>
      <w:spacing w:before="227"/>
    </w:pPr>
    <w:rPr>
      <w:sz w:val="62"/>
    </w:rPr>
  </w:style>
  <w:style w:type="paragraph" w:customStyle="1" w:styleId="3d">
    <w:name w:val="Структура 3"/>
    <w:basedOn w:val="2f9"/>
    <w:qFormat/>
    <w:rsid w:val="00EE52B8"/>
    <w:pPr>
      <w:spacing w:before="170"/>
    </w:pPr>
    <w:rPr>
      <w:sz w:val="56"/>
    </w:rPr>
  </w:style>
  <w:style w:type="paragraph" w:customStyle="1" w:styleId="48">
    <w:name w:val="Структура 4"/>
    <w:basedOn w:val="3d"/>
    <w:qFormat/>
    <w:rsid w:val="00EE52B8"/>
    <w:pPr>
      <w:spacing w:before="113"/>
    </w:pPr>
  </w:style>
  <w:style w:type="paragraph" w:customStyle="1" w:styleId="55">
    <w:name w:val="Структура 5"/>
    <w:basedOn w:val="48"/>
    <w:qFormat/>
    <w:rsid w:val="00EE52B8"/>
    <w:pPr>
      <w:spacing w:before="57"/>
    </w:pPr>
    <w:rPr>
      <w:sz w:val="40"/>
    </w:rPr>
  </w:style>
  <w:style w:type="paragraph" w:customStyle="1" w:styleId="63">
    <w:name w:val="Структура 6"/>
    <w:basedOn w:val="55"/>
    <w:qFormat/>
    <w:rsid w:val="00EE52B8"/>
  </w:style>
  <w:style w:type="paragraph" w:customStyle="1" w:styleId="71">
    <w:name w:val="Структура 7"/>
    <w:basedOn w:val="63"/>
    <w:qFormat/>
    <w:rsid w:val="00EE52B8"/>
  </w:style>
  <w:style w:type="paragraph" w:customStyle="1" w:styleId="81">
    <w:name w:val="Структура 8"/>
    <w:basedOn w:val="71"/>
    <w:qFormat/>
    <w:rsid w:val="00EE52B8"/>
  </w:style>
  <w:style w:type="paragraph" w:customStyle="1" w:styleId="91">
    <w:name w:val="Структура 9"/>
    <w:basedOn w:val="81"/>
    <w:qFormat/>
    <w:rsid w:val="00EE52B8"/>
  </w:style>
  <w:style w:type="paragraph" w:customStyle="1" w:styleId="LTGliederung1">
    <w:name w:val="Обычный~LT~Gliederung 1"/>
    <w:qFormat/>
    <w:rsid w:val="00EE52B8"/>
    <w:pPr>
      <w:widowControl w:val="0"/>
      <w:suppressAutoHyphens/>
      <w:spacing w:before="283" w:after="0" w:line="216" w:lineRule="auto"/>
    </w:pPr>
    <w:rPr>
      <w:rFonts w:ascii="Noto Sans Devanagari" w:eastAsia="Tahoma" w:hAnsi="Noto Sans Devanagari" w:cs="neris black"/>
      <w:color w:val="141414"/>
      <w:kern w:val="2"/>
      <w:sz w:val="47"/>
      <w:szCs w:val="24"/>
    </w:rPr>
  </w:style>
  <w:style w:type="paragraph" w:customStyle="1" w:styleId="LTGliederung2">
    <w:name w:val="Обычный~LT~Gliederung 2"/>
    <w:basedOn w:val="LTGliederung1"/>
    <w:qFormat/>
    <w:rsid w:val="00EE52B8"/>
    <w:pPr>
      <w:spacing w:before="227"/>
    </w:pPr>
    <w:rPr>
      <w:color w:val="000000"/>
      <w:sz w:val="56"/>
    </w:rPr>
  </w:style>
  <w:style w:type="paragraph" w:customStyle="1" w:styleId="LTGliederung3">
    <w:name w:val="Обычный~LT~Gliederung 3"/>
    <w:basedOn w:val="LTGliederung2"/>
    <w:qFormat/>
    <w:rsid w:val="00EE52B8"/>
    <w:pPr>
      <w:spacing w:before="170"/>
    </w:pPr>
    <w:rPr>
      <w:b/>
      <w:sz w:val="50"/>
    </w:rPr>
  </w:style>
  <w:style w:type="paragraph" w:customStyle="1" w:styleId="LTGliederung4">
    <w:name w:val="Обычный~LT~Gliederung 4"/>
    <w:basedOn w:val="LTGliederung3"/>
    <w:qFormat/>
    <w:rsid w:val="00EE52B8"/>
    <w:pPr>
      <w:spacing w:before="113"/>
    </w:pPr>
    <w:rPr>
      <w:b w:val="0"/>
      <w:sz w:val="47"/>
    </w:rPr>
  </w:style>
  <w:style w:type="paragraph" w:customStyle="1" w:styleId="LTGliederung5">
    <w:name w:val="Обычный~LT~Gliederung 5"/>
    <w:basedOn w:val="LTGliederung4"/>
    <w:qFormat/>
    <w:rsid w:val="00EE52B8"/>
    <w:pPr>
      <w:spacing w:before="57"/>
    </w:pPr>
    <w:rPr>
      <w:sz w:val="40"/>
    </w:rPr>
  </w:style>
  <w:style w:type="paragraph" w:customStyle="1" w:styleId="LTGliederung6">
    <w:name w:val="Обычный~LT~Gliederung 6"/>
    <w:basedOn w:val="LTGliederung5"/>
    <w:qFormat/>
    <w:rsid w:val="00EE52B8"/>
  </w:style>
  <w:style w:type="paragraph" w:customStyle="1" w:styleId="LTGliederung7">
    <w:name w:val="Обычный~LT~Gliederung 7"/>
    <w:basedOn w:val="LTGliederung6"/>
    <w:qFormat/>
    <w:rsid w:val="00EE52B8"/>
  </w:style>
  <w:style w:type="paragraph" w:customStyle="1" w:styleId="LTGliederung8">
    <w:name w:val="Обычный~LT~Gliederung 8"/>
    <w:basedOn w:val="LTGliederung7"/>
    <w:qFormat/>
    <w:rsid w:val="00EE52B8"/>
  </w:style>
  <w:style w:type="paragraph" w:customStyle="1" w:styleId="LTGliederung9">
    <w:name w:val="Обычный~LT~Gliederung 9"/>
    <w:basedOn w:val="LTGliederung8"/>
    <w:qFormat/>
    <w:rsid w:val="00EE52B8"/>
  </w:style>
  <w:style w:type="paragraph" w:customStyle="1" w:styleId="LTTitel">
    <w:name w:val="Обычный~LT~Titel"/>
    <w:qFormat/>
    <w:rsid w:val="00EE52B8"/>
    <w:pPr>
      <w:widowControl w:val="0"/>
      <w:suppressAutoHyphens/>
      <w:spacing w:after="0" w:line="200" w:lineRule="atLeast"/>
    </w:pPr>
    <w:rPr>
      <w:rFonts w:ascii="Noto Sans Devanagari" w:eastAsia="Tahoma" w:hAnsi="Noto Sans Devanagari" w:cs="neris black"/>
      <w:color w:val="000000"/>
      <w:kern w:val="2"/>
      <w:sz w:val="34"/>
      <w:szCs w:val="24"/>
    </w:rPr>
  </w:style>
  <w:style w:type="paragraph" w:customStyle="1" w:styleId="LTUntertitel">
    <w:name w:val="Обычный~LT~Untertitel"/>
    <w:qFormat/>
    <w:rsid w:val="00EE52B8"/>
    <w:pPr>
      <w:widowControl w:val="0"/>
      <w:suppressAutoHyphens/>
      <w:spacing w:after="0" w:line="240" w:lineRule="auto"/>
      <w:jc w:val="center"/>
    </w:pPr>
    <w:rPr>
      <w:rFonts w:ascii="Noto Sans Devanagari" w:eastAsia="Tahoma" w:hAnsi="Noto Sans Devanagari" w:cs="neris black"/>
      <w:kern w:val="2"/>
      <w:sz w:val="64"/>
      <w:szCs w:val="24"/>
    </w:rPr>
  </w:style>
  <w:style w:type="paragraph" w:customStyle="1" w:styleId="LTNotizen">
    <w:name w:val="Обычный~LT~Notizen"/>
    <w:qFormat/>
    <w:rsid w:val="00EE52B8"/>
    <w:pPr>
      <w:widowControl w:val="0"/>
      <w:suppressAutoHyphens/>
      <w:spacing w:after="0" w:line="240" w:lineRule="auto"/>
      <w:ind w:left="340" w:hanging="340"/>
    </w:pPr>
    <w:rPr>
      <w:rFonts w:ascii="Noto Sans Devanagari" w:eastAsia="Tahoma" w:hAnsi="Noto Sans Devanagari" w:cs="neris black"/>
      <w:kern w:val="2"/>
      <w:sz w:val="40"/>
      <w:szCs w:val="24"/>
    </w:rPr>
  </w:style>
  <w:style w:type="paragraph" w:customStyle="1" w:styleId="LTHintergrundobjekte">
    <w:name w:val="Обычный~LT~Hintergrundobjekte"/>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LTHintergrund">
    <w:name w:val="Обычный~LT~Hintergrund"/>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LTGliederung10">
    <w:name w:val="Титульный слайд~LT~Gliederung 1"/>
    <w:qFormat/>
    <w:rsid w:val="00EE52B8"/>
    <w:pPr>
      <w:widowControl w:val="0"/>
      <w:suppressAutoHyphens/>
      <w:spacing w:before="283" w:after="0" w:line="216" w:lineRule="auto"/>
    </w:pPr>
    <w:rPr>
      <w:rFonts w:ascii="Noto Sans Devanagari" w:eastAsia="Tahoma" w:hAnsi="Noto Sans Devanagari" w:cs="neris black"/>
      <w:color w:val="000000"/>
      <w:kern w:val="2"/>
      <w:sz w:val="88"/>
      <w:szCs w:val="24"/>
    </w:rPr>
  </w:style>
  <w:style w:type="paragraph" w:customStyle="1" w:styleId="LTGliederung20">
    <w:name w:val="Титульный слайд~LT~Gliederung 2"/>
    <w:basedOn w:val="LTGliederung10"/>
    <w:qFormat/>
    <w:rsid w:val="00EE52B8"/>
    <w:pPr>
      <w:spacing w:before="227"/>
    </w:pPr>
    <w:rPr>
      <w:sz w:val="62"/>
    </w:rPr>
  </w:style>
  <w:style w:type="paragraph" w:customStyle="1" w:styleId="LTGliederung30">
    <w:name w:val="Титульный слайд~LT~Gliederung 3"/>
    <w:basedOn w:val="LTGliederung20"/>
    <w:qFormat/>
    <w:rsid w:val="00EE52B8"/>
    <w:pPr>
      <w:spacing w:before="170"/>
    </w:pPr>
    <w:rPr>
      <w:sz w:val="56"/>
    </w:rPr>
  </w:style>
  <w:style w:type="paragraph" w:customStyle="1" w:styleId="LTGliederung40">
    <w:name w:val="Титульный слайд~LT~Gliederung 4"/>
    <w:basedOn w:val="LTGliederung30"/>
    <w:qFormat/>
    <w:rsid w:val="00EE52B8"/>
    <w:pPr>
      <w:spacing w:before="113"/>
    </w:pPr>
  </w:style>
  <w:style w:type="paragraph" w:customStyle="1" w:styleId="LTGliederung50">
    <w:name w:val="Титульный слайд~LT~Gliederung 5"/>
    <w:basedOn w:val="LTGliederung40"/>
    <w:qFormat/>
    <w:rsid w:val="00EE52B8"/>
    <w:pPr>
      <w:spacing w:before="57"/>
    </w:pPr>
    <w:rPr>
      <w:sz w:val="40"/>
    </w:rPr>
  </w:style>
  <w:style w:type="paragraph" w:customStyle="1" w:styleId="LTGliederung60">
    <w:name w:val="Титульный слайд~LT~Gliederung 6"/>
    <w:basedOn w:val="LTGliederung50"/>
    <w:qFormat/>
    <w:rsid w:val="00EE52B8"/>
  </w:style>
  <w:style w:type="paragraph" w:customStyle="1" w:styleId="LTGliederung70">
    <w:name w:val="Титульный слайд~LT~Gliederung 7"/>
    <w:basedOn w:val="LTGliederung60"/>
    <w:qFormat/>
    <w:rsid w:val="00EE52B8"/>
  </w:style>
  <w:style w:type="paragraph" w:customStyle="1" w:styleId="LTGliederung80">
    <w:name w:val="Титульный слайд~LT~Gliederung 8"/>
    <w:basedOn w:val="LTGliederung70"/>
    <w:qFormat/>
    <w:rsid w:val="00EE52B8"/>
  </w:style>
  <w:style w:type="paragraph" w:customStyle="1" w:styleId="LTGliederung90">
    <w:name w:val="Титульный слайд~LT~Gliederung 9"/>
    <w:basedOn w:val="LTGliederung80"/>
    <w:qFormat/>
    <w:rsid w:val="00EE52B8"/>
  </w:style>
  <w:style w:type="paragraph" w:customStyle="1" w:styleId="LTTitel0">
    <w:name w:val="Титульный слайд~LT~Titel"/>
    <w:qFormat/>
    <w:rsid w:val="00EE52B8"/>
    <w:pPr>
      <w:widowControl w:val="0"/>
      <w:suppressAutoHyphens/>
      <w:spacing w:after="0" w:line="200" w:lineRule="atLeast"/>
    </w:pPr>
    <w:rPr>
      <w:rFonts w:ascii="Noto Sans Devanagari" w:eastAsia="Tahoma" w:hAnsi="Noto Sans Devanagari" w:cs="neris black"/>
      <w:color w:val="000000"/>
      <w:kern w:val="2"/>
      <w:sz w:val="34"/>
      <w:szCs w:val="24"/>
    </w:rPr>
  </w:style>
  <w:style w:type="paragraph" w:customStyle="1" w:styleId="LTUntertitel0">
    <w:name w:val="Титульный слайд~LT~Untertitel"/>
    <w:qFormat/>
    <w:rsid w:val="00EE52B8"/>
    <w:pPr>
      <w:widowControl w:val="0"/>
      <w:suppressAutoHyphens/>
      <w:spacing w:after="0" w:line="240" w:lineRule="auto"/>
      <w:jc w:val="center"/>
    </w:pPr>
    <w:rPr>
      <w:rFonts w:ascii="Noto Sans Devanagari" w:eastAsia="Tahoma" w:hAnsi="Noto Sans Devanagari" w:cs="neris black"/>
      <w:kern w:val="2"/>
      <w:sz w:val="64"/>
      <w:szCs w:val="24"/>
    </w:rPr>
  </w:style>
  <w:style w:type="paragraph" w:customStyle="1" w:styleId="LTNotizen0">
    <w:name w:val="Титульный слайд~LT~Notizen"/>
    <w:qFormat/>
    <w:rsid w:val="00EE52B8"/>
    <w:pPr>
      <w:widowControl w:val="0"/>
      <w:suppressAutoHyphens/>
      <w:spacing w:after="0" w:line="240" w:lineRule="auto"/>
      <w:ind w:left="340" w:hanging="340"/>
    </w:pPr>
    <w:rPr>
      <w:rFonts w:ascii="Noto Sans Devanagari" w:eastAsia="Tahoma" w:hAnsi="Noto Sans Devanagari" w:cs="neris black"/>
      <w:kern w:val="2"/>
      <w:sz w:val="40"/>
      <w:szCs w:val="24"/>
    </w:rPr>
  </w:style>
  <w:style w:type="paragraph" w:customStyle="1" w:styleId="LTHintergrundobjekte0">
    <w:name w:val="Титульный слайд~LT~Hintergrundobjekte"/>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LTHintergrund0">
    <w:name w:val="Титульный слайд~LT~Hintergrund"/>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1LTGliederung1">
    <w:name w:val="Обычный 1~LT~Gliederung 1"/>
    <w:qFormat/>
    <w:rsid w:val="00EE52B8"/>
    <w:pPr>
      <w:widowControl w:val="0"/>
      <w:suppressAutoHyphens/>
      <w:spacing w:before="283" w:after="0" w:line="216" w:lineRule="auto"/>
    </w:pPr>
    <w:rPr>
      <w:rFonts w:ascii="Noto Sans Devanagari" w:eastAsia="Tahoma" w:hAnsi="Noto Sans Devanagari" w:cs="neris black"/>
      <w:color w:val="000000"/>
      <w:kern w:val="2"/>
      <w:sz w:val="88"/>
      <w:szCs w:val="24"/>
    </w:rPr>
  </w:style>
  <w:style w:type="paragraph" w:customStyle="1" w:styleId="1LTGliederung2">
    <w:name w:val="Обычный 1~LT~Gliederung 2"/>
    <w:basedOn w:val="1LTGliederung1"/>
    <w:qFormat/>
    <w:rsid w:val="00EE52B8"/>
    <w:pPr>
      <w:spacing w:before="227"/>
    </w:pPr>
    <w:rPr>
      <w:sz w:val="62"/>
    </w:rPr>
  </w:style>
  <w:style w:type="paragraph" w:customStyle="1" w:styleId="1LTGliederung3">
    <w:name w:val="Обычный 1~LT~Gliederung 3"/>
    <w:basedOn w:val="1LTGliederung2"/>
    <w:qFormat/>
    <w:rsid w:val="00EE52B8"/>
    <w:pPr>
      <w:spacing w:before="170"/>
    </w:pPr>
    <w:rPr>
      <w:sz w:val="56"/>
    </w:rPr>
  </w:style>
  <w:style w:type="paragraph" w:customStyle="1" w:styleId="1LTGliederung4">
    <w:name w:val="Обычный 1~LT~Gliederung 4"/>
    <w:basedOn w:val="1LTGliederung3"/>
    <w:qFormat/>
    <w:rsid w:val="00EE52B8"/>
    <w:pPr>
      <w:spacing w:before="113"/>
    </w:pPr>
  </w:style>
  <w:style w:type="paragraph" w:customStyle="1" w:styleId="1LTGliederung5">
    <w:name w:val="Обычный 1~LT~Gliederung 5"/>
    <w:basedOn w:val="1LTGliederung4"/>
    <w:qFormat/>
    <w:rsid w:val="00EE52B8"/>
    <w:pPr>
      <w:spacing w:before="57"/>
    </w:pPr>
    <w:rPr>
      <w:sz w:val="40"/>
    </w:rPr>
  </w:style>
  <w:style w:type="paragraph" w:customStyle="1" w:styleId="1LTGliederung6">
    <w:name w:val="Обычный 1~LT~Gliederung 6"/>
    <w:basedOn w:val="1LTGliederung5"/>
    <w:qFormat/>
    <w:rsid w:val="00EE52B8"/>
  </w:style>
  <w:style w:type="paragraph" w:customStyle="1" w:styleId="1LTGliederung7">
    <w:name w:val="Обычный 1~LT~Gliederung 7"/>
    <w:basedOn w:val="1LTGliederung6"/>
    <w:qFormat/>
    <w:rsid w:val="00EE52B8"/>
  </w:style>
  <w:style w:type="paragraph" w:customStyle="1" w:styleId="1LTGliederung8">
    <w:name w:val="Обычный 1~LT~Gliederung 8"/>
    <w:basedOn w:val="1LTGliederung7"/>
    <w:qFormat/>
    <w:rsid w:val="00EE52B8"/>
  </w:style>
  <w:style w:type="paragraph" w:customStyle="1" w:styleId="1LTGliederung9">
    <w:name w:val="Обычный 1~LT~Gliederung 9"/>
    <w:basedOn w:val="1LTGliederung8"/>
    <w:qFormat/>
    <w:rsid w:val="00EE52B8"/>
  </w:style>
  <w:style w:type="paragraph" w:customStyle="1" w:styleId="1LTTitel">
    <w:name w:val="Обычный 1~LT~Titel"/>
    <w:qFormat/>
    <w:rsid w:val="00EE52B8"/>
    <w:pPr>
      <w:widowControl w:val="0"/>
      <w:suppressAutoHyphens/>
      <w:spacing w:after="0" w:line="200" w:lineRule="atLeast"/>
    </w:pPr>
    <w:rPr>
      <w:rFonts w:ascii="Noto Sans Devanagari" w:eastAsia="Tahoma" w:hAnsi="Noto Sans Devanagari" w:cs="neris black"/>
      <w:color w:val="000000"/>
      <w:kern w:val="2"/>
      <w:sz w:val="34"/>
      <w:szCs w:val="24"/>
    </w:rPr>
  </w:style>
  <w:style w:type="paragraph" w:customStyle="1" w:styleId="1LTUntertitel">
    <w:name w:val="Обычный 1~LT~Untertitel"/>
    <w:qFormat/>
    <w:rsid w:val="00EE52B8"/>
    <w:pPr>
      <w:widowControl w:val="0"/>
      <w:suppressAutoHyphens/>
      <w:spacing w:after="0" w:line="240" w:lineRule="auto"/>
      <w:jc w:val="center"/>
    </w:pPr>
    <w:rPr>
      <w:rFonts w:ascii="Noto Sans Devanagari" w:eastAsia="Tahoma" w:hAnsi="Noto Sans Devanagari" w:cs="neris black"/>
      <w:kern w:val="2"/>
      <w:sz w:val="64"/>
      <w:szCs w:val="24"/>
    </w:rPr>
  </w:style>
  <w:style w:type="paragraph" w:customStyle="1" w:styleId="1LTNotizen">
    <w:name w:val="Обычный 1~LT~Notizen"/>
    <w:qFormat/>
    <w:rsid w:val="00EE52B8"/>
    <w:pPr>
      <w:widowControl w:val="0"/>
      <w:suppressAutoHyphens/>
      <w:spacing w:after="0" w:line="240" w:lineRule="auto"/>
      <w:ind w:left="340" w:hanging="340"/>
    </w:pPr>
    <w:rPr>
      <w:rFonts w:ascii="Noto Sans Devanagari" w:eastAsia="Tahoma" w:hAnsi="Noto Sans Devanagari" w:cs="neris black"/>
      <w:kern w:val="2"/>
      <w:sz w:val="40"/>
      <w:szCs w:val="24"/>
    </w:rPr>
  </w:style>
  <w:style w:type="paragraph" w:customStyle="1" w:styleId="1LTHintergrundobjekte">
    <w:name w:val="Обычный 1~LT~Hintergrundobjekte"/>
    <w:qFormat/>
    <w:rsid w:val="00EE52B8"/>
    <w:pPr>
      <w:widowControl w:val="0"/>
      <w:suppressAutoHyphens/>
      <w:spacing w:after="0" w:line="240" w:lineRule="auto"/>
    </w:pPr>
    <w:rPr>
      <w:rFonts w:ascii="Liberation Serif" w:eastAsia="Tahoma" w:hAnsi="Liberation Serif" w:cs="neris black"/>
      <w:kern w:val="2"/>
      <w:sz w:val="24"/>
      <w:szCs w:val="24"/>
    </w:rPr>
  </w:style>
  <w:style w:type="paragraph" w:customStyle="1" w:styleId="1LTHintergrund">
    <w:name w:val="Обычный 1~LT~Hintergrund"/>
    <w:qFormat/>
    <w:rsid w:val="00EE52B8"/>
    <w:pPr>
      <w:widowControl w:val="0"/>
      <w:suppressAutoHyphens/>
      <w:spacing w:after="0" w:line="240" w:lineRule="auto"/>
    </w:pPr>
    <w:rPr>
      <w:rFonts w:ascii="Liberation Serif" w:eastAsia="Tahoma" w:hAnsi="Liberation Serif" w:cs="neris black"/>
      <w:kern w:val="2"/>
      <w:sz w:val="24"/>
      <w:szCs w:val="24"/>
    </w:rPr>
  </w:style>
  <w:style w:type="table" w:customStyle="1" w:styleId="114">
    <w:name w:val="Сетка таблицы11"/>
    <w:basedOn w:val="a5"/>
    <w:next w:val="aff4"/>
    <w:uiPriority w:val="59"/>
    <w:rsid w:val="009249CB"/>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
    <w:name w:val="Нет списка5"/>
    <w:next w:val="a6"/>
    <w:uiPriority w:val="99"/>
    <w:semiHidden/>
    <w:unhideWhenUsed/>
    <w:rsid w:val="00037927"/>
  </w:style>
  <w:style w:type="table" w:customStyle="1" w:styleId="72">
    <w:name w:val="Сетка таблицы7"/>
    <w:basedOn w:val="a5"/>
    <w:next w:val="aff4"/>
    <w:uiPriority w:val="59"/>
    <w:rsid w:val="0003792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0">
    <w:name w:val="Оглавление 41"/>
    <w:basedOn w:val="a3"/>
    <w:next w:val="a3"/>
    <w:autoRedefine/>
    <w:uiPriority w:val="39"/>
    <w:unhideWhenUsed/>
    <w:qFormat/>
    <w:rsid w:val="00037927"/>
    <w:pPr>
      <w:spacing w:line="276" w:lineRule="auto"/>
      <w:ind w:left="660" w:firstLine="0"/>
      <w:jc w:val="left"/>
    </w:pPr>
    <w:rPr>
      <w:rFonts w:ascii="Calibri" w:eastAsia="Times New Roman" w:hAnsi="Calibri" w:cs="Calibri"/>
      <w:sz w:val="20"/>
      <w:szCs w:val="20"/>
      <w:lang w:eastAsia="ru-RU"/>
    </w:rPr>
  </w:style>
  <w:style w:type="paragraph" w:customStyle="1" w:styleId="510">
    <w:name w:val="Оглавление 51"/>
    <w:basedOn w:val="a3"/>
    <w:next w:val="a3"/>
    <w:autoRedefine/>
    <w:uiPriority w:val="39"/>
    <w:unhideWhenUsed/>
    <w:qFormat/>
    <w:rsid w:val="00037927"/>
    <w:pPr>
      <w:spacing w:line="276" w:lineRule="auto"/>
      <w:ind w:left="880" w:firstLine="0"/>
      <w:jc w:val="left"/>
    </w:pPr>
    <w:rPr>
      <w:rFonts w:ascii="Calibri" w:eastAsia="Times New Roman" w:hAnsi="Calibri" w:cs="Calibri"/>
      <w:sz w:val="20"/>
      <w:szCs w:val="20"/>
      <w:lang w:eastAsia="ru-RU"/>
    </w:rPr>
  </w:style>
  <w:style w:type="paragraph" w:customStyle="1" w:styleId="610">
    <w:name w:val="Оглавление 61"/>
    <w:basedOn w:val="a3"/>
    <w:next w:val="a3"/>
    <w:autoRedefine/>
    <w:uiPriority w:val="39"/>
    <w:unhideWhenUsed/>
    <w:qFormat/>
    <w:rsid w:val="00037927"/>
    <w:pPr>
      <w:spacing w:line="276" w:lineRule="auto"/>
      <w:ind w:left="1100" w:firstLine="0"/>
      <w:jc w:val="left"/>
    </w:pPr>
    <w:rPr>
      <w:rFonts w:ascii="Calibri" w:eastAsia="Times New Roman" w:hAnsi="Calibri" w:cs="Calibri"/>
      <w:sz w:val="20"/>
      <w:szCs w:val="20"/>
      <w:lang w:eastAsia="ru-RU"/>
    </w:rPr>
  </w:style>
  <w:style w:type="paragraph" w:customStyle="1" w:styleId="710">
    <w:name w:val="Оглавление 71"/>
    <w:basedOn w:val="a3"/>
    <w:next w:val="a3"/>
    <w:autoRedefine/>
    <w:uiPriority w:val="39"/>
    <w:unhideWhenUsed/>
    <w:qFormat/>
    <w:rsid w:val="00037927"/>
    <w:pPr>
      <w:spacing w:line="276" w:lineRule="auto"/>
      <w:ind w:left="1320" w:firstLine="0"/>
      <w:jc w:val="left"/>
    </w:pPr>
    <w:rPr>
      <w:rFonts w:ascii="Calibri" w:eastAsia="Times New Roman" w:hAnsi="Calibri" w:cs="Calibri"/>
      <w:sz w:val="20"/>
      <w:szCs w:val="20"/>
      <w:lang w:eastAsia="ru-RU"/>
    </w:rPr>
  </w:style>
  <w:style w:type="paragraph" w:customStyle="1" w:styleId="810">
    <w:name w:val="Оглавление 81"/>
    <w:basedOn w:val="a3"/>
    <w:next w:val="a3"/>
    <w:autoRedefine/>
    <w:uiPriority w:val="39"/>
    <w:unhideWhenUsed/>
    <w:qFormat/>
    <w:rsid w:val="00037927"/>
    <w:pPr>
      <w:spacing w:line="276" w:lineRule="auto"/>
      <w:ind w:left="1540" w:firstLine="0"/>
      <w:jc w:val="left"/>
    </w:pPr>
    <w:rPr>
      <w:rFonts w:ascii="Calibri" w:eastAsia="Times New Roman" w:hAnsi="Calibri" w:cs="Calibri"/>
      <w:sz w:val="20"/>
      <w:szCs w:val="20"/>
      <w:lang w:eastAsia="ru-RU"/>
    </w:rPr>
  </w:style>
  <w:style w:type="paragraph" w:customStyle="1" w:styleId="910">
    <w:name w:val="Оглавление 91"/>
    <w:basedOn w:val="a3"/>
    <w:next w:val="a3"/>
    <w:autoRedefine/>
    <w:uiPriority w:val="39"/>
    <w:unhideWhenUsed/>
    <w:qFormat/>
    <w:rsid w:val="00037927"/>
    <w:pPr>
      <w:spacing w:line="276" w:lineRule="auto"/>
      <w:ind w:left="1760" w:firstLine="0"/>
      <w:jc w:val="left"/>
    </w:pPr>
    <w:rPr>
      <w:rFonts w:ascii="Calibri" w:eastAsia="Times New Roman" w:hAnsi="Calibri" w:cs="Calibri"/>
      <w:sz w:val="20"/>
      <w:szCs w:val="20"/>
      <w:lang w:eastAsia="ru-RU"/>
    </w:rPr>
  </w:style>
  <w:style w:type="character" w:customStyle="1" w:styleId="cardmaininfotitle">
    <w:name w:val="cardmaininfo__title"/>
    <w:basedOn w:val="a4"/>
    <w:rsid w:val="00037927"/>
  </w:style>
  <w:style w:type="character" w:customStyle="1" w:styleId="cardmaininfocontent">
    <w:name w:val="cardmaininfo__content"/>
    <w:basedOn w:val="a4"/>
    <w:rsid w:val="00037927"/>
  </w:style>
  <w:style w:type="table" w:customStyle="1" w:styleId="121">
    <w:name w:val="Сетка таблицы12"/>
    <w:basedOn w:val="a5"/>
    <w:next w:val="aff4"/>
    <w:uiPriority w:val="39"/>
    <w:rsid w:val="00037927"/>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6"/>
    <w:uiPriority w:val="99"/>
    <w:semiHidden/>
    <w:unhideWhenUsed/>
    <w:rsid w:val="00037927"/>
  </w:style>
  <w:style w:type="character" w:customStyle="1" w:styleId="1ff8">
    <w:name w:val="Обычный (веб) Знак1"/>
    <w:aliases w:val="Обычный (веб) Знак Знак,Знак Знак Знак1"/>
    <w:locked/>
    <w:rsid w:val="00037927"/>
    <w:rPr>
      <w:rFonts w:ascii="Times New Roman" w:eastAsia="Calibri" w:hAnsi="Times New Roman" w:cs="Times New Roman"/>
      <w:sz w:val="24"/>
      <w:szCs w:val="24"/>
      <w:lang w:eastAsia="ru-RU"/>
    </w:rPr>
  </w:style>
  <w:style w:type="table" w:customStyle="1" w:styleId="213">
    <w:name w:val="Сетка таблицы21"/>
    <w:basedOn w:val="a5"/>
    <w:next w:val="aff4"/>
    <w:uiPriority w:val="59"/>
    <w:rsid w:val="0003792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ветлая сетка - Акцент 21"/>
    <w:basedOn w:val="a5"/>
    <w:next w:val="-2"/>
    <w:uiPriority w:val="62"/>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1">
    <w:name w:val="Средняя сетка 3 - Акцент 21"/>
    <w:basedOn w:val="a5"/>
    <w:next w:val="3-2"/>
    <w:uiPriority w:val="69"/>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1">
    <w:name w:val="Средняя сетка 1 - Акцент 21"/>
    <w:basedOn w:val="a5"/>
    <w:next w:val="1-2"/>
    <w:uiPriority w:val="67"/>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
    <w:name w:val="Средняя сетка 1 - Акцент 11"/>
    <w:basedOn w:val="a5"/>
    <w:next w:val="1-1"/>
    <w:uiPriority w:val="67"/>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1">
    <w:name w:val="Средняя сетка 1 - Акцент 51"/>
    <w:basedOn w:val="a5"/>
    <w:next w:val="1-5"/>
    <w:uiPriority w:val="67"/>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10">
    <w:name w:val="Средняя заливка 1 - Акцент 51"/>
    <w:basedOn w:val="a5"/>
    <w:next w:val="1-50"/>
    <w:uiPriority w:val="63"/>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1">
    <w:name w:val="Светлая сетка - Акцент 61"/>
    <w:basedOn w:val="a5"/>
    <w:next w:val="-6"/>
    <w:uiPriority w:val="62"/>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1">
    <w:name w:val="Светлая заливка - Акцент 21"/>
    <w:basedOn w:val="a5"/>
    <w:next w:val="-20"/>
    <w:uiPriority w:val="60"/>
    <w:rsid w:val="00037927"/>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12">
    <w:name w:val="Цветная заливка - Акцент 21"/>
    <w:basedOn w:val="a5"/>
    <w:next w:val="-21"/>
    <w:uiPriority w:val="71"/>
    <w:rsid w:val="0003792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1">
    <w:name w:val="Цветная сетка - Акцент 51"/>
    <w:basedOn w:val="a5"/>
    <w:next w:val="-5"/>
    <w:uiPriority w:val="73"/>
    <w:rsid w:val="00037927"/>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110">
    <w:name w:val="Сетка таблицы111"/>
    <w:basedOn w:val="a5"/>
    <w:next w:val="aff4"/>
    <w:uiPriority w:val="59"/>
    <w:rsid w:val="000379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Цветная сетка - Акцент 41"/>
    <w:basedOn w:val="a5"/>
    <w:next w:val="-4"/>
    <w:uiPriority w:val="73"/>
    <w:rsid w:val="00037927"/>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ff9">
    <w:name w:val="Светлая заливка1"/>
    <w:basedOn w:val="a5"/>
    <w:next w:val="affffc"/>
    <w:uiPriority w:val="60"/>
    <w:rsid w:val="0003792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яя заливка 1 - Акцент 21"/>
    <w:basedOn w:val="a5"/>
    <w:next w:val="1-20"/>
    <w:uiPriority w:val="63"/>
    <w:rsid w:val="0003792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customStyle="1" w:styleId="bx-messenger-message">
    <w:name w:val="bx-messenger-message"/>
    <w:rsid w:val="00037927"/>
  </w:style>
  <w:style w:type="character" w:customStyle="1" w:styleId="doccaption">
    <w:name w:val="doccaption"/>
    <w:rsid w:val="00037927"/>
  </w:style>
  <w:style w:type="table" w:customStyle="1" w:styleId="511">
    <w:name w:val="Сетка таблицы51"/>
    <w:basedOn w:val="a5"/>
    <w:next w:val="aff4"/>
    <w:uiPriority w:val="39"/>
    <w:unhideWhenUsed/>
    <w:rsid w:val="000379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Заголовок №3"/>
    <w:basedOn w:val="a3"/>
    <w:link w:val="3f"/>
    <w:qFormat/>
    <w:rsid w:val="00037927"/>
    <w:pPr>
      <w:shd w:val="clear" w:color="auto" w:fill="FFFFFF"/>
      <w:suppressAutoHyphens/>
      <w:spacing w:after="300" w:line="240" w:lineRule="atLeast"/>
      <w:ind w:firstLine="0"/>
      <w:jc w:val="left"/>
    </w:pPr>
    <w:rPr>
      <w:rFonts w:eastAsia="Times New Roman" w:cs="Times New Roman"/>
      <w:b/>
      <w:bCs/>
      <w:sz w:val="22"/>
      <w:lang w:val="x-none" w:eastAsia="ar-SA"/>
    </w:rPr>
  </w:style>
  <w:style w:type="character" w:customStyle="1" w:styleId="3f">
    <w:name w:val="Заголовок №3_"/>
    <w:link w:val="3e"/>
    <w:locked/>
    <w:rsid w:val="00037927"/>
    <w:rPr>
      <w:rFonts w:ascii="Times New Roman" w:eastAsia="Times New Roman" w:hAnsi="Times New Roman" w:cs="Times New Roman"/>
      <w:b/>
      <w:bCs/>
      <w:shd w:val="clear" w:color="auto" w:fill="FFFFFF"/>
      <w:lang w:val="x-none" w:eastAsia="ar-SA"/>
    </w:rPr>
  </w:style>
  <w:style w:type="table" w:customStyle="1" w:styleId="2110">
    <w:name w:val="Сетка таблицы211"/>
    <w:basedOn w:val="a5"/>
    <w:next w:val="aff4"/>
    <w:uiPriority w:val="59"/>
    <w:rsid w:val="00037927"/>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2">
    <w:name w:val="Medium List 1 Accent 2"/>
    <w:basedOn w:val="a5"/>
    <w:uiPriority w:val="65"/>
    <w:rsid w:val="00037927"/>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82">
    <w:name w:val="Сетка таблицы8"/>
    <w:basedOn w:val="a5"/>
    <w:next w:val="aff4"/>
    <w:uiPriority w:val="39"/>
    <w:rsid w:val="007D064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6"/>
    <w:uiPriority w:val="99"/>
    <w:semiHidden/>
    <w:unhideWhenUsed/>
    <w:rsid w:val="008779A0"/>
  </w:style>
  <w:style w:type="table" w:customStyle="1" w:styleId="92">
    <w:name w:val="Сетка таблицы9"/>
    <w:basedOn w:val="a5"/>
    <w:next w:val="aff4"/>
    <w:uiPriority w:val="59"/>
    <w:rsid w:val="008779A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scription">
    <w:name w:val="description"/>
    <w:basedOn w:val="a4"/>
    <w:rsid w:val="008779A0"/>
  </w:style>
  <w:style w:type="character" w:customStyle="1" w:styleId="company-infotext">
    <w:name w:val="company-info__text"/>
    <w:basedOn w:val="a4"/>
    <w:rsid w:val="008779A0"/>
  </w:style>
  <w:style w:type="paragraph" w:customStyle="1" w:styleId="WW-">
    <w:name w:val="WW-Текст"/>
    <w:basedOn w:val="a3"/>
    <w:qFormat/>
    <w:rsid w:val="008779A0"/>
    <w:rPr>
      <w:rFonts w:ascii="Courier New" w:eastAsia="Times New Roman" w:hAnsi="Courier New" w:cs="Courier New"/>
      <w:kern w:val="2"/>
      <w:sz w:val="20"/>
      <w:szCs w:val="20"/>
      <w:lang w:eastAsia="zh-CN"/>
    </w:rPr>
  </w:style>
  <w:style w:type="character" w:customStyle="1" w:styleId="11pt">
    <w:name w:val="Основной текст + 11 pt;Не полужирный"/>
    <w:basedOn w:val="aff7"/>
    <w:rsid w:val="008779A0"/>
    <w:rPr>
      <w:rFonts w:ascii="Times New Roman" w:eastAsia="Times New Roman" w:hAnsi="Times New Roman"/>
      <w:b/>
      <w:bCs/>
      <w:color w:val="000000"/>
      <w:spacing w:val="0"/>
      <w:w w:val="100"/>
      <w:position w:val="0"/>
      <w:sz w:val="22"/>
      <w:szCs w:val="22"/>
      <w:shd w:val="clear" w:color="auto" w:fill="FFFFFF"/>
      <w:lang w:val="ru-RU"/>
    </w:rPr>
  </w:style>
  <w:style w:type="character" w:customStyle="1" w:styleId="b">
    <w:name w:val="b"/>
    <w:basedOn w:val="a4"/>
    <w:rsid w:val="008779A0"/>
  </w:style>
  <w:style w:type="paragraph" w:customStyle="1" w:styleId="pc">
    <w:name w:val="pc"/>
    <w:basedOn w:val="a3"/>
    <w:qFormat/>
    <w:rsid w:val="008779A0"/>
    <w:pPr>
      <w:spacing w:before="100" w:beforeAutospacing="1" w:after="100" w:afterAutospacing="1"/>
      <w:ind w:firstLine="0"/>
      <w:jc w:val="left"/>
    </w:pPr>
    <w:rPr>
      <w:rFonts w:eastAsia="Times New Roman" w:cs="Times New Roman"/>
      <w:sz w:val="24"/>
      <w:szCs w:val="24"/>
      <w:lang w:eastAsia="ru-RU"/>
    </w:rPr>
  </w:style>
  <w:style w:type="paragraph" w:customStyle="1" w:styleId="2fa">
    <w:name w:val="Обычный (веб)2"/>
    <w:basedOn w:val="a3"/>
    <w:qFormat/>
    <w:rsid w:val="008779A0"/>
    <w:pPr>
      <w:spacing w:before="280" w:after="280"/>
      <w:ind w:firstLine="0"/>
      <w:jc w:val="left"/>
    </w:pPr>
    <w:rPr>
      <w:rFonts w:eastAsia="Times New Roman" w:cs="Times New Roman"/>
      <w:sz w:val="24"/>
      <w:szCs w:val="24"/>
      <w:lang w:eastAsia="zh-CN"/>
    </w:rPr>
  </w:style>
  <w:style w:type="character" w:customStyle="1" w:styleId="ListLabel264">
    <w:name w:val="ListLabel 264"/>
    <w:qFormat/>
    <w:rsid w:val="008779A0"/>
    <w:rPr>
      <w:rFonts w:cs="Symbol"/>
      <w:lang w:val="ru-RU" w:eastAsia="ru-RU" w:bidi="ru-RU"/>
    </w:rPr>
  </w:style>
  <w:style w:type="character" w:customStyle="1" w:styleId="link-to-coompany">
    <w:name w:val="link-to-coompany"/>
    <w:basedOn w:val="a4"/>
    <w:rsid w:val="008779A0"/>
  </w:style>
  <w:style w:type="character" w:customStyle="1" w:styleId="WW8Num1z0">
    <w:name w:val="WW8Num1z0"/>
    <w:rsid w:val="008779A0"/>
  </w:style>
  <w:style w:type="character" w:customStyle="1" w:styleId="WW8Num1z1">
    <w:name w:val="WW8Num1z1"/>
    <w:rsid w:val="008779A0"/>
  </w:style>
  <w:style w:type="character" w:customStyle="1" w:styleId="WW8Num1z2">
    <w:name w:val="WW8Num1z2"/>
    <w:rsid w:val="008779A0"/>
  </w:style>
  <w:style w:type="character" w:customStyle="1" w:styleId="WW8Num1z3">
    <w:name w:val="WW8Num1z3"/>
    <w:rsid w:val="008779A0"/>
  </w:style>
  <w:style w:type="character" w:customStyle="1" w:styleId="WW8Num1z4">
    <w:name w:val="WW8Num1z4"/>
    <w:rsid w:val="008779A0"/>
  </w:style>
  <w:style w:type="character" w:customStyle="1" w:styleId="WW8Num1z5">
    <w:name w:val="WW8Num1z5"/>
    <w:rsid w:val="008779A0"/>
  </w:style>
  <w:style w:type="character" w:customStyle="1" w:styleId="WW8Num1z6">
    <w:name w:val="WW8Num1z6"/>
    <w:rsid w:val="008779A0"/>
  </w:style>
  <w:style w:type="character" w:customStyle="1" w:styleId="WW8Num1z7">
    <w:name w:val="WW8Num1z7"/>
    <w:rsid w:val="008779A0"/>
  </w:style>
  <w:style w:type="character" w:customStyle="1" w:styleId="WW8Num1z8">
    <w:name w:val="WW8Num1z8"/>
    <w:rsid w:val="008779A0"/>
  </w:style>
  <w:style w:type="character" w:customStyle="1" w:styleId="WW8Num2z0">
    <w:name w:val="WW8Num2z0"/>
    <w:rsid w:val="008779A0"/>
    <w:rPr>
      <w:rFonts w:hint="default"/>
      <w:color w:val="000000"/>
    </w:rPr>
  </w:style>
  <w:style w:type="character" w:customStyle="1" w:styleId="WW8Num3z0">
    <w:name w:val="WW8Num3z0"/>
    <w:rsid w:val="008779A0"/>
    <w:rPr>
      <w:rFonts w:hint="default"/>
      <w:lang w:val="ru-RU"/>
    </w:rPr>
  </w:style>
  <w:style w:type="character" w:customStyle="1" w:styleId="WW8Num2z1">
    <w:name w:val="WW8Num2z1"/>
    <w:rsid w:val="008779A0"/>
  </w:style>
  <w:style w:type="character" w:customStyle="1" w:styleId="WW8Num2z2">
    <w:name w:val="WW8Num2z2"/>
    <w:rsid w:val="008779A0"/>
  </w:style>
  <w:style w:type="character" w:customStyle="1" w:styleId="WW8Num2z3">
    <w:name w:val="WW8Num2z3"/>
    <w:rsid w:val="008779A0"/>
  </w:style>
  <w:style w:type="character" w:customStyle="1" w:styleId="WW8Num2z4">
    <w:name w:val="WW8Num2z4"/>
    <w:rsid w:val="008779A0"/>
  </w:style>
  <w:style w:type="character" w:customStyle="1" w:styleId="WW8Num2z5">
    <w:name w:val="WW8Num2z5"/>
    <w:rsid w:val="008779A0"/>
  </w:style>
  <w:style w:type="character" w:customStyle="1" w:styleId="WW8Num2z6">
    <w:name w:val="WW8Num2z6"/>
    <w:rsid w:val="008779A0"/>
  </w:style>
  <w:style w:type="character" w:customStyle="1" w:styleId="WW8Num2z7">
    <w:name w:val="WW8Num2z7"/>
    <w:rsid w:val="008779A0"/>
  </w:style>
  <w:style w:type="character" w:customStyle="1" w:styleId="WW8Num2z8">
    <w:name w:val="WW8Num2z8"/>
    <w:rsid w:val="008779A0"/>
  </w:style>
  <w:style w:type="character" w:customStyle="1" w:styleId="WW8Num3z1">
    <w:name w:val="WW8Num3z1"/>
    <w:rsid w:val="008779A0"/>
  </w:style>
  <w:style w:type="character" w:customStyle="1" w:styleId="WW8Num3z2">
    <w:name w:val="WW8Num3z2"/>
    <w:rsid w:val="008779A0"/>
  </w:style>
  <w:style w:type="character" w:customStyle="1" w:styleId="WW8Num3z3">
    <w:name w:val="WW8Num3z3"/>
    <w:rsid w:val="008779A0"/>
  </w:style>
  <w:style w:type="character" w:customStyle="1" w:styleId="WW8Num3z4">
    <w:name w:val="WW8Num3z4"/>
    <w:rsid w:val="008779A0"/>
  </w:style>
  <w:style w:type="character" w:customStyle="1" w:styleId="WW8Num3z5">
    <w:name w:val="WW8Num3z5"/>
    <w:rsid w:val="008779A0"/>
  </w:style>
  <w:style w:type="character" w:customStyle="1" w:styleId="WW8Num3z6">
    <w:name w:val="WW8Num3z6"/>
    <w:rsid w:val="008779A0"/>
  </w:style>
  <w:style w:type="character" w:customStyle="1" w:styleId="WW8Num3z7">
    <w:name w:val="WW8Num3z7"/>
    <w:rsid w:val="008779A0"/>
  </w:style>
  <w:style w:type="character" w:customStyle="1" w:styleId="WW8Num3z8">
    <w:name w:val="WW8Num3z8"/>
    <w:rsid w:val="008779A0"/>
  </w:style>
  <w:style w:type="character" w:customStyle="1" w:styleId="WW8Num4z0">
    <w:name w:val="WW8Num4z0"/>
    <w:rsid w:val="008779A0"/>
    <w:rPr>
      <w:rFonts w:hint="default"/>
    </w:rPr>
  </w:style>
  <w:style w:type="character" w:customStyle="1" w:styleId="WW8Num4z1">
    <w:name w:val="WW8Num4z1"/>
    <w:rsid w:val="008779A0"/>
  </w:style>
  <w:style w:type="character" w:customStyle="1" w:styleId="WW8Num4z2">
    <w:name w:val="WW8Num4z2"/>
    <w:rsid w:val="008779A0"/>
  </w:style>
  <w:style w:type="character" w:customStyle="1" w:styleId="WW8Num4z3">
    <w:name w:val="WW8Num4z3"/>
    <w:rsid w:val="008779A0"/>
  </w:style>
  <w:style w:type="character" w:customStyle="1" w:styleId="WW8Num4z4">
    <w:name w:val="WW8Num4z4"/>
    <w:rsid w:val="008779A0"/>
  </w:style>
  <w:style w:type="character" w:customStyle="1" w:styleId="WW8Num4z5">
    <w:name w:val="WW8Num4z5"/>
    <w:rsid w:val="008779A0"/>
  </w:style>
  <w:style w:type="character" w:customStyle="1" w:styleId="WW8Num4z6">
    <w:name w:val="WW8Num4z6"/>
    <w:rsid w:val="008779A0"/>
  </w:style>
  <w:style w:type="character" w:customStyle="1" w:styleId="WW8Num4z7">
    <w:name w:val="WW8Num4z7"/>
    <w:rsid w:val="008779A0"/>
  </w:style>
  <w:style w:type="character" w:customStyle="1" w:styleId="WW8Num4z8">
    <w:name w:val="WW8Num4z8"/>
    <w:rsid w:val="008779A0"/>
  </w:style>
  <w:style w:type="character" w:customStyle="1" w:styleId="WW8Num5z0">
    <w:name w:val="WW8Num5z0"/>
    <w:rsid w:val="008779A0"/>
    <w:rPr>
      <w:rFonts w:hint="default"/>
    </w:rPr>
  </w:style>
  <w:style w:type="character" w:customStyle="1" w:styleId="WW8Num5z1">
    <w:name w:val="WW8Num5z1"/>
    <w:rsid w:val="008779A0"/>
  </w:style>
  <w:style w:type="character" w:customStyle="1" w:styleId="WW8Num5z2">
    <w:name w:val="WW8Num5z2"/>
    <w:rsid w:val="008779A0"/>
  </w:style>
  <w:style w:type="character" w:customStyle="1" w:styleId="WW8Num5z3">
    <w:name w:val="WW8Num5z3"/>
    <w:rsid w:val="008779A0"/>
  </w:style>
  <w:style w:type="character" w:customStyle="1" w:styleId="WW8Num5z4">
    <w:name w:val="WW8Num5z4"/>
    <w:rsid w:val="008779A0"/>
  </w:style>
  <w:style w:type="character" w:customStyle="1" w:styleId="WW8Num5z5">
    <w:name w:val="WW8Num5z5"/>
    <w:rsid w:val="008779A0"/>
  </w:style>
  <w:style w:type="character" w:customStyle="1" w:styleId="WW8Num5z6">
    <w:name w:val="WW8Num5z6"/>
    <w:rsid w:val="008779A0"/>
  </w:style>
  <w:style w:type="character" w:customStyle="1" w:styleId="WW8Num5z7">
    <w:name w:val="WW8Num5z7"/>
    <w:rsid w:val="008779A0"/>
  </w:style>
  <w:style w:type="character" w:customStyle="1" w:styleId="WW8Num5z8">
    <w:name w:val="WW8Num5z8"/>
    <w:rsid w:val="008779A0"/>
  </w:style>
  <w:style w:type="character" w:customStyle="1" w:styleId="WW8Num6z0">
    <w:name w:val="WW8Num6z0"/>
    <w:rsid w:val="008779A0"/>
    <w:rPr>
      <w:rFonts w:hint="default"/>
    </w:rPr>
  </w:style>
  <w:style w:type="character" w:customStyle="1" w:styleId="WW8Num6z1">
    <w:name w:val="WW8Num6z1"/>
    <w:rsid w:val="008779A0"/>
  </w:style>
  <w:style w:type="character" w:customStyle="1" w:styleId="WW8Num6z2">
    <w:name w:val="WW8Num6z2"/>
    <w:rsid w:val="008779A0"/>
  </w:style>
  <w:style w:type="character" w:customStyle="1" w:styleId="WW8Num6z3">
    <w:name w:val="WW8Num6z3"/>
    <w:rsid w:val="008779A0"/>
  </w:style>
  <w:style w:type="character" w:customStyle="1" w:styleId="WW8Num6z4">
    <w:name w:val="WW8Num6z4"/>
    <w:rsid w:val="008779A0"/>
  </w:style>
  <w:style w:type="character" w:customStyle="1" w:styleId="WW8Num6z5">
    <w:name w:val="WW8Num6z5"/>
    <w:rsid w:val="008779A0"/>
  </w:style>
  <w:style w:type="character" w:customStyle="1" w:styleId="WW8Num6z6">
    <w:name w:val="WW8Num6z6"/>
    <w:rsid w:val="008779A0"/>
  </w:style>
  <w:style w:type="character" w:customStyle="1" w:styleId="WW8Num6z7">
    <w:name w:val="WW8Num6z7"/>
    <w:rsid w:val="008779A0"/>
  </w:style>
  <w:style w:type="character" w:customStyle="1" w:styleId="WW8Num6z8">
    <w:name w:val="WW8Num6z8"/>
    <w:rsid w:val="008779A0"/>
  </w:style>
  <w:style w:type="character" w:customStyle="1" w:styleId="WW8Num7z0">
    <w:name w:val="WW8Num7z0"/>
    <w:rsid w:val="008779A0"/>
    <w:rPr>
      <w:rFonts w:hint="default"/>
    </w:rPr>
  </w:style>
  <w:style w:type="character" w:customStyle="1" w:styleId="WW8Num7z1">
    <w:name w:val="WW8Num7z1"/>
    <w:rsid w:val="008779A0"/>
  </w:style>
  <w:style w:type="character" w:customStyle="1" w:styleId="WW8Num7z2">
    <w:name w:val="WW8Num7z2"/>
    <w:rsid w:val="008779A0"/>
  </w:style>
  <w:style w:type="character" w:customStyle="1" w:styleId="WW8Num7z3">
    <w:name w:val="WW8Num7z3"/>
    <w:rsid w:val="008779A0"/>
  </w:style>
  <w:style w:type="character" w:customStyle="1" w:styleId="WW8Num7z4">
    <w:name w:val="WW8Num7z4"/>
    <w:rsid w:val="008779A0"/>
  </w:style>
  <w:style w:type="character" w:customStyle="1" w:styleId="WW8Num7z5">
    <w:name w:val="WW8Num7z5"/>
    <w:rsid w:val="008779A0"/>
  </w:style>
  <w:style w:type="character" w:customStyle="1" w:styleId="WW8Num7z6">
    <w:name w:val="WW8Num7z6"/>
    <w:rsid w:val="008779A0"/>
  </w:style>
  <w:style w:type="character" w:customStyle="1" w:styleId="WW8Num7z7">
    <w:name w:val="WW8Num7z7"/>
    <w:rsid w:val="008779A0"/>
  </w:style>
  <w:style w:type="character" w:customStyle="1" w:styleId="WW8Num7z8">
    <w:name w:val="WW8Num7z8"/>
    <w:rsid w:val="008779A0"/>
  </w:style>
  <w:style w:type="character" w:customStyle="1" w:styleId="WW8Num8z0">
    <w:name w:val="WW8Num8z0"/>
    <w:rsid w:val="008779A0"/>
    <w:rPr>
      <w:rFonts w:hint="default"/>
    </w:rPr>
  </w:style>
  <w:style w:type="character" w:customStyle="1" w:styleId="WW8Num8z1">
    <w:name w:val="WW8Num8z1"/>
    <w:rsid w:val="008779A0"/>
  </w:style>
  <w:style w:type="character" w:customStyle="1" w:styleId="WW8Num8z2">
    <w:name w:val="WW8Num8z2"/>
    <w:rsid w:val="008779A0"/>
  </w:style>
  <w:style w:type="character" w:customStyle="1" w:styleId="WW8Num8z3">
    <w:name w:val="WW8Num8z3"/>
    <w:rsid w:val="008779A0"/>
  </w:style>
  <w:style w:type="character" w:customStyle="1" w:styleId="WW8Num8z4">
    <w:name w:val="WW8Num8z4"/>
    <w:rsid w:val="008779A0"/>
  </w:style>
  <w:style w:type="character" w:customStyle="1" w:styleId="WW8Num8z5">
    <w:name w:val="WW8Num8z5"/>
    <w:rsid w:val="008779A0"/>
  </w:style>
  <w:style w:type="character" w:customStyle="1" w:styleId="WW8Num8z6">
    <w:name w:val="WW8Num8z6"/>
    <w:rsid w:val="008779A0"/>
  </w:style>
  <w:style w:type="character" w:customStyle="1" w:styleId="WW8Num8z7">
    <w:name w:val="WW8Num8z7"/>
    <w:rsid w:val="008779A0"/>
  </w:style>
  <w:style w:type="character" w:customStyle="1" w:styleId="WW8Num8z8">
    <w:name w:val="WW8Num8z8"/>
    <w:rsid w:val="008779A0"/>
  </w:style>
  <w:style w:type="character" w:customStyle="1" w:styleId="WW8Num9z0">
    <w:name w:val="WW8Num9z0"/>
    <w:rsid w:val="008779A0"/>
    <w:rPr>
      <w:rFonts w:hint="default"/>
      <w:lang w:val="ru-RU"/>
    </w:rPr>
  </w:style>
  <w:style w:type="character" w:customStyle="1" w:styleId="WW8Num9z1">
    <w:name w:val="WW8Num9z1"/>
    <w:rsid w:val="008779A0"/>
    <w:rPr>
      <w:rFonts w:ascii="Courier New" w:hAnsi="Courier New" w:cs="Courier New" w:hint="default"/>
    </w:rPr>
  </w:style>
  <w:style w:type="character" w:customStyle="1" w:styleId="WW8Num9z2">
    <w:name w:val="WW8Num9z2"/>
    <w:rsid w:val="008779A0"/>
    <w:rPr>
      <w:rFonts w:ascii="Wingdings" w:hAnsi="Wingdings" w:cs="Wingdings" w:hint="default"/>
    </w:rPr>
  </w:style>
  <w:style w:type="character" w:customStyle="1" w:styleId="WW8Num9z3">
    <w:name w:val="WW8Num9z3"/>
    <w:rsid w:val="008779A0"/>
    <w:rPr>
      <w:rFonts w:ascii="Symbol" w:hAnsi="Symbol" w:cs="Symbol" w:hint="default"/>
    </w:rPr>
  </w:style>
  <w:style w:type="character" w:customStyle="1" w:styleId="WW8Num10z0">
    <w:name w:val="WW8Num10z0"/>
    <w:rsid w:val="008779A0"/>
    <w:rPr>
      <w:b/>
    </w:rPr>
  </w:style>
  <w:style w:type="character" w:customStyle="1" w:styleId="WW8Num10z1">
    <w:name w:val="WW8Num10z1"/>
    <w:rsid w:val="008779A0"/>
  </w:style>
  <w:style w:type="character" w:customStyle="1" w:styleId="WW8Num10z2">
    <w:name w:val="WW8Num10z2"/>
    <w:rsid w:val="008779A0"/>
  </w:style>
  <w:style w:type="character" w:customStyle="1" w:styleId="WW8Num10z3">
    <w:name w:val="WW8Num10z3"/>
    <w:rsid w:val="008779A0"/>
  </w:style>
  <w:style w:type="character" w:customStyle="1" w:styleId="WW8Num10z4">
    <w:name w:val="WW8Num10z4"/>
    <w:rsid w:val="008779A0"/>
  </w:style>
  <w:style w:type="character" w:customStyle="1" w:styleId="WW8Num10z5">
    <w:name w:val="WW8Num10z5"/>
    <w:rsid w:val="008779A0"/>
  </w:style>
  <w:style w:type="character" w:customStyle="1" w:styleId="WW8Num10z6">
    <w:name w:val="WW8Num10z6"/>
    <w:rsid w:val="008779A0"/>
  </w:style>
  <w:style w:type="character" w:customStyle="1" w:styleId="WW8Num10z7">
    <w:name w:val="WW8Num10z7"/>
    <w:rsid w:val="008779A0"/>
  </w:style>
  <w:style w:type="character" w:customStyle="1" w:styleId="WW8Num10z8">
    <w:name w:val="WW8Num10z8"/>
    <w:rsid w:val="008779A0"/>
  </w:style>
  <w:style w:type="character" w:customStyle="1" w:styleId="WW8Num11z0">
    <w:name w:val="WW8Num11z0"/>
    <w:rsid w:val="008779A0"/>
  </w:style>
  <w:style w:type="character" w:customStyle="1" w:styleId="WW8Num11z1">
    <w:name w:val="WW8Num11z1"/>
    <w:rsid w:val="008779A0"/>
  </w:style>
  <w:style w:type="character" w:customStyle="1" w:styleId="WW8Num11z2">
    <w:name w:val="WW8Num11z2"/>
    <w:rsid w:val="008779A0"/>
  </w:style>
  <w:style w:type="character" w:customStyle="1" w:styleId="WW8Num11z3">
    <w:name w:val="WW8Num11z3"/>
    <w:rsid w:val="008779A0"/>
  </w:style>
  <w:style w:type="character" w:customStyle="1" w:styleId="WW8Num11z4">
    <w:name w:val="WW8Num11z4"/>
    <w:rsid w:val="008779A0"/>
  </w:style>
  <w:style w:type="character" w:customStyle="1" w:styleId="WW8Num11z5">
    <w:name w:val="WW8Num11z5"/>
    <w:rsid w:val="008779A0"/>
  </w:style>
  <w:style w:type="character" w:customStyle="1" w:styleId="WW8Num11z6">
    <w:name w:val="WW8Num11z6"/>
    <w:rsid w:val="008779A0"/>
  </w:style>
  <w:style w:type="character" w:customStyle="1" w:styleId="WW8Num11z7">
    <w:name w:val="WW8Num11z7"/>
    <w:rsid w:val="008779A0"/>
  </w:style>
  <w:style w:type="character" w:customStyle="1" w:styleId="WW8Num11z8">
    <w:name w:val="WW8Num11z8"/>
    <w:rsid w:val="008779A0"/>
  </w:style>
  <w:style w:type="character" w:customStyle="1" w:styleId="WW8Num12z0">
    <w:name w:val="WW8Num12z0"/>
    <w:rsid w:val="008779A0"/>
    <w:rPr>
      <w:rFonts w:hint="default"/>
    </w:rPr>
  </w:style>
  <w:style w:type="character" w:customStyle="1" w:styleId="WW8Num12z1">
    <w:name w:val="WW8Num12z1"/>
    <w:rsid w:val="008779A0"/>
  </w:style>
  <w:style w:type="character" w:customStyle="1" w:styleId="WW8Num12z2">
    <w:name w:val="WW8Num12z2"/>
    <w:rsid w:val="008779A0"/>
  </w:style>
  <w:style w:type="character" w:customStyle="1" w:styleId="WW8Num12z3">
    <w:name w:val="WW8Num12z3"/>
    <w:rsid w:val="008779A0"/>
  </w:style>
  <w:style w:type="character" w:customStyle="1" w:styleId="WW8Num12z4">
    <w:name w:val="WW8Num12z4"/>
    <w:rsid w:val="008779A0"/>
  </w:style>
  <w:style w:type="character" w:customStyle="1" w:styleId="WW8Num12z5">
    <w:name w:val="WW8Num12z5"/>
    <w:rsid w:val="008779A0"/>
  </w:style>
  <w:style w:type="character" w:customStyle="1" w:styleId="WW8Num12z6">
    <w:name w:val="WW8Num12z6"/>
    <w:rsid w:val="008779A0"/>
  </w:style>
  <w:style w:type="character" w:customStyle="1" w:styleId="WW8Num12z7">
    <w:name w:val="WW8Num12z7"/>
    <w:rsid w:val="008779A0"/>
  </w:style>
  <w:style w:type="character" w:customStyle="1" w:styleId="WW8Num12z8">
    <w:name w:val="WW8Num12z8"/>
    <w:rsid w:val="008779A0"/>
  </w:style>
  <w:style w:type="character" w:customStyle="1" w:styleId="WW8Num13z0">
    <w:name w:val="WW8Num13z0"/>
    <w:rsid w:val="008779A0"/>
    <w:rPr>
      <w:rFonts w:hint="default"/>
    </w:rPr>
  </w:style>
  <w:style w:type="character" w:customStyle="1" w:styleId="WW8Num13z1">
    <w:name w:val="WW8Num13z1"/>
    <w:rsid w:val="008779A0"/>
  </w:style>
  <w:style w:type="character" w:customStyle="1" w:styleId="WW8Num13z2">
    <w:name w:val="WW8Num13z2"/>
    <w:rsid w:val="008779A0"/>
  </w:style>
  <w:style w:type="character" w:customStyle="1" w:styleId="WW8Num13z3">
    <w:name w:val="WW8Num13z3"/>
    <w:rsid w:val="008779A0"/>
  </w:style>
  <w:style w:type="character" w:customStyle="1" w:styleId="WW8Num13z4">
    <w:name w:val="WW8Num13z4"/>
    <w:rsid w:val="008779A0"/>
  </w:style>
  <w:style w:type="character" w:customStyle="1" w:styleId="WW8Num13z5">
    <w:name w:val="WW8Num13z5"/>
    <w:rsid w:val="008779A0"/>
  </w:style>
  <w:style w:type="character" w:customStyle="1" w:styleId="WW8Num13z6">
    <w:name w:val="WW8Num13z6"/>
    <w:rsid w:val="008779A0"/>
  </w:style>
  <w:style w:type="character" w:customStyle="1" w:styleId="WW8Num13z7">
    <w:name w:val="WW8Num13z7"/>
    <w:rsid w:val="008779A0"/>
  </w:style>
  <w:style w:type="character" w:customStyle="1" w:styleId="WW8Num13z8">
    <w:name w:val="WW8Num13z8"/>
    <w:rsid w:val="008779A0"/>
  </w:style>
  <w:style w:type="character" w:customStyle="1" w:styleId="WW8Num14z0">
    <w:name w:val="WW8Num14z0"/>
    <w:rsid w:val="008779A0"/>
    <w:rPr>
      <w:rFonts w:hint="default"/>
    </w:rPr>
  </w:style>
  <w:style w:type="character" w:customStyle="1" w:styleId="WW8Num14z1">
    <w:name w:val="WW8Num14z1"/>
    <w:rsid w:val="008779A0"/>
  </w:style>
  <w:style w:type="character" w:customStyle="1" w:styleId="WW8Num14z2">
    <w:name w:val="WW8Num14z2"/>
    <w:rsid w:val="008779A0"/>
  </w:style>
  <w:style w:type="character" w:customStyle="1" w:styleId="WW8Num14z3">
    <w:name w:val="WW8Num14z3"/>
    <w:rsid w:val="008779A0"/>
  </w:style>
  <w:style w:type="character" w:customStyle="1" w:styleId="WW8Num14z4">
    <w:name w:val="WW8Num14z4"/>
    <w:rsid w:val="008779A0"/>
  </w:style>
  <w:style w:type="character" w:customStyle="1" w:styleId="WW8Num14z5">
    <w:name w:val="WW8Num14z5"/>
    <w:rsid w:val="008779A0"/>
  </w:style>
  <w:style w:type="character" w:customStyle="1" w:styleId="WW8Num14z6">
    <w:name w:val="WW8Num14z6"/>
    <w:rsid w:val="008779A0"/>
  </w:style>
  <w:style w:type="character" w:customStyle="1" w:styleId="WW8Num14z7">
    <w:name w:val="WW8Num14z7"/>
    <w:rsid w:val="008779A0"/>
  </w:style>
  <w:style w:type="character" w:customStyle="1" w:styleId="WW8Num14z8">
    <w:name w:val="WW8Num14z8"/>
    <w:rsid w:val="008779A0"/>
  </w:style>
  <w:style w:type="character" w:customStyle="1" w:styleId="WW8Num15z0">
    <w:name w:val="WW8Num15z0"/>
    <w:rsid w:val="008779A0"/>
    <w:rPr>
      <w:rFonts w:hint="default"/>
    </w:rPr>
  </w:style>
  <w:style w:type="character" w:customStyle="1" w:styleId="WW8Num15z1">
    <w:name w:val="WW8Num15z1"/>
    <w:rsid w:val="008779A0"/>
  </w:style>
  <w:style w:type="character" w:customStyle="1" w:styleId="WW8Num15z2">
    <w:name w:val="WW8Num15z2"/>
    <w:rsid w:val="008779A0"/>
  </w:style>
  <w:style w:type="character" w:customStyle="1" w:styleId="WW8Num15z3">
    <w:name w:val="WW8Num15z3"/>
    <w:rsid w:val="008779A0"/>
  </w:style>
  <w:style w:type="character" w:customStyle="1" w:styleId="WW8Num15z4">
    <w:name w:val="WW8Num15z4"/>
    <w:rsid w:val="008779A0"/>
  </w:style>
  <w:style w:type="character" w:customStyle="1" w:styleId="WW8Num15z5">
    <w:name w:val="WW8Num15z5"/>
    <w:rsid w:val="008779A0"/>
  </w:style>
  <w:style w:type="character" w:customStyle="1" w:styleId="WW8Num15z6">
    <w:name w:val="WW8Num15z6"/>
    <w:rsid w:val="008779A0"/>
  </w:style>
  <w:style w:type="character" w:customStyle="1" w:styleId="WW8Num15z7">
    <w:name w:val="WW8Num15z7"/>
    <w:rsid w:val="008779A0"/>
  </w:style>
  <w:style w:type="character" w:customStyle="1" w:styleId="WW8Num15z8">
    <w:name w:val="WW8Num15z8"/>
    <w:rsid w:val="008779A0"/>
  </w:style>
  <w:style w:type="character" w:customStyle="1" w:styleId="WW8Num16z0">
    <w:name w:val="WW8Num16z0"/>
    <w:rsid w:val="008779A0"/>
    <w:rPr>
      <w:rFonts w:ascii="Wingdings" w:hAnsi="Wingdings" w:cs="Wingdings" w:hint="default"/>
    </w:rPr>
  </w:style>
  <w:style w:type="character" w:customStyle="1" w:styleId="WW8Num16z1">
    <w:name w:val="WW8Num16z1"/>
    <w:rsid w:val="008779A0"/>
    <w:rPr>
      <w:rFonts w:ascii="Courier New" w:hAnsi="Courier New" w:cs="Courier New" w:hint="default"/>
    </w:rPr>
  </w:style>
  <w:style w:type="character" w:customStyle="1" w:styleId="WW8Num16z3">
    <w:name w:val="WW8Num16z3"/>
    <w:rsid w:val="008779A0"/>
    <w:rPr>
      <w:rFonts w:ascii="Symbol" w:hAnsi="Symbol" w:cs="Symbol" w:hint="default"/>
    </w:rPr>
  </w:style>
  <w:style w:type="character" w:customStyle="1" w:styleId="WW8Num17z0">
    <w:name w:val="WW8Num17z0"/>
    <w:rsid w:val="008779A0"/>
  </w:style>
  <w:style w:type="character" w:customStyle="1" w:styleId="WW8Num17z1">
    <w:name w:val="WW8Num17z1"/>
    <w:rsid w:val="008779A0"/>
  </w:style>
  <w:style w:type="character" w:customStyle="1" w:styleId="WW8Num17z2">
    <w:name w:val="WW8Num17z2"/>
    <w:rsid w:val="008779A0"/>
  </w:style>
  <w:style w:type="character" w:customStyle="1" w:styleId="WW8Num17z3">
    <w:name w:val="WW8Num17z3"/>
    <w:rsid w:val="008779A0"/>
  </w:style>
  <w:style w:type="character" w:customStyle="1" w:styleId="WW8Num17z4">
    <w:name w:val="WW8Num17z4"/>
    <w:rsid w:val="008779A0"/>
  </w:style>
  <w:style w:type="character" w:customStyle="1" w:styleId="WW8Num17z5">
    <w:name w:val="WW8Num17z5"/>
    <w:rsid w:val="008779A0"/>
  </w:style>
  <w:style w:type="character" w:customStyle="1" w:styleId="WW8Num17z6">
    <w:name w:val="WW8Num17z6"/>
    <w:rsid w:val="008779A0"/>
  </w:style>
  <w:style w:type="character" w:customStyle="1" w:styleId="WW8Num17z7">
    <w:name w:val="WW8Num17z7"/>
    <w:rsid w:val="008779A0"/>
  </w:style>
  <w:style w:type="character" w:customStyle="1" w:styleId="WW8Num17z8">
    <w:name w:val="WW8Num17z8"/>
    <w:rsid w:val="008779A0"/>
  </w:style>
  <w:style w:type="character" w:customStyle="1" w:styleId="WW8Num18z0">
    <w:name w:val="WW8Num18z0"/>
    <w:rsid w:val="008779A0"/>
  </w:style>
  <w:style w:type="character" w:customStyle="1" w:styleId="WW8Num18z1">
    <w:name w:val="WW8Num18z1"/>
    <w:rsid w:val="008779A0"/>
  </w:style>
  <w:style w:type="character" w:customStyle="1" w:styleId="WW8Num18z2">
    <w:name w:val="WW8Num18z2"/>
    <w:rsid w:val="008779A0"/>
  </w:style>
  <w:style w:type="character" w:customStyle="1" w:styleId="WW8Num18z3">
    <w:name w:val="WW8Num18z3"/>
    <w:rsid w:val="008779A0"/>
  </w:style>
  <w:style w:type="character" w:customStyle="1" w:styleId="WW8Num18z4">
    <w:name w:val="WW8Num18z4"/>
    <w:rsid w:val="008779A0"/>
  </w:style>
  <w:style w:type="character" w:customStyle="1" w:styleId="WW8Num18z5">
    <w:name w:val="WW8Num18z5"/>
    <w:rsid w:val="008779A0"/>
  </w:style>
  <w:style w:type="character" w:customStyle="1" w:styleId="WW8Num18z6">
    <w:name w:val="WW8Num18z6"/>
    <w:rsid w:val="008779A0"/>
  </w:style>
  <w:style w:type="character" w:customStyle="1" w:styleId="WW8Num18z7">
    <w:name w:val="WW8Num18z7"/>
    <w:rsid w:val="008779A0"/>
  </w:style>
  <w:style w:type="character" w:customStyle="1" w:styleId="WW8Num18z8">
    <w:name w:val="WW8Num18z8"/>
    <w:rsid w:val="008779A0"/>
  </w:style>
  <w:style w:type="character" w:customStyle="1" w:styleId="2fb">
    <w:name w:val="Основной шрифт абзаца2"/>
    <w:qFormat/>
    <w:rsid w:val="008779A0"/>
  </w:style>
  <w:style w:type="character" w:customStyle="1" w:styleId="WW8Num16z2">
    <w:name w:val="WW8Num16z2"/>
    <w:rsid w:val="008779A0"/>
    <w:rPr>
      <w:rFonts w:ascii="Wingdings" w:hAnsi="Wingdings" w:cs="Wingdings"/>
    </w:rPr>
  </w:style>
  <w:style w:type="character" w:customStyle="1" w:styleId="WW8Num19z0">
    <w:name w:val="WW8Num19z0"/>
    <w:rsid w:val="008779A0"/>
    <w:rPr>
      <w:rFonts w:ascii="Symbol" w:hAnsi="Symbol" w:cs="Symbol"/>
    </w:rPr>
  </w:style>
  <w:style w:type="character" w:customStyle="1" w:styleId="WW8Num19z1">
    <w:name w:val="WW8Num19z1"/>
    <w:rsid w:val="008779A0"/>
    <w:rPr>
      <w:rFonts w:ascii="Courier New" w:hAnsi="Courier New" w:cs="Courier New"/>
    </w:rPr>
  </w:style>
  <w:style w:type="character" w:customStyle="1" w:styleId="WW8Num19z2">
    <w:name w:val="WW8Num19z2"/>
    <w:rsid w:val="008779A0"/>
    <w:rPr>
      <w:rFonts w:ascii="Wingdings" w:hAnsi="Wingdings" w:cs="Wingdings"/>
    </w:rPr>
  </w:style>
  <w:style w:type="character" w:customStyle="1" w:styleId="WW8Num20z0">
    <w:name w:val="WW8Num20z0"/>
    <w:rsid w:val="008779A0"/>
  </w:style>
  <w:style w:type="character" w:customStyle="1" w:styleId="WW8Num20z1">
    <w:name w:val="WW8Num20z1"/>
    <w:rsid w:val="008779A0"/>
    <w:rPr>
      <w:rFonts w:ascii="Times New Roman" w:hAnsi="Times New Roman" w:cs="Times New Roman"/>
    </w:rPr>
  </w:style>
  <w:style w:type="character" w:customStyle="1" w:styleId="WW8Num20z2">
    <w:name w:val="WW8Num20z2"/>
    <w:rsid w:val="008779A0"/>
  </w:style>
  <w:style w:type="character" w:customStyle="1" w:styleId="WW8Num20z3">
    <w:name w:val="WW8Num20z3"/>
    <w:rsid w:val="008779A0"/>
  </w:style>
  <w:style w:type="character" w:customStyle="1" w:styleId="WW8Num20z4">
    <w:name w:val="WW8Num20z4"/>
    <w:rsid w:val="008779A0"/>
  </w:style>
  <w:style w:type="character" w:customStyle="1" w:styleId="WW8Num20z5">
    <w:name w:val="WW8Num20z5"/>
    <w:rsid w:val="008779A0"/>
  </w:style>
  <w:style w:type="character" w:customStyle="1" w:styleId="WW8Num20z6">
    <w:name w:val="WW8Num20z6"/>
    <w:rsid w:val="008779A0"/>
  </w:style>
  <w:style w:type="character" w:customStyle="1" w:styleId="WW8Num20z7">
    <w:name w:val="WW8Num20z7"/>
    <w:rsid w:val="008779A0"/>
  </w:style>
  <w:style w:type="character" w:customStyle="1" w:styleId="WW8Num20z8">
    <w:name w:val="WW8Num20z8"/>
    <w:rsid w:val="008779A0"/>
  </w:style>
  <w:style w:type="character" w:customStyle="1" w:styleId="WW8Num21z0">
    <w:name w:val="WW8Num21z0"/>
    <w:rsid w:val="008779A0"/>
    <w:rPr>
      <w:rFonts w:ascii="Symbol" w:hAnsi="Symbol" w:cs="Symbol"/>
    </w:rPr>
  </w:style>
  <w:style w:type="character" w:customStyle="1" w:styleId="WW8Num21z1">
    <w:name w:val="WW8Num21z1"/>
    <w:rsid w:val="008779A0"/>
    <w:rPr>
      <w:rFonts w:ascii="Courier New" w:hAnsi="Courier New" w:cs="Courier New"/>
    </w:rPr>
  </w:style>
  <w:style w:type="character" w:customStyle="1" w:styleId="WW8Num21z2">
    <w:name w:val="WW8Num21z2"/>
    <w:rsid w:val="008779A0"/>
    <w:rPr>
      <w:rFonts w:ascii="Wingdings" w:hAnsi="Wingdings" w:cs="Wingdings"/>
    </w:rPr>
  </w:style>
  <w:style w:type="character" w:customStyle="1" w:styleId="WW8Num22z0">
    <w:name w:val="WW8Num22z0"/>
    <w:rsid w:val="008779A0"/>
  </w:style>
  <w:style w:type="character" w:customStyle="1" w:styleId="WW8Num23z0">
    <w:name w:val="WW8Num23z0"/>
    <w:rsid w:val="008779A0"/>
    <w:rPr>
      <w:rFonts w:ascii="Symbol" w:hAnsi="Symbol" w:cs="Symbol"/>
    </w:rPr>
  </w:style>
  <w:style w:type="character" w:customStyle="1" w:styleId="WW8Num23z1">
    <w:name w:val="WW8Num23z1"/>
    <w:rsid w:val="008779A0"/>
    <w:rPr>
      <w:rFonts w:ascii="Wingdings" w:hAnsi="Wingdings" w:cs="Wingdings"/>
    </w:rPr>
  </w:style>
  <w:style w:type="character" w:customStyle="1" w:styleId="WW8Num24z0">
    <w:name w:val="WW8Num24z0"/>
    <w:rsid w:val="008779A0"/>
  </w:style>
  <w:style w:type="character" w:customStyle="1" w:styleId="WW8Num25z0">
    <w:name w:val="WW8Num25z0"/>
    <w:rsid w:val="008779A0"/>
    <w:rPr>
      <w:rFonts w:ascii="Symbol" w:hAnsi="Symbol" w:cs="Symbol"/>
    </w:rPr>
  </w:style>
  <w:style w:type="character" w:customStyle="1" w:styleId="WW8Num25z1">
    <w:name w:val="WW8Num25z1"/>
    <w:rsid w:val="008779A0"/>
    <w:rPr>
      <w:rFonts w:ascii="Courier New" w:hAnsi="Courier New" w:cs="Courier New"/>
    </w:rPr>
  </w:style>
  <w:style w:type="character" w:customStyle="1" w:styleId="WW8Num25z2">
    <w:name w:val="WW8Num25z2"/>
    <w:rsid w:val="008779A0"/>
    <w:rPr>
      <w:rFonts w:ascii="Wingdings" w:hAnsi="Wingdings" w:cs="Wingdings"/>
    </w:rPr>
  </w:style>
  <w:style w:type="character" w:customStyle="1" w:styleId="WW8Num26z0">
    <w:name w:val="WW8Num26z0"/>
    <w:rsid w:val="008779A0"/>
    <w:rPr>
      <w:rFonts w:ascii="Symbol" w:hAnsi="Symbol" w:cs="Symbol"/>
    </w:rPr>
  </w:style>
  <w:style w:type="character" w:customStyle="1" w:styleId="WW8Num26z1">
    <w:name w:val="WW8Num26z1"/>
    <w:rsid w:val="008779A0"/>
    <w:rPr>
      <w:rFonts w:ascii="Courier New" w:hAnsi="Courier New" w:cs="Courier New"/>
    </w:rPr>
  </w:style>
  <w:style w:type="character" w:customStyle="1" w:styleId="WW8Num26z2">
    <w:name w:val="WW8Num26z2"/>
    <w:rsid w:val="008779A0"/>
    <w:rPr>
      <w:rFonts w:ascii="Wingdings" w:hAnsi="Wingdings" w:cs="Wingdings"/>
    </w:rPr>
  </w:style>
  <w:style w:type="character" w:customStyle="1" w:styleId="WW8Num27z0">
    <w:name w:val="WW8Num27z0"/>
    <w:rsid w:val="008779A0"/>
  </w:style>
  <w:style w:type="character" w:customStyle="1" w:styleId="WW8Num27z1">
    <w:name w:val="WW8Num27z1"/>
    <w:rsid w:val="008779A0"/>
  </w:style>
  <w:style w:type="character" w:customStyle="1" w:styleId="WW8Num27z2">
    <w:name w:val="WW8Num27z2"/>
    <w:rsid w:val="008779A0"/>
  </w:style>
  <w:style w:type="character" w:customStyle="1" w:styleId="WW8Num27z3">
    <w:name w:val="WW8Num27z3"/>
    <w:rsid w:val="008779A0"/>
  </w:style>
  <w:style w:type="character" w:customStyle="1" w:styleId="WW8Num27z4">
    <w:name w:val="WW8Num27z4"/>
    <w:rsid w:val="008779A0"/>
  </w:style>
  <w:style w:type="character" w:customStyle="1" w:styleId="WW8Num27z5">
    <w:name w:val="WW8Num27z5"/>
    <w:rsid w:val="008779A0"/>
  </w:style>
  <w:style w:type="character" w:customStyle="1" w:styleId="WW8Num27z6">
    <w:name w:val="WW8Num27z6"/>
    <w:rsid w:val="008779A0"/>
  </w:style>
  <w:style w:type="character" w:customStyle="1" w:styleId="WW8Num27z7">
    <w:name w:val="WW8Num27z7"/>
    <w:rsid w:val="008779A0"/>
  </w:style>
  <w:style w:type="character" w:customStyle="1" w:styleId="WW8Num27z8">
    <w:name w:val="WW8Num27z8"/>
    <w:rsid w:val="008779A0"/>
  </w:style>
  <w:style w:type="character" w:customStyle="1" w:styleId="WW8Num28z0">
    <w:name w:val="WW8Num28z0"/>
    <w:rsid w:val="008779A0"/>
    <w:rPr>
      <w:rFonts w:ascii="Symbol" w:hAnsi="Symbol" w:cs="Symbol"/>
    </w:rPr>
  </w:style>
  <w:style w:type="character" w:customStyle="1" w:styleId="WW8Num28z1">
    <w:name w:val="WW8Num28z1"/>
    <w:rsid w:val="008779A0"/>
    <w:rPr>
      <w:rFonts w:ascii="Courier New" w:hAnsi="Courier New" w:cs="Courier New"/>
    </w:rPr>
  </w:style>
  <w:style w:type="character" w:customStyle="1" w:styleId="WW8Num28z2">
    <w:name w:val="WW8Num28z2"/>
    <w:rsid w:val="008779A0"/>
    <w:rPr>
      <w:rFonts w:ascii="Wingdings" w:hAnsi="Wingdings" w:cs="Wingdings"/>
    </w:rPr>
  </w:style>
  <w:style w:type="character" w:customStyle="1" w:styleId="WW8Num29z0">
    <w:name w:val="WW8Num29z0"/>
    <w:rsid w:val="008779A0"/>
    <w:rPr>
      <w:rFonts w:ascii="Symbol" w:hAnsi="Symbol" w:cs="Symbol"/>
    </w:rPr>
  </w:style>
  <w:style w:type="character" w:customStyle="1" w:styleId="WW8Num29z1">
    <w:name w:val="WW8Num29z1"/>
    <w:rsid w:val="008779A0"/>
    <w:rPr>
      <w:rFonts w:ascii="Wingdings" w:hAnsi="Wingdings" w:cs="Wingdings"/>
    </w:rPr>
  </w:style>
  <w:style w:type="character" w:customStyle="1" w:styleId="WW8Num30z0">
    <w:name w:val="WW8Num30z0"/>
    <w:rsid w:val="008779A0"/>
    <w:rPr>
      <w:rFonts w:ascii="Symbol" w:hAnsi="Symbol" w:cs="Symbol"/>
    </w:rPr>
  </w:style>
  <w:style w:type="character" w:customStyle="1" w:styleId="WW8Num30z1">
    <w:name w:val="WW8Num30z1"/>
    <w:rsid w:val="008779A0"/>
    <w:rPr>
      <w:rFonts w:ascii="Courier New" w:hAnsi="Courier New" w:cs="Courier New"/>
    </w:rPr>
  </w:style>
  <w:style w:type="character" w:customStyle="1" w:styleId="WW8Num30z2">
    <w:name w:val="WW8Num30z2"/>
    <w:rsid w:val="008779A0"/>
    <w:rPr>
      <w:rFonts w:ascii="Wingdings" w:hAnsi="Wingdings" w:cs="Wingdings"/>
    </w:rPr>
  </w:style>
  <w:style w:type="character" w:customStyle="1" w:styleId="WW8Num31z0">
    <w:name w:val="WW8Num31z0"/>
    <w:rsid w:val="008779A0"/>
  </w:style>
  <w:style w:type="character" w:customStyle="1" w:styleId="WW8Num31z1">
    <w:name w:val="WW8Num31z1"/>
    <w:rsid w:val="008779A0"/>
  </w:style>
  <w:style w:type="character" w:customStyle="1" w:styleId="WW8Num31z2">
    <w:name w:val="WW8Num31z2"/>
    <w:rsid w:val="008779A0"/>
  </w:style>
  <w:style w:type="character" w:customStyle="1" w:styleId="WW8Num31z3">
    <w:name w:val="WW8Num31z3"/>
    <w:rsid w:val="008779A0"/>
  </w:style>
  <w:style w:type="character" w:customStyle="1" w:styleId="WW8Num31z4">
    <w:name w:val="WW8Num31z4"/>
    <w:rsid w:val="008779A0"/>
  </w:style>
  <w:style w:type="character" w:customStyle="1" w:styleId="WW8Num31z5">
    <w:name w:val="WW8Num31z5"/>
    <w:rsid w:val="008779A0"/>
  </w:style>
  <w:style w:type="character" w:customStyle="1" w:styleId="WW8Num31z6">
    <w:name w:val="WW8Num31z6"/>
    <w:rsid w:val="008779A0"/>
  </w:style>
  <w:style w:type="character" w:customStyle="1" w:styleId="WW8Num31z7">
    <w:name w:val="WW8Num31z7"/>
    <w:rsid w:val="008779A0"/>
  </w:style>
  <w:style w:type="character" w:customStyle="1" w:styleId="WW8Num31z8">
    <w:name w:val="WW8Num31z8"/>
    <w:rsid w:val="008779A0"/>
  </w:style>
  <w:style w:type="character" w:customStyle="1" w:styleId="WW8Num32z0">
    <w:name w:val="WW8Num32z0"/>
    <w:rsid w:val="008779A0"/>
    <w:rPr>
      <w:rFonts w:ascii="Symbol" w:hAnsi="Symbol" w:cs="Symbol"/>
    </w:rPr>
  </w:style>
  <w:style w:type="character" w:customStyle="1" w:styleId="WW8Num32z1">
    <w:name w:val="WW8Num32z1"/>
    <w:rsid w:val="008779A0"/>
    <w:rPr>
      <w:rFonts w:ascii="Wingdings" w:hAnsi="Wingdings" w:cs="Wingdings"/>
    </w:rPr>
  </w:style>
  <w:style w:type="character" w:customStyle="1" w:styleId="WW8Num33z0">
    <w:name w:val="WW8Num33z0"/>
    <w:rsid w:val="008779A0"/>
    <w:rPr>
      <w:rFonts w:ascii="Symbol" w:hAnsi="Symbol" w:cs="Symbol"/>
    </w:rPr>
  </w:style>
  <w:style w:type="character" w:customStyle="1" w:styleId="WW8Num33z1">
    <w:name w:val="WW8Num33z1"/>
    <w:rsid w:val="008779A0"/>
    <w:rPr>
      <w:rFonts w:ascii="Courier New" w:hAnsi="Courier New" w:cs="Courier New"/>
    </w:rPr>
  </w:style>
  <w:style w:type="character" w:customStyle="1" w:styleId="WW8Num33z2">
    <w:name w:val="WW8Num33z2"/>
    <w:rsid w:val="008779A0"/>
    <w:rPr>
      <w:rFonts w:ascii="Wingdings" w:hAnsi="Wingdings" w:cs="Wingdings"/>
    </w:rPr>
  </w:style>
  <w:style w:type="character" w:customStyle="1" w:styleId="1ffa">
    <w:name w:val="Знак примечания1"/>
    <w:rsid w:val="008779A0"/>
    <w:rPr>
      <w:sz w:val="16"/>
      <w:szCs w:val="16"/>
    </w:rPr>
  </w:style>
  <w:style w:type="character" w:customStyle="1" w:styleId="1ffb">
    <w:name w:val="Текст примечания Знак1"/>
    <w:basedOn w:val="2fb"/>
    <w:rsid w:val="008779A0"/>
    <w:rPr>
      <w:color w:val="000000"/>
      <w:sz w:val="20"/>
      <w:szCs w:val="20"/>
      <w:lang w:val="en-US"/>
    </w:rPr>
  </w:style>
  <w:style w:type="character" w:customStyle="1" w:styleId="1ffc">
    <w:name w:val="Тема примечания Знак1"/>
    <w:basedOn w:val="1ffb"/>
    <w:rsid w:val="008779A0"/>
    <w:rPr>
      <w:b/>
      <w:bCs/>
      <w:color w:val="000000"/>
      <w:sz w:val="20"/>
      <w:szCs w:val="20"/>
      <w:lang w:val="en-US"/>
    </w:rPr>
  </w:style>
  <w:style w:type="character" w:customStyle="1" w:styleId="PlainTextChar">
    <w:name w:val="Plain Text Char"/>
    <w:rsid w:val="008779A0"/>
    <w:rPr>
      <w:rFonts w:ascii="Arial Unicode MS" w:hAnsi="Arial Unicode MS" w:cs="Arial Unicode MS"/>
      <w:color w:val="000000"/>
      <w:sz w:val="22"/>
      <w:szCs w:val="22"/>
      <w:lang w:val="ru-RU"/>
    </w:rPr>
  </w:style>
  <w:style w:type="character" w:customStyle="1" w:styleId="text1">
    <w:name w:val="text1"/>
    <w:rsid w:val="008779A0"/>
    <w:rPr>
      <w:rFonts w:ascii="Arial" w:hAnsi="Arial" w:cs="Arial"/>
      <w:sz w:val="17"/>
      <w:szCs w:val="17"/>
    </w:rPr>
  </w:style>
  <w:style w:type="character" w:customStyle="1" w:styleId="13pt">
    <w:name w:val="Основной текст + 13 pt;Полужирный;Курсив"/>
    <w:basedOn w:val="2fb"/>
    <w:rsid w:val="008779A0"/>
    <w:rPr>
      <w:rFonts w:ascii="Times New Roman" w:eastAsia="Times New Roman" w:hAnsi="Times New Roman" w:cs="Times New Roman"/>
      <w:b/>
      <w:bCs/>
      <w:i/>
      <w:iCs/>
      <w:caps w:val="0"/>
      <w:smallCaps w:val="0"/>
      <w:strike w:val="0"/>
      <w:dstrike w:val="0"/>
      <w:color w:val="000000"/>
      <w:spacing w:val="0"/>
      <w:w w:val="100"/>
      <w:position w:val="0"/>
      <w:sz w:val="26"/>
      <w:szCs w:val="26"/>
      <w:u w:val="none"/>
      <w:shd w:val="clear" w:color="auto" w:fill="FFFFFF"/>
      <w:vertAlign w:val="baseline"/>
      <w:lang w:val="ru-RU"/>
    </w:rPr>
  </w:style>
  <w:style w:type="character" w:customStyle="1" w:styleId="2fc">
    <w:name w:val="Основной текст Знак2"/>
    <w:basedOn w:val="a4"/>
    <w:rsid w:val="008779A0"/>
    <w:rPr>
      <w:color w:val="000000"/>
      <w:sz w:val="24"/>
      <w:szCs w:val="24"/>
      <w:lang w:val="en-US" w:eastAsia="zh-CN"/>
    </w:rPr>
  </w:style>
  <w:style w:type="paragraph" w:customStyle="1" w:styleId="2fd">
    <w:name w:val="Указатель2"/>
    <w:basedOn w:val="a3"/>
    <w:qFormat/>
    <w:rsid w:val="008779A0"/>
    <w:pPr>
      <w:widowControl w:val="0"/>
      <w:suppressLineNumbers/>
      <w:suppressAutoHyphens/>
      <w:ind w:firstLine="0"/>
      <w:jc w:val="left"/>
    </w:pPr>
    <w:rPr>
      <w:rFonts w:ascii="PT Astra Serif" w:eastAsia="Times New Roman" w:hAnsi="PT Astra Serif" w:cs="Noto Sans Devanagari"/>
      <w:color w:val="000000"/>
      <w:sz w:val="24"/>
      <w:szCs w:val="24"/>
      <w:lang w:val="en-US" w:eastAsia="zh-CN"/>
    </w:rPr>
  </w:style>
  <w:style w:type="paragraph" w:customStyle="1" w:styleId="1ffd">
    <w:name w:val="Название1"/>
    <w:basedOn w:val="a3"/>
    <w:qFormat/>
    <w:rsid w:val="008779A0"/>
    <w:pPr>
      <w:widowControl w:val="0"/>
      <w:suppressLineNumbers/>
      <w:suppressAutoHyphens/>
      <w:spacing w:before="120" w:after="120"/>
      <w:ind w:firstLine="0"/>
      <w:jc w:val="left"/>
    </w:pPr>
    <w:rPr>
      <w:rFonts w:eastAsia="Times New Roman" w:cs="Times New Roman"/>
      <w:i/>
      <w:iCs/>
      <w:color w:val="000000"/>
      <w:sz w:val="24"/>
      <w:szCs w:val="24"/>
      <w:lang w:val="en-US" w:eastAsia="zh-CN"/>
    </w:rPr>
  </w:style>
  <w:style w:type="paragraph" w:customStyle="1" w:styleId="1ffe">
    <w:name w:val="Указатель1"/>
    <w:basedOn w:val="a3"/>
    <w:qFormat/>
    <w:rsid w:val="008779A0"/>
    <w:pPr>
      <w:widowControl w:val="0"/>
      <w:suppressLineNumbers/>
      <w:suppressAutoHyphens/>
      <w:ind w:firstLine="0"/>
      <w:jc w:val="left"/>
    </w:pPr>
    <w:rPr>
      <w:rFonts w:eastAsia="Times New Roman" w:cs="Times New Roman"/>
      <w:color w:val="000000"/>
      <w:sz w:val="24"/>
      <w:szCs w:val="24"/>
      <w:lang w:val="en-US" w:eastAsia="zh-CN"/>
    </w:rPr>
  </w:style>
  <w:style w:type="paragraph" w:customStyle="1" w:styleId="affffffd">
    <w:name w:val="Знак Знак Знак Знак Знак"/>
    <w:basedOn w:val="a3"/>
    <w:qFormat/>
    <w:rsid w:val="008779A0"/>
    <w:pPr>
      <w:widowControl w:val="0"/>
      <w:spacing w:after="160" w:line="240" w:lineRule="exact"/>
      <w:ind w:firstLine="0"/>
      <w:jc w:val="right"/>
    </w:pPr>
    <w:rPr>
      <w:rFonts w:eastAsia="Times New Roman" w:cs="Times New Roman"/>
      <w:sz w:val="20"/>
      <w:szCs w:val="20"/>
      <w:lang w:val="en-GB" w:eastAsia="zh-CN"/>
    </w:rPr>
  </w:style>
  <w:style w:type="paragraph" w:customStyle="1" w:styleId="1fff">
    <w:name w:val="Текст примечания1"/>
    <w:basedOn w:val="a3"/>
    <w:qFormat/>
    <w:rsid w:val="008779A0"/>
    <w:pPr>
      <w:widowControl w:val="0"/>
      <w:suppressAutoHyphens/>
      <w:ind w:firstLine="0"/>
      <w:jc w:val="left"/>
    </w:pPr>
    <w:rPr>
      <w:rFonts w:eastAsia="Times New Roman" w:cs="Times New Roman"/>
      <w:color w:val="000000"/>
      <w:sz w:val="20"/>
      <w:szCs w:val="20"/>
      <w:lang w:val="en-US" w:eastAsia="zh-CN"/>
    </w:rPr>
  </w:style>
  <w:style w:type="paragraph" w:customStyle="1" w:styleId="2fe">
    <w:name w:val="Текст примечания2"/>
    <w:basedOn w:val="a3"/>
    <w:qFormat/>
    <w:rsid w:val="008779A0"/>
    <w:pPr>
      <w:widowControl w:val="0"/>
      <w:suppressAutoHyphens/>
      <w:ind w:firstLine="0"/>
      <w:jc w:val="left"/>
    </w:pPr>
    <w:rPr>
      <w:rFonts w:eastAsia="Times New Roman" w:cs="Times New Roman"/>
      <w:color w:val="000000"/>
      <w:sz w:val="20"/>
      <w:szCs w:val="20"/>
      <w:lang w:val="en-US" w:eastAsia="zh-CN"/>
    </w:rPr>
  </w:style>
  <w:style w:type="character" w:customStyle="1" w:styleId="2ff">
    <w:name w:val="Текст примечания Знак2"/>
    <w:basedOn w:val="a4"/>
    <w:rsid w:val="008779A0"/>
    <w:rPr>
      <w:color w:val="000000"/>
      <w:lang w:val="en-US" w:eastAsia="zh-CN"/>
    </w:rPr>
  </w:style>
  <w:style w:type="character" w:customStyle="1" w:styleId="2ff0">
    <w:name w:val="Тема примечания Знак2"/>
    <w:basedOn w:val="affa"/>
    <w:rsid w:val="008779A0"/>
    <w:rPr>
      <w:rFonts w:ascii="Times New Roman" w:hAnsi="Times New Roman"/>
      <w:b/>
      <w:bCs/>
      <w:color w:val="000000"/>
      <w:sz w:val="20"/>
      <w:szCs w:val="20"/>
      <w:lang w:val="en-US" w:eastAsia="zh-CN"/>
    </w:rPr>
  </w:style>
  <w:style w:type="paragraph" w:customStyle="1" w:styleId="affffffe">
    <w:name w:val="Заголовок таблицы"/>
    <w:basedOn w:val="afff1"/>
    <w:qFormat/>
    <w:rsid w:val="008779A0"/>
    <w:pPr>
      <w:widowControl w:val="0"/>
      <w:jc w:val="center"/>
    </w:pPr>
    <w:rPr>
      <w:b/>
      <w:bCs/>
      <w:color w:val="000000"/>
      <w:lang w:val="en-US" w:eastAsia="zh-CN"/>
    </w:rPr>
  </w:style>
  <w:style w:type="paragraph" w:customStyle="1" w:styleId="afffffff">
    <w:name w:val="Содержимое врезки"/>
    <w:basedOn w:val="af7"/>
    <w:qFormat/>
    <w:rsid w:val="008779A0"/>
    <w:pPr>
      <w:suppressAutoHyphens w:val="0"/>
      <w:spacing w:after="0" w:line="240" w:lineRule="auto"/>
    </w:pPr>
    <w:rPr>
      <w:color w:val="000000"/>
      <w:lang w:val="en-US" w:eastAsia="zh-CN"/>
    </w:rPr>
  </w:style>
  <w:style w:type="paragraph" w:customStyle="1" w:styleId="ConsCell">
    <w:name w:val="ConsCell"/>
    <w:uiPriority w:val="99"/>
    <w:qFormat/>
    <w:rsid w:val="008779A0"/>
    <w:pPr>
      <w:widowControl w:val="0"/>
      <w:suppressAutoHyphens/>
      <w:autoSpaceDE w:val="0"/>
      <w:spacing w:after="0" w:line="240" w:lineRule="auto"/>
      <w:ind w:right="19772"/>
    </w:pPr>
    <w:rPr>
      <w:rFonts w:ascii="Arial" w:eastAsia="Times New Roman" w:hAnsi="Arial" w:cs="Arial"/>
      <w:sz w:val="20"/>
      <w:szCs w:val="20"/>
      <w:lang w:eastAsia="zh-CN"/>
    </w:rPr>
  </w:style>
  <w:style w:type="character" w:customStyle="1" w:styleId="3f0">
    <w:name w:val="Основной шрифт абзаца3"/>
    <w:rsid w:val="008779A0"/>
  </w:style>
  <w:style w:type="paragraph" w:customStyle="1" w:styleId="3f1">
    <w:name w:val="Обычный (веб)3"/>
    <w:basedOn w:val="a3"/>
    <w:qFormat/>
    <w:rsid w:val="008779A0"/>
    <w:pPr>
      <w:spacing w:before="280" w:after="280"/>
      <w:ind w:firstLine="0"/>
      <w:jc w:val="center"/>
    </w:pPr>
    <w:rPr>
      <w:rFonts w:ascii="PT Astra Serif" w:eastAsia="source han sans cn regular" w:hAnsi="PT Astra Serif" w:cs="Times New Roman"/>
      <w:kern w:val="2"/>
      <w:szCs w:val="24"/>
      <w:lang w:eastAsia="ru-RU"/>
    </w:rPr>
  </w:style>
  <w:style w:type="character" w:customStyle="1" w:styleId="Bodytext3">
    <w:name w:val="Body text (3)_"/>
    <w:basedOn w:val="a4"/>
    <w:link w:val="Bodytext30"/>
    <w:rsid w:val="008779A0"/>
    <w:rPr>
      <w:b/>
      <w:bCs/>
      <w:sz w:val="28"/>
      <w:szCs w:val="28"/>
      <w:shd w:val="clear" w:color="auto" w:fill="FFFFFF"/>
    </w:rPr>
  </w:style>
  <w:style w:type="character" w:customStyle="1" w:styleId="Bodytext2Italic">
    <w:name w:val="Body text (2) + Italic"/>
    <w:basedOn w:val="a4"/>
    <w:qFormat/>
    <w:rsid w:val="008779A0"/>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Bodytext4">
    <w:name w:val="Body text (4)_"/>
    <w:basedOn w:val="a4"/>
    <w:link w:val="Bodytext40"/>
    <w:qFormat/>
    <w:rsid w:val="008779A0"/>
    <w:rPr>
      <w:i/>
      <w:iCs/>
      <w:sz w:val="28"/>
      <w:szCs w:val="28"/>
      <w:shd w:val="clear" w:color="auto" w:fill="FFFFFF"/>
    </w:rPr>
  </w:style>
  <w:style w:type="character" w:customStyle="1" w:styleId="Bodytext2">
    <w:name w:val="Body text (2)"/>
    <w:basedOn w:val="a4"/>
    <w:rsid w:val="008779A0"/>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Bodytext4NotItalic">
    <w:name w:val="Body text (4) + Not Italic"/>
    <w:basedOn w:val="Bodytext4"/>
    <w:qFormat/>
    <w:rsid w:val="008779A0"/>
    <w:rPr>
      <w:i/>
      <w:iCs/>
      <w:color w:val="000000"/>
      <w:spacing w:val="0"/>
      <w:w w:val="100"/>
      <w:position w:val="0"/>
      <w:sz w:val="28"/>
      <w:szCs w:val="28"/>
      <w:shd w:val="clear" w:color="auto" w:fill="FFFFFF"/>
      <w:lang w:val="ru-RU" w:eastAsia="ru-RU" w:bidi="ru-RU"/>
    </w:rPr>
  </w:style>
  <w:style w:type="character" w:customStyle="1" w:styleId="Bodytext212ptBold">
    <w:name w:val="Body text (2) + 12 pt;Bold"/>
    <w:basedOn w:val="a4"/>
    <w:qFormat/>
    <w:rsid w:val="008779A0"/>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115pt">
    <w:name w:val="Body text (2) + 11.5 pt"/>
    <w:basedOn w:val="a4"/>
    <w:qFormat/>
    <w:rsid w:val="008779A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paragraph" w:customStyle="1" w:styleId="Bodytext30">
    <w:name w:val="Body text (3)"/>
    <w:basedOn w:val="a3"/>
    <w:link w:val="Bodytext3"/>
    <w:qFormat/>
    <w:rsid w:val="008779A0"/>
    <w:pPr>
      <w:widowControl w:val="0"/>
      <w:shd w:val="clear" w:color="auto" w:fill="FFFFFF"/>
      <w:spacing w:after="420" w:line="0" w:lineRule="atLeast"/>
      <w:ind w:firstLine="0"/>
      <w:jc w:val="center"/>
    </w:pPr>
    <w:rPr>
      <w:rFonts w:asciiTheme="minorHAnsi" w:hAnsiTheme="minorHAnsi"/>
      <w:b/>
      <w:bCs/>
      <w:szCs w:val="28"/>
    </w:rPr>
  </w:style>
  <w:style w:type="paragraph" w:customStyle="1" w:styleId="Bodytext40">
    <w:name w:val="Body text (4)"/>
    <w:basedOn w:val="a3"/>
    <w:link w:val="Bodytext4"/>
    <w:qFormat/>
    <w:rsid w:val="008779A0"/>
    <w:pPr>
      <w:widowControl w:val="0"/>
      <w:shd w:val="clear" w:color="auto" w:fill="FFFFFF"/>
      <w:spacing w:line="320" w:lineRule="exact"/>
      <w:ind w:firstLine="740"/>
    </w:pPr>
    <w:rPr>
      <w:rFonts w:asciiTheme="minorHAnsi" w:hAnsiTheme="minorHAnsi"/>
      <w:i/>
      <w:iCs/>
      <w:szCs w:val="28"/>
    </w:rPr>
  </w:style>
  <w:style w:type="character" w:customStyle="1" w:styleId="Bodytext20">
    <w:name w:val="Body text (2)_"/>
    <w:basedOn w:val="a4"/>
    <w:qFormat/>
    <w:rsid w:val="008779A0"/>
    <w:rPr>
      <w:rFonts w:ascii="Times New Roman" w:eastAsia="Times New Roman" w:hAnsi="Times New Roman" w:cs="Times New Roman"/>
      <w:sz w:val="28"/>
      <w:szCs w:val="28"/>
      <w:shd w:val="clear" w:color="auto" w:fill="FFFFFF"/>
    </w:rPr>
  </w:style>
  <w:style w:type="character" w:customStyle="1" w:styleId="3f2">
    <w:name w:val="Строгий3"/>
    <w:basedOn w:val="a4"/>
    <w:rsid w:val="008779A0"/>
    <w:rPr>
      <w:b/>
      <w:bCs/>
    </w:rPr>
  </w:style>
  <w:style w:type="paragraph" w:customStyle="1" w:styleId="2ff1">
    <w:name w:val="Красная строка2"/>
    <w:basedOn w:val="af7"/>
    <w:qFormat/>
    <w:rsid w:val="008779A0"/>
    <w:pPr>
      <w:widowControl w:val="0"/>
      <w:spacing w:line="240" w:lineRule="auto"/>
      <w:ind w:firstLine="210"/>
      <w:jc w:val="center"/>
    </w:pPr>
    <w:rPr>
      <w:rFonts w:ascii="PT Astra Serif" w:eastAsia="source han sans cn regular" w:hAnsi="PT Astra Serif" w:cs="PT Astra Serif"/>
      <w:kern w:val="2"/>
      <w:sz w:val="28"/>
      <w:lang w:eastAsia="zh-CN"/>
    </w:rPr>
  </w:style>
  <w:style w:type="paragraph" w:customStyle="1" w:styleId="1fff0">
    <w:name w:val="Обычный (Интернет)1"/>
    <w:basedOn w:val="a3"/>
    <w:qFormat/>
    <w:rsid w:val="008779A0"/>
    <w:pPr>
      <w:spacing w:before="280" w:after="280"/>
      <w:ind w:firstLine="0"/>
      <w:jc w:val="left"/>
    </w:pPr>
    <w:rPr>
      <w:rFonts w:eastAsia="Times New Roman" w:cs="Times New Roman"/>
      <w:sz w:val="24"/>
      <w:szCs w:val="24"/>
      <w:lang w:eastAsia="zh-CN"/>
    </w:rPr>
  </w:style>
  <w:style w:type="paragraph" w:customStyle="1" w:styleId="83">
    <w:name w:val="Абзац списка8"/>
    <w:basedOn w:val="a3"/>
    <w:qFormat/>
    <w:rsid w:val="008779A0"/>
    <w:pPr>
      <w:suppressAutoHyphens/>
      <w:spacing w:after="200" w:line="276" w:lineRule="auto"/>
      <w:ind w:left="720" w:firstLine="0"/>
      <w:contextualSpacing/>
      <w:jc w:val="left"/>
    </w:pPr>
    <w:rPr>
      <w:rFonts w:ascii="Calibri" w:eastAsia="Times New Roman" w:hAnsi="Calibri" w:cs="Calibri"/>
      <w:sz w:val="22"/>
      <w:lang w:eastAsia="zh-CN"/>
    </w:rPr>
  </w:style>
  <w:style w:type="character" w:customStyle="1" w:styleId="49">
    <w:name w:val="Основной шрифт абзаца4"/>
    <w:rsid w:val="008779A0"/>
  </w:style>
  <w:style w:type="paragraph" w:customStyle="1" w:styleId="4a">
    <w:name w:val="Обычный4"/>
    <w:qFormat/>
    <w:rsid w:val="008779A0"/>
    <w:pPr>
      <w:widowControl w:val="0"/>
      <w:spacing w:after="0" w:line="240" w:lineRule="auto"/>
    </w:pPr>
    <w:rPr>
      <w:rFonts w:ascii="Times New Roman" w:eastAsia="Times New Roman" w:hAnsi="Times New Roman" w:cs="Times New Roman"/>
      <w:color w:val="00000A"/>
      <w:sz w:val="28"/>
      <w:szCs w:val="28"/>
      <w:lang w:eastAsia="ru-RU"/>
    </w:rPr>
  </w:style>
  <w:style w:type="character" w:customStyle="1" w:styleId="afffffff0">
    <w:name w:val="Символ сноски"/>
    <w:qFormat/>
    <w:rsid w:val="008779A0"/>
  </w:style>
  <w:style w:type="paragraph" w:customStyle="1" w:styleId="1fff1">
    <w:name w:val="Обычный 1"/>
    <w:basedOn w:val="a3"/>
    <w:qFormat/>
    <w:rsid w:val="008270B4"/>
    <w:pPr>
      <w:spacing w:line="360" w:lineRule="auto"/>
    </w:pPr>
    <w:rPr>
      <w:rFonts w:ascii="PT Sans" w:eastAsia="Tahoma" w:hAnsi="PT Sans" w:cs="Noto Sans Devanagari"/>
      <w:color w:val="00000A"/>
      <w:sz w:val="24"/>
      <w:szCs w:val="24"/>
      <w:lang w:val="en-US" w:eastAsia="zh-CN" w:bidi="hi-IN"/>
    </w:rPr>
  </w:style>
  <w:style w:type="paragraph" w:customStyle="1" w:styleId="typography-moduletextccovh">
    <w:name w:val="typography-module_text__ccovh"/>
    <w:basedOn w:val="a3"/>
    <w:qFormat/>
    <w:rsid w:val="008270B4"/>
    <w:pPr>
      <w:spacing w:before="100" w:beforeAutospacing="1" w:after="100" w:afterAutospacing="1"/>
      <w:ind w:firstLine="0"/>
      <w:jc w:val="left"/>
    </w:pPr>
    <w:rPr>
      <w:rFonts w:eastAsia="Times New Roman" w:cs="Times New Roman"/>
      <w:sz w:val="24"/>
      <w:szCs w:val="24"/>
      <w:lang w:eastAsia="ru-RU"/>
    </w:rPr>
  </w:style>
  <w:style w:type="paragraph" w:customStyle="1" w:styleId="Firstlineindent">
    <w:name w:val="First line indent"/>
    <w:basedOn w:val="a3"/>
    <w:qFormat/>
    <w:rsid w:val="008270B4"/>
    <w:pPr>
      <w:widowControl w:val="0"/>
      <w:suppressAutoHyphens/>
      <w:textAlignment w:val="baseline"/>
    </w:pPr>
    <w:rPr>
      <w:rFonts w:ascii="PT Astra Serif" w:eastAsia="PT Astra Serif" w:hAnsi="PT Astra Serif" w:cs="PT Astra Serif"/>
      <w:kern w:val="2"/>
      <w:sz w:val="21"/>
      <w:szCs w:val="24"/>
      <w:lang w:eastAsia="zh-CN"/>
    </w:rPr>
  </w:style>
  <w:style w:type="numbering" w:customStyle="1" w:styleId="73">
    <w:name w:val="Нет списка7"/>
    <w:next w:val="a6"/>
    <w:uiPriority w:val="99"/>
    <w:semiHidden/>
    <w:unhideWhenUsed/>
    <w:rsid w:val="001127A8"/>
  </w:style>
  <w:style w:type="character" w:customStyle="1" w:styleId="116">
    <w:name w:val="Стиль1 Знак1"/>
    <w:rsid w:val="001127A8"/>
    <w:rPr>
      <w:rFonts w:ascii="Times New Roman" w:eastAsia="Times New Roman" w:hAnsi="Times New Roman" w:cs="Times New Roman"/>
      <w:sz w:val="28"/>
      <w:szCs w:val="20"/>
      <w:lang w:eastAsia="ru-RU"/>
    </w:rPr>
  </w:style>
  <w:style w:type="paragraph" w:customStyle="1" w:styleId="bodytext0">
    <w:name w:val="bodytext"/>
    <w:basedOn w:val="a3"/>
    <w:qFormat/>
    <w:rsid w:val="001127A8"/>
    <w:pPr>
      <w:spacing w:before="100" w:beforeAutospacing="1" w:after="100" w:afterAutospacing="1"/>
      <w:ind w:firstLine="0"/>
      <w:jc w:val="left"/>
    </w:pPr>
    <w:rPr>
      <w:rFonts w:eastAsia="Times New Roman" w:cs="Times New Roman"/>
      <w:sz w:val="18"/>
      <w:szCs w:val="18"/>
      <w:lang w:eastAsia="ru-RU"/>
    </w:rPr>
  </w:style>
  <w:style w:type="paragraph" w:customStyle="1" w:styleId="afffffff1">
    <w:name w:val="Основной"/>
    <w:basedOn w:val="a3"/>
    <w:link w:val="afffffff2"/>
    <w:qFormat/>
    <w:rsid w:val="001127A8"/>
    <w:pPr>
      <w:spacing w:line="480" w:lineRule="auto"/>
    </w:pPr>
    <w:rPr>
      <w:rFonts w:eastAsia="Times New Roman" w:cs="Times New Roman"/>
      <w:szCs w:val="20"/>
      <w:lang w:eastAsia="ru-RU"/>
    </w:rPr>
  </w:style>
  <w:style w:type="character" w:customStyle="1" w:styleId="afffffff2">
    <w:name w:val="Основной Знак"/>
    <w:link w:val="afffffff1"/>
    <w:rsid w:val="001127A8"/>
    <w:rPr>
      <w:rFonts w:ascii="Times New Roman" w:eastAsia="Times New Roman" w:hAnsi="Times New Roman" w:cs="Times New Roman"/>
      <w:sz w:val="28"/>
      <w:szCs w:val="20"/>
      <w:lang w:eastAsia="ru-RU"/>
    </w:rPr>
  </w:style>
  <w:style w:type="paragraph" w:customStyle="1" w:styleId="DOsntext">
    <w:name w:val="D Osn text"/>
    <w:basedOn w:val="a3"/>
    <w:qFormat/>
    <w:rsid w:val="001127A8"/>
    <w:pPr>
      <w:spacing w:after="120" w:line="336" w:lineRule="auto"/>
      <w:ind w:firstLine="567"/>
    </w:pPr>
    <w:rPr>
      <w:rFonts w:eastAsia="Times New Roman" w:cs="Times New Roman"/>
      <w:sz w:val="24"/>
      <w:szCs w:val="20"/>
      <w:lang w:eastAsia="ru-RU"/>
    </w:rPr>
  </w:style>
  <w:style w:type="character" w:customStyle="1" w:styleId="text2">
    <w:name w:val="text2"/>
    <w:basedOn w:val="a4"/>
    <w:rsid w:val="001127A8"/>
  </w:style>
  <w:style w:type="paragraph" w:customStyle="1" w:styleId="Style12">
    <w:name w:val="Style12"/>
    <w:basedOn w:val="a3"/>
    <w:uiPriority w:val="99"/>
    <w:qFormat/>
    <w:rsid w:val="001127A8"/>
    <w:pPr>
      <w:widowControl w:val="0"/>
      <w:autoSpaceDE w:val="0"/>
      <w:autoSpaceDN w:val="0"/>
      <w:adjustRightInd w:val="0"/>
      <w:spacing w:before="100" w:beforeAutospacing="1" w:line="317" w:lineRule="exact"/>
      <w:ind w:firstLine="566"/>
    </w:pPr>
    <w:rPr>
      <w:rFonts w:eastAsia="Times New Roman" w:cs="Times New Roman"/>
      <w:sz w:val="24"/>
      <w:szCs w:val="24"/>
      <w:lang w:eastAsia="ru-RU"/>
    </w:rPr>
  </w:style>
  <w:style w:type="paragraph" w:customStyle="1" w:styleId="afffffff3">
    <w:name w:val="Обычный (паспорт)"/>
    <w:basedOn w:val="a3"/>
    <w:qFormat/>
    <w:rsid w:val="001127A8"/>
    <w:pPr>
      <w:spacing w:before="120"/>
      <w:ind w:firstLine="0"/>
    </w:pPr>
    <w:rPr>
      <w:rFonts w:eastAsia="Times New Roman" w:cs="Times New Roman"/>
      <w:szCs w:val="28"/>
      <w:lang w:eastAsia="ru-RU"/>
    </w:rPr>
  </w:style>
  <w:style w:type="character" w:customStyle="1" w:styleId="text">
    <w:name w:val="text"/>
    <w:basedOn w:val="a4"/>
    <w:rsid w:val="001127A8"/>
  </w:style>
  <w:style w:type="paragraph" w:styleId="4b">
    <w:name w:val="toc 4"/>
    <w:basedOn w:val="a3"/>
    <w:next w:val="a3"/>
    <w:autoRedefine/>
    <w:uiPriority w:val="39"/>
    <w:unhideWhenUsed/>
    <w:rsid w:val="00417E10"/>
    <w:pPr>
      <w:spacing w:after="100" w:line="276" w:lineRule="auto"/>
      <w:ind w:left="660" w:firstLine="0"/>
      <w:jc w:val="left"/>
    </w:pPr>
    <w:rPr>
      <w:rFonts w:asciiTheme="minorHAnsi" w:eastAsiaTheme="minorEastAsia" w:hAnsiTheme="minorHAnsi"/>
      <w:sz w:val="22"/>
      <w:lang w:eastAsia="ru-RU"/>
    </w:rPr>
  </w:style>
  <w:style w:type="paragraph" w:styleId="57">
    <w:name w:val="toc 5"/>
    <w:basedOn w:val="a3"/>
    <w:next w:val="a3"/>
    <w:autoRedefine/>
    <w:uiPriority w:val="39"/>
    <w:unhideWhenUsed/>
    <w:rsid w:val="00417E10"/>
    <w:pPr>
      <w:spacing w:after="100" w:line="276" w:lineRule="auto"/>
      <w:ind w:left="880" w:firstLine="0"/>
      <w:jc w:val="left"/>
    </w:pPr>
    <w:rPr>
      <w:rFonts w:asciiTheme="minorHAnsi" w:eastAsiaTheme="minorEastAsia" w:hAnsiTheme="minorHAnsi"/>
      <w:sz w:val="22"/>
      <w:lang w:eastAsia="ru-RU"/>
    </w:rPr>
  </w:style>
  <w:style w:type="paragraph" w:styleId="65">
    <w:name w:val="toc 6"/>
    <w:basedOn w:val="a3"/>
    <w:next w:val="a3"/>
    <w:autoRedefine/>
    <w:uiPriority w:val="39"/>
    <w:unhideWhenUsed/>
    <w:rsid w:val="00417E10"/>
    <w:pPr>
      <w:spacing w:after="100" w:line="276" w:lineRule="auto"/>
      <w:ind w:left="1100" w:firstLine="0"/>
      <w:jc w:val="left"/>
    </w:pPr>
    <w:rPr>
      <w:rFonts w:asciiTheme="minorHAnsi" w:eastAsiaTheme="minorEastAsia" w:hAnsiTheme="minorHAnsi"/>
      <w:sz w:val="22"/>
      <w:lang w:eastAsia="ru-RU"/>
    </w:rPr>
  </w:style>
  <w:style w:type="paragraph" w:styleId="74">
    <w:name w:val="toc 7"/>
    <w:basedOn w:val="a3"/>
    <w:next w:val="a3"/>
    <w:autoRedefine/>
    <w:uiPriority w:val="39"/>
    <w:unhideWhenUsed/>
    <w:rsid w:val="00417E10"/>
    <w:pPr>
      <w:spacing w:after="100" w:line="276" w:lineRule="auto"/>
      <w:ind w:left="1320" w:firstLine="0"/>
      <w:jc w:val="left"/>
    </w:pPr>
    <w:rPr>
      <w:rFonts w:asciiTheme="minorHAnsi" w:eastAsiaTheme="minorEastAsia" w:hAnsiTheme="minorHAnsi"/>
      <w:sz w:val="22"/>
      <w:lang w:eastAsia="ru-RU"/>
    </w:rPr>
  </w:style>
  <w:style w:type="paragraph" w:styleId="84">
    <w:name w:val="toc 8"/>
    <w:basedOn w:val="a3"/>
    <w:next w:val="a3"/>
    <w:autoRedefine/>
    <w:uiPriority w:val="39"/>
    <w:unhideWhenUsed/>
    <w:rsid w:val="00417E10"/>
    <w:pPr>
      <w:spacing w:after="100" w:line="276" w:lineRule="auto"/>
      <w:ind w:left="1540" w:firstLine="0"/>
      <w:jc w:val="left"/>
    </w:pPr>
    <w:rPr>
      <w:rFonts w:asciiTheme="minorHAnsi" w:eastAsiaTheme="minorEastAsia" w:hAnsiTheme="minorHAnsi"/>
      <w:sz w:val="22"/>
      <w:lang w:eastAsia="ru-RU"/>
    </w:rPr>
  </w:style>
  <w:style w:type="paragraph" w:styleId="93">
    <w:name w:val="toc 9"/>
    <w:basedOn w:val="a3"/>
    <w:next w:val="a3"/>
    <w:autoRedefine/>
    <w:uiPriority w:val="39"/>
    <w:unhideWhenUsed/>
    <w:rsid w:val="00417E10"/>
    <w:pPr>
      <w:spacing w:after="100" w:line="276" w:lineRule="auto"/>
      <w:ind w:left="1760" w:firstLine="0"/>
      <w:jc w:val="left"/>
    </w:pPr>
    <w:rPr>
      <w:rFonts w:asciiTheme="minorHAnsi" w:eastAsiaTheme="minorEastAsia" w:hAnsiTheme="minorHAnsi"/>
      <w:sz w:val="22"/>
      <w:lang w:eastAsia="ru-RU"/>
    </w:rPr>
  </w:style>
  <w:style w:type="paragraph" w:customStyle="1" w:styleId="StGen1">
    <w:name w:val="StGen1"/>
    <w:basedOn w:val="a3"/>
    <w:next w:val="af2"/>
    <w:uiPriority w:val="99"/>
    <w:qFormat/>
    <w:rsid w:val="007B61B9"/>
    <w:pPr>
      <w:spacing w:before="100" w:beforeAutospacing="1" w:after="100" w:afterAutospacing="1"/>
      <w:ind w:firstLine="0"/>
      <w:jc w:val="left"/>
    </w:pPr>
    <w:rPr>
      <w:rFonts w:eastAsia="Times New Roman" w:cs="Times New Roman"/>
      <w:sz w:val="24"/>
      <w:szCs w:val="24"/>
      <w:lang w:eastAsia="ru-RU"/>
    </w:rPr>
  </w:style>
  <w:style w:type="paragraph" w:customStyle="1" w:styleId="docdata">
    <w:name w:val="docdata"/>
    <w:aliases w:val="docy,v5,20178,bqiaagaaeyqcaaagiaiaaap1tqaabqnoaaaaaaaaaaaaaaaaaaaaaaaaaaaaaaaaaaaaaaaaaaaaaaaaaaaaaaaaaaaaaaaaaaaaaaaaaaaaaaaaaaaaaaaaaaaaaaaaaaaaaaaaaaaaaaaaaaaaaaaaaaaaaaaaaaaaaaaaaaaaaaaaaaaaaaaaaaaaaaaaaaaaaaaaaaaaaaaaaaaaaaaaaaaaaaaaaaaaaaa"/>
    <w:basedOn w:val="a3"/>
    <w:qFormat/>
    <w:rsid w:val="007B61B9"/>
    <w:pPr>
      <w:spacing w:before="100" w:beforeAutospacing="1" w:after="100" w:afterAutospacing="1"/>
      <w:ind w:firstLine="0"/>
      <w:jc w:val="left"/>
    </w:pPr>
    <w:rPr>
      <w:rFonts w:eastAsia="Times New Roman" w:cs="Times New Roman"/>
      <w:sz w:val="24"/>
      <w:szCs w:val="24"/>
      <w:lang w:eastAsia="ru-RU"/>
    </w:rPr>
  </w:style>
  <w:style w:type="character" w:customStyle="1" w:styleId="1fff2">
    <w:name w:val="Заголовок №1_"/>
    <w:link w:val="1fff3"/>
    <w:rsid w:val="007B61B9"/>
    <w:rPr>
      <w:rFonts w:ascii="Times New Roman" w:hAnsi="Times New Roman" w:cs="Times New Roman"/>
      <w:b/>
      <w:bCs/>
      <w:sz w:val="28"/>
      <w:szCs w:val="28"/>
      <w:shd w:val="clear" w:color="auto" w:fill="FFFFFF"/>
    </w:rPr>
  </w:style>
  <w:style w:type="paragraph" w:customStyle="1" w:styleId="1fff3">
    <w:name w:val="Заголовок №1"/>
    <w:basedOn w:val="a3"/>
    <w:link w:val="1fff2"/>
    <w:qFormat/>
    <w:rsid w:val="007B61B9"/>
    <w:pPr>
      <w:widowControl w:val="0"/>
      <w:shd w:val="clear" w:color="auto" w:fill="FFFFFF"/>
      <w:spacing w:before="320" w:line="310" w:lineRule="exact"/>
      <w:ind w:firstLine="0"/>
      <w:jc w:val="center"/>
      <w:outlineLvl w:val="0"/>
    </w:pPr>
    <w:rPr>
      <w:rFonts w:cs="Times New Roman"/>
      <w:b/>
      <w:bCs/>
      <w:szCs w:val="28"/>
    </w:rPr>
  </w:style>
  <w:style w:type="character" w:customStyle="1" w:styleId="61">
    <w:name w:val="Заголовок 6 Знак"/>
    <w:basedOn w:val="a4"/>
    <w:link w:val="60"/>
    <w:rsid w:val="00A60995"/>
    <w:rPr>
      <w:rFonts w:ascii="Arial" w:eastAsia="Arial" w:hAnsi="Arial" w:cs="Arial"/>
      <w:b/>
      <w:bCs/>
    </w:rPr>
  </w:style>
  <w:style w:type="character" w:customStyle="1" w:styleId="80">
    <w:name w:val="Заголовок 8 Знак"/>
    <w:basedOn w:val="a4"/>
    <w:link w:val="8"/>
    <w:uiPriority w:val="9"/>
    <w:rsid w:val="00A60995"/>
    <w:rPr>
      <w:rFonts w:ascii="Arial" w:eastAsia="Arial" w:hAnsi="Arial" w:cs="Arial"/>
      <w:i/>
      <w:iCs/>
    </w:rPr>
  </w:style>
  <w:style w:type="character" w:customStyle="1" w:styleId="90">
    <w:name w:val="Заголовок 9 Знак"/>
    <w:basedOn w:val="a4"/>
    <w:link w:val="9"/>
    <w:uiPriority w:val="9"/>
    <w:rsid w:val="00A60995"/>
    <w:rPr>
      <w:rFonts w:ascii="Arial" w:eastAsia="Arial" w:hAnsi="Arial" w:cs="Arial"/>
      <w:i/>
      <w:iCs/>
      <w:sz w:val="21"/>
      <w:szCs w:val="21"/>
    </w:rPr>
  </w:style>
  <w:style w:type="character" w:customStyle="1" w:styleId="Heading1Char">
    <w:name w:val="Heading 1 Char"/>
    <w:basedOn w:val="a4"/>
    <w:uiPriority w:val="9"/>
    <w:rsid w:val="00A60995"/>
    <w:rPr>
      <w:rFonts w:ascii="Arial" w:eastAsia="Arial" w:hAnsi="Arial" w:cs="Arial"/>
      <w:sz w:val="40"/>
      <w:szCs w:val="40"/>
    </w:rPr>
  </w:style>
  <w:style w:type="character" w:customStyle="1" w:styleId="Heading2Char">
    <w:name w:val="Heading 2 Char"/>
    <w:basedOn w:val="a4"/>
    <w:uiPriority w:val="9"/>
    <w:rsid w:val="00A60995"/>
    <w:rPr>
      <w:rFonts w:ascii="Arial" w:eastAsia="Arial" w:hAnsi="Arial" w:cs="Arial"/>
      <w:sz w:val="34"/>
    </w:rPr>
  </w:style>
  <w:style w:type="paragraph" w:styleId="2ff2">
    <w:name w:val="Quote"/>
    <w:basedOn w:val="a3"/>
    <w:next w:val="a3"/>
    <w:link w:val="2ff3"/>
    <w:uiPriority w:val="29"/>
    <w:qFormat/>
    <w:rsid w:val="00A60995"/>
    <w:pPr>
      <w:spacing w:line="276" w:lineRule="auto"/>
      <w:ind w:left="720" w:right="720" w:firstLine="0"/>
      <w:jc w:val="left"/>
    </w:pPr>
    <w:rPr>
      <w:rFonts w:ascii="Calibri" w:eastAsia="Calibri" w:hAnsi="Calibri" w:cs="Times New Roman"/>
      <w:i/>
      <w:sz w:val="22"/>
    </w:rPr>
  </w:style>
  <w:style w:type="character" w:customStyle="1" w:styleId="2ff3">
    <w:name w:val="Цитата 2 Знак"/>
    <w:basedOn w:val="a4"/>
    <w:link w:val="2ff2"/>
    <w:uiPriority w:val="29"/>
    <w:rsid w:val="00A60995"/>
    <w:rPr>
      <w:rFonts w:ascii="Calibri" w:eastAsia="Calibri" w:hAnsi="Calibri" w:cs="Times New Roman"/>
      <w:i/>
    </w:rPr>
  </w:style>
  <w:style w:type="paragraph" w:styleId="afffffff4">
    <w:name w:val="Intense Quote"/>
    <w:basedOn w:val="a3"/>
    <w:next w:val="a3"/>
    <w:link w:val="afffffff5"/>
    <w:uiPriority w:val="30"/>
    <w:qFormat/>
    <w:rsid w:val="00A60995"/>
    <w:pPr>
      <w:pBdr>
        <w:top w:val="single" w:sz="4" w:space="5" w:color="FFFFFF"/>
        <w:left w:val="single" w:sz="4" w:space="10" w:color="FFFFFF"/>
        <w:bottom w:val="single" w:sz="4" w:space="5" w:color="FFFFFF"/>
        <w:right w:val="single" w:sz="4" w:space="10" w:color="FFFFFF"/>
      </w:pBdr>
      <w:shd w:val="clear" w:color="auto" w:fill="F2F2F2"/>
      <w:spacing w:line="276" w:lineRule="auto"/>
      <w:ind w:left="720" w:right="720" w:firstLine="0"/>
      <w:jc w:val="left"/>
    </w:pPr>
    <w:rPr>
      <w:rFonts w:ascii="Calibri" w:eastAsia="Calibri" w:hAnsi="Calibri" w:cs="Times New Roman"/>
      <w:i/>
      <w:sz w:val="22"/>
    </w:rPr>
  </w:style>
  <w:style w:type="character" w:customStyle="1" w:styleId="afffffff5">
    <w:name w:val="Выделенная цитата Знак"/>
    <w:basedOn w:val="a4"/>
    <w:link w:val="afffffff4"/>
    <w:uiPriority w:val="30"/>
    <w:rsid w:val="00A60995"/>
    <w:rPr>
      <w:rFonts w:ascii="Calibri" w:eastAsia="Calibri" w:hAnsi="Calibri" w:cs="Times New Roman"/>
      <w:i/>
      <w:shd w:val="clear" w:color="auto" w:fill="F2F2F2"/>
    </w:rPr>
  </w:style>
  <w:style w:type="character" w:customStyle="1" w:styleId="HeaderChar">
    <w:name w:val="Header Char"/>
    <w:basedOn w:val="a4"/>
    <w:uiPriority w:val="99"/>
    <w:rsid w:val="00A60995"/>
  </w:style>
  <w:style w:type="character" w:customStyle="1" w:styleId="FooterChar">
    <w:name w:val="Footer Char"/>
    <w:basedOn w:val="a4"/>
    <w:uiPriority w:val="99"/>
    <w:rsid w:val="00A60995"/>
  </w:style>
  <w:style w:type="character" w:customStyle="1" w:styleId="CaptionChar">
    <w:name w:val="Caption Char"/>
    <w:uiPriority w:val="99"/>
    <w:rsid w:val="00A60995"/>
  </w:style>
  <w:style w:type="table" w:customStyle="1" w:styleId="TableGridLight">
    <w:name w:val="Table Grid Light"/>
    <w:basedOn w:val="a5"/>
    <w:uiPriority w:val="59"/>
    <w:rsid w:val="00A60995"/>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7">
    <w:name w:val="Таблица простая 11"/>
    <w:basedOn w:val="a5"/>
    <w:uiPriority w:val="59"/>
    <w:rsid w:val="00A60995"/>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4">
    <w:name w:val="Таблица простая 21"/>
    <w:basedOn w:val="a5"/>
    <w:uiPriority w:val="59"/>
    <w:rsid w:val="00A60995"/>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1">
    <w:name w:val="Таблица простая 31"/>
    <w:basedOn w:val="a5"/>
    <w:uiPriority w:val="99"/>
    <w:rsid w:val="00A60995"/>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1">
    <w:name w:val="Таблица простая 41"/>
    <w:basedOn w:val="a5"/>
    <w:uiPriority w:val="99"/>
    <w:rsid w:val="00A60995"/>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2">
    <w:name w:val="Таблица простая 51"/>
    <w:basedOn w:val="a5"/>
    <w:uiPriority w:val="99"/>
    <w:rsid w:val="00A60995"/>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0">
    <w:name w:val="Таблица-сетка 1 светлая1"/>
    <w:basedOn w:val="a5"/>
    <w:uiPriority w:val="99"/>
    <w:rsid w:val="00A60995"/>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5"/>
    <w:uiPriority w:val="99"/>
    <w:rsid w:val="00A60995"/>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b/>
        <w:color w:val="404040"/>
      </w:rPr>
      <w:tblPr/>
      <w:tcPr>
        <w:tcBorders>
          <w:bottom w:val="single" w:sz="12" w:space="0" w:color="ED5A5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GridTable1Light-Accent2">
    <w:name w:val="Grid Table 1 Light - Accent 2"/>
    <w:basedOn w:val="a5"/>
    <w:uiPriority w:val="99"/>
    <w:rsid w:val="00A60995"/>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b/>
        <w:color w:val="404040"/>
      </w:rPr>
      <w:tblPr/>
      <w:tcPr>
        <w:tcBorders>
          <w:bottom w:val="single" w:sz="12" w:space="0" w:color="F4A272"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GridTable1Light-Accent3">
    <w:name w:val="Grid Table 1 Light - Accent 3"/>
    <w:basedOn w:val="a5"/>
    <w:uiPriority w:val="99"/>
    <w:rsid w:val="00A60995"/>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b/>
        <w:color w:val="404040"/>
      </w:rPr>
      <w:tblPr/>
      <w:tcPr>
        <w:tcBorders>
          <w:bottom w:val="single" w:sz="12" w:space="0" w:color="F0D481"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GridTable1Light-Accent4">
    <w:name w:val="Grid Table 1 Light - Accent 4"/>
    <w:basedOn w:val="a5"/>
    <w:uiPriority w:val="99"/>
    <w:rsid w:val="00A60995"/>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b/>
        <w:color w:val="404040"/>
      </w:rPr>
      <w:tblPr/>
      <w:tcPr>
        <w:tcBorders>
          <w:bottom w:val="single" w:sz="12" w:space="0" w:color="A7CEBD"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GridTable1Light-Accent5">
    <w:name w:val="Grid Table 1 Light - Accent 5"/>
    <w:basedOn w:val="a5"/>
    <w:uiPriority w:val="99"/>
    <w:rsid w:val="00A60995"/>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b/>
        <w:color w:val="404040"/>
      </w:rPr>
      <w:tblPr/>
      <w:tcPr>
        <w:tcBorders>
          <w:bottom w:val="single" w:sz="12" w:space="0" w:color="98B8C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GridTable1Light-Accent6">
    <w:name w:val="Grid Table 1 Light - Accent 6"/>
    <w:basedOn w:val="a5"/>
    <w:uiPriority w:val="99"/>
    <w:rsid w:val="00A60995"/>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b/>
        <w:color w:val="404040"/>
      </w:rPr>
      <w:tblPr/>
      <w:tcPr>
        <w:tcBorders>
          <w:bottom w:val="single" w:sz="12" w:space="0" w:color="C6A0C4"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213">
    <w:name w:val="Таблица-сетка 21"/>
    <w:basedOn w:val="a5"/>
    <w:uiPriority w:val="99"/>
    <w:rsid w:val="00A60995"/>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5"/>
    <w:uiPriority w:val="99"/>
    <w:rsid w:val="00A60995"/>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single" w:sz="12" w:space="0" w:color="C71715" w:themeColor="accent1" w:themeTint="EA"/>
          <w:right w:val="none" w:sz="4" w:space="0" w:color="000000"/>
        </w:tcBorders>
        <w:shd w:val="clear" w:color="FFFFFF" w:fill="auto"/>
      </w:tcPr>
    </w:tblStylePr>
    <w:tblStylePr w:type="lastRow">
      <w:rPr>
        <w:b/>
        <w:color w:val="404040"/>
      </w:rPr>
      <w:tblPr/>
      <w:tcPr>
        <w:tcBorders>
          <w:top w:val="single" w:sz="4" w:space="0" w:color="C71715"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2-Accent2">
    <w:name w:val="Grid Table 2 - Accent 2"/>
    <w:basedOn w:val="a5"/>
    <w:uiPriority w:val="99"/>
    <w:rsid w:val="00A60995"/>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single" w:sz="12" w:space="0" w:color="F4A170" w:themeColor="accent2" w:themeTint="97"/>
          <w:right w:val="none" w:sz="4" w:space="0" w:color="000000"/>
        </w:tcBorders>
        <w:shd w:val="clear" w:color="FFFFFF" w:fill="auto"/>
      </w:tcPr>
    </w:tblStylePr>
    <w:tblStylePr w:type="lastRow">
      <w:rPr>
        <w:b/>
        <w:color w:val="404040"/>
      </w:rPr>
      <w:tblPr/>
      <w:tcPr>
        <w:tcBorders>
          <w:top w:val="single" w:sz="4" w:space="0" w:color="F4A170"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2-Accent3">
    <w:name w:val="Grid Table 2 - Accent 3"/>
    <w:basedOn w:val="a5"/>
    <w:uiPriority w:val="99"/>
    <w:rsid w:val="00A60995"/>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single" w:sz="12" w:space="0" w:color="E6B629" w:themeColor="accent3" w:themeTint="FE"/>
          <w:right w:val="none" w:sz="4" w:space="0" w:color="000000"/>
        </w:tcBorders>
        <w:shd w:val="clear" w:color="FFFFFF" w:fill="auto"/>
      </w:tcPr>
    </w:tblStylePr>
    <w:tblStylePr w:type="lastRow">
      <w:rPr>
        <w:b/>
        <w:color w:val="404040"/>
      </w:rPr>
      <w:tblPr/>
      <w:tcPr>
        <w:tcBorders>
          <w:top w:val="single" w:sz="4" w:space="0" w:color="E6B62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2-Accent4">
    <w:name w:val="Grid Table 2 - Accent 4"/>
    <w:basedOn w:val="a5"/>
    <w:uiPriority w:val="99"/>
    <w:rsid w:val="00A60995"/>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single" w:sz="12" w:space="0" w:color="A4CCBB" w:themeColor="accent4" w:themeTint="9A"/>
          <w:right w:val="none" w:sz="4" w:space="0" w:color="000000"/>
        </w:tcBorders>
        <w:shd w:val="clear" w:color="FFFFFF" w:fill="auto"/>
      </w:tcPr>
    </w:tblStylePr>
    <w:tblStylePr w:type="lastRow">
      <w:rPr>
        <w:b/>
        <w:color w:val="404040"/>
      </w:rPr>
      <w:tblPr/>
      <w:tcPr>
        <w:tcBorders>
          <w:top w:val="single" w:sz="4" w:space="0" w:color="A4CCBB"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2-Accent5">
    <w:name w:val="Grid Table 2 - Accent 5"/>
    <w:basedOn w:val="a5"/>
    <w:uiPriority w:val="99"/>
    <w:rsid w:val="00A60995"/>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single" w:sz="12" w:space="0" w:color="54849A" w:themeColor="accent5"/>
          <w:right w:val="none" w:sz="4" w:space="0" w:color="000000"/>
        </w:tcBorders>
        <w:shd w:val="clear" w:color="FFFFFF" w:fill="auto"/>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2-Accent6">
    <w:name w:val="Grid Table 2 - Accent 6"/>
    <w:basedOn w:val="a5"/>
    <w:uiPriority w:val="99"/>
    <w:rsid w:val="00A60995"/>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single" w:sz="12" w:space="0" w:color="9E5E9B" w:themeColor="accent6"/>
          <w:right w:val="none" w:sz="4" w:space="0" w:color="000000"/>
        </w:tcBorders>
        <w:shd w:val="clear" w:color="FFFFFF" w:fill="auto"/>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31">
    <w:name w:val="Таблица-сетка 31"/>
    <w:basedOn w:val="a5"/>
    <w:uiPriority w:val="99"/>
    <w:rsid w:val="00A60995"/>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5"/>
    <w:uiPriority w:val="99"/>
    <w:rsid w:val="00A60995"/>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3-Accent2">
    <w:name w:val="Grid Table 3 - Accent 2"/>
    <w:basedOn w:val="a5"/>
    <w:uiPriority w:val="99"/>
    <w:rsid w:val="00A60995"/>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3-Accent3">
    <w:name w:val="Grid Table 3 - Accent 3"/>
    <w:basedOn w:val="a5"/>
    <w:uiPriority w:val="99"/>
    <w:rsid w:val="00A60995"/>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3-Accent4">
    <w:name w:val="Grid Table 3 - Accent 4"/>
    <w:basedOn w:val="a5"/>
    <w:uiPriority w:val="99"/>
    <w:rsid w:val="00A60995"/>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3-Accent5">
    <w:name w:val="Grid Table 3 - Accent 5"/>
    <w:basedOn w:val="a5"/>
    <w:uiPriority w:val="99"/>
    <w:rsid w:val="00A60995"/>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3-Accent6">
    <w:name w:val="Grid Table 3 - Accent 6"/>
    <w:basedOn w:val="a5"/>
    <w:uiPriority w:val="99"/>
    <w:rsid w:val="00A60995"/>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410">
    <w:name w:val="Таблица-сетка 41"/>
    <w:basedOn w:val="a5"/>
    <w:uiPriority w:val="59"/>
    <w:rsid w:val="00A60995"/>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5"/>
    <w:uiPriority w:val="59"/>
    <w:rsid w:val="00A60995"/>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insideV w:val="single" w:sz="4" w:space="0" w:color="ED605E" w:themeColor="accent1" w:themeTint="90"/>
      </w:tblBorders>
    </w:tblPr>
    <w:tblStylePr w:type="firstRow">
      <w:rPr>
        <w:rFonts w:ascii="Arial" w:hAnsi="Arial"/>
        <w:b/>
        <w:color w:val="FFFFFF"/>
        <w:sz w:val="22"/>
      </w:rPr>
      <w:tblPr/>
      <w:tcPr>
        <w:tcBorders>
          <w:top w:val="single" w:sz="4" w:space="0" w:color="C71715" w:themeColor="accent1" w:themeTint="EA"/>
          <w:left w:val="single" w:sz="4" w:space="0" w:color="C71715" w:themeColor="accent1" w:themeTint="EA"/>
          <w:bottom w:val="single" w:sz="4" w:space="0" w:color="C71715" w:themeColor="accent1" w:themeTint="EA"/>
          <w:right w:val="single" w:sz="4" w:space="0" w:color="C71715" w:themeColor="accent1" w:themeTint="EA"/>
        </w:tcBorders>
        <w:shd w:val="clear" w:color="C71715" w:themeColor="accent1" w:themeTint="EA" w:fill="C71715" w:themeFill="accent1" w:themeFillTint="EA"/>
      </w:tcPr>
    </w:tblStylePr>
    <w:tblStylePr w:type="lastRow">
      <w:rPr>
        <w:b/>
        <w:color w:val="404040"/>
      </w:rPr>
      <w:tblPr/>
      <w:tcPr>
        <w:tcBorders>
          <w:top w:val="single" w:sz="4" w:space="0" w:color="C71715"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C7C7" w:themeColor="accent1" w:themeTint="32" w:fill="F9C7C7" w:themeFill="accent1" w:themeFillTint="32"/>
      </w:tcPr>
    </w:tblStylePr>
    <w:tblStylePr w:type="band1Horz">
      <w:rPr>
        <w:rFonts w:ascii="Arial" w:hAnsi="Arial"/>
        <w:color w:val="404040"/>
        <w:sz w:val="22"/>
      </w:rPr>
      <w:tblPr/>
      <w:tcPr>
        <w:shd w:val="clear" w:color="F9C7C7" w:themeColor="accent1" w:themeTint="32" w:fill="F9C7C7" w:themeFill="accent1" w:themeFillTint="32"/>
      </w:tcPr>
    </w:tblStylePr>
  </w:style>
  <w:style w:type="table" w:customStyle="1" w:styleId="GridTable4-Accent2">
    <w:name w:val="Grid Table 4 - Accent 2"/>
    <w:basedOn w:val="a5"/>
    <w:uiPriority w:val="59"/>
    <w:rsid w:val="00A60995"/>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insideV w:val="single" w:sz="4" w:space="0" w:color="F4A677" w:themeColor="accent2" w:themeTint="90"/>
      </w:tblBorders>
    </w:tblPr>
    <w:tblStylePr w:type="firstRow">
      <w:rPr>
        <w:rFonts w:ascii="Arial" w:hAnsi="Arial"/>
        <w:b/>
        <w:color w:val="FFFFFF"/>
        <w:sz w:val="22"/>
      </w:rPr>
      <w:tblPr/>
      <w:tcPr>
        <w:tc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cBorders>
        <w:shd w:val="clear" w:color="F4A170" w:themeColor="accent2" w:themeTint="97" w:fill="F4A170" w:themeFill="accent2" w:themeFillTint="97"/>
      </w:tcPr>
    </w:tblStylePr>
    <w:tblStylePr w:type="lastRow">
      <w:rPr>
        <w:b/>
        <w:color w:val="404040"/>
      </w:rPr>
      <w:tblPr/>
      <w:tcPr>
        <w:tcBorders>
          <w:top w:val="single" w:sz="4" w:space="0" w:color="F4A170"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4-Accent3">
    <w:name w:val="Grid Table 4 - Accent 3"/>
    <w:basedOn w:val="a5"/>
    <w:uiPriority w:val="59"/>
    <w:rsid w:val="00A60995"/>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insideV w:val="single" w:sz="4" w:space="0" w:color="F1D686" w:themeColor="accent3" w:themeTint="90"/>
      </w:tblBorders>
    </w:tblPr>
    <w:tblStylePr w:type="firstRow">
      <w:rPr>
        <w:rFonts w:ascii="Arial" w:hAnsi="Arial"/>
        <w:b/>
        <w:color w:val="FFFFFF"/>
        <w:sz w:val="22"/>
      </w:rPr>
      <w:tblPr/>
      <w:tcPr>
        <w:tc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tcBorders>
        <w:shd w:val="clear" w:color="E6B629" w:themeColor="accent3" w:themeTint="FE" w:fill="E6B629" w:themeFill="accent3" w:themeFillTint="FE"/>
      </w:tcPr>
    </w:tblStylePr>
    <w:tblStylePr w:type="lastRow">
      <w:rPr>
        <w:b/>
        <w:color w:val="404040"/>
      </w:rPr>
      <w:tblPr/>
      <w:tcPr>
        <w:tcBorders>
          <w:top w:val="single" w:sz="4" w:space="0" w:color="E6B62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4-Accent4">
    <w:name w:val="Grid Table 4 - Accent 4"/>
    <w:basedOn w:val="a5"/>
    <w:uiPriority w:val="59"/>
    <w:rsid w:val="00A60995"/>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insideV w:val="single" w:sz="4" w:space="0" w:color="AAD0C0" w:themeColor="accent4" w:themeTint="90"/>
      </w:tblBorders>
    </w:tblPr>
    <w:tblStylePr w:type="firstRow">
      <w:rPr>
        <w:rFonts w:ascii="Arial" w:hAnsi="Arial"/>
        <w:b/>
        <w:color w:val="FFFFFF"/>
        <w:sz w:val="22"/>
      </w:rPr>
      <w:tblPr/>
      <w:tcPr>
        <w:tc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cBorders>
        <w:shd w:val="clear" w:color="A4CCBB" w:themeColor="accent4" w:themeTint="9A" w:fill="A4CCBB" w:themeFill="accent4" w:themeFillTint="9A"/>
      </w:tcPr>
    </w:tblStylePr>
    <w:tblStylePr w:type="lastRow">
      <w:rPr>
        <w:b/>
        <w:color w:val="404040"/>
      </w:rPr>
      <w:tblPr/>
      <w:tcPr>
        <w:tcBorders>
          <w:top w:val="single" w:sz="4" w:space="0" w:color="A4CCBB"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4-Accent5">
    <w:name w:val="Grid Table 4 - Accent 5"/>
    <w:basedOn w:val="a5"/>
    <w:uiPriority w:val="59"/>
    <w:rsid w:val="00A60995"/>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FFFFFF"/>
        <w:sz w:val="22"/>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tcBorders>
        <w:shd w:val="clear" w:color="54849A" w:themeColor="accent5" w:fill="54849A" w:themeFill="accent5"/>
      </w:tcPr>
    </w:tblStylePr>
    <w:tblStylePr w:type="lastRow">
      <w:rPr>
        <w:b/>
        <w:color w:val="404040"/>
      </w:rPr>
      <w:tblPr/>
      <w:tcPr>
        <w:tcBorders>
          <w:top w:val="single" w:sz="4" w:space="0" w:color="54849A"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4-Accent6">
    <w:name w:val="Grid Table 4 - Accent 6"/>
    <w:basedOn w:val="a5"/>
    <w:uiPriority w:val="59"/>
    <w:rsid w:val="00A60995"/>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FFFFFF"/>
        <w:sz w:val="22"/>
      </w:rPr>
      <w:tblPr/>
      <w:tcPr>
        <w:tcBorders>
          <w:top w:val="single" w:sz="4" w:space="0" w:color="9E5E9B" w:themeColor="accent6"/>
          <w:left w:val="single" w:sz="4" w:space="0" w:color="9E5E9B" w:themeColor="accent6"/>
          <w:bottom w:val="single" w:sz="4" w:space="0" w:color="9E5E9B" w:themeColor="accent6"/>
          <w:right w:val="single" w:sz="4" w:space="0" w:color="9E5E9B" w:themeColor="accent6"/>
        </w:tcBorders>
        <w:shd w:val="clear" w:color="9E5E9B" w:themeColor="accent6" w:fill="9E5E9B" w:themeFill="accent6"/>
      </w:tcPr>
    </w:tblStylePr>
    <w:tblStylePr w:type="lastRow">
      <w:rPr>
        <w:b/>
        <w:color w:val="404040"/>
      </w:rPr>
      <w:tblPr/>
      <w:tcPr>
        <w:tcBorders>
          <w:top w:val="single" w:sz="4" w:space="0" w:color="9E5E9B"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510">
    <w:name w:val="Таблица-сетка 5 темная1"/>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8C5C4" w:themeColor="accent1" w:themeTint="34" w:fill="F8C5C4" w:themeFill="accent1" w:themeFillTint="34"/>
    </w:tblPr>
    <w:tblStylePr w:type="firstRow">
      <w:rPr>
        <w:rFonts w:ascii="Arial" w:hAnsi="Arial"/>
        <w:b/>
        <w:color w:val="FFFFFF"/>
        <w:sz w:val="22"/>
      </w:rPr>
      <w:tblPr/>
      <w:tcPr>
        <w:shd w:val="clear" w:color="B01513" w:themeColor="accent1" w:fill="B01513" w:themeFill="accent1"/>
      </w:tcPr>
    </w:tblStylePr>
    <w:tblStylePr w:type="lastRow">
      <w:rPr>
        <w:rFonts w:ascii="Arial" w:hAnsi="Arial"/>
        <w:b/>
        <w:color w:val="FFFFFF"/>
        <w:sz w:val="22"/>
      </w:rPr>
      <w:tblPr/>
      <w:tcPr>
        <w:tcBorders>
          <w:top w:val="single" w:sz="4" w:space="0" w:color="FFFFFF" w:themeColor="light1"/>
        </w:tcBorders>
        <w:shd w:val="clear" w:color="B01513" w:themeColor="accent1" w:fill="B01513" w:themeFill="accent1"/>
      </w:tcPr>
    </w:tblStylePr>
    <w:tblStylePr w:type="firstCol">
      <w:rPr>
        <w:rFonts w:ascii="Arial" w:hAnsi="Arial"/>
        <w:b/>
        <w:color w:val="FFFFFF"/>
        <w:sz w:val="22"/>
      </w:rPr>
      <w:tblPr/>
      <w:tcPr>
        <w:shd w:val="clear" w:color="B01513" w:themeColor="accent1" w:fill="B01513" w:themeFill="accent1"/>
      </w:tcPr>
    </w:tblStylePr>
    <w:tblStylePr w:type="lastCol">
      <w:rPr>
        <w:rFonts w:ascii="Arial" w:hAnsi="Arial"/>
        <w:b/>
        <w:color w:val="FFFFFF"/>
        <w:sz w:val="22"/>
      </w:rPr>
      <w:tblPr/>
      <w:tcPr>
        <w:shd w:val="clear" w:color="B01513" w:themeColor="accent1" w:fill="B01513" w:themeFill="accent1"/>
      </w:tcPr>
    </w:tblStylePr>
    <w:tblStylePr w:type="band1Vert">
      <w:tblPr/>
      <w:tcPr>
        <w:shd w:val="clear" w:color="F17D7C" w:themeColor="accent1" w:themeTint="75" w:fill="F17D7C" w:themeFill="accent1" w:themeFillTint="75"/>
      </w:tcPr>
    </w:tblStylePr>
    <w:tblStylePr w:type="band1Horz">
      <w:tblPr/>
      <w:tcPr>
        <w:shd w:val="clear" w:color="F17D7C" w:themeColor="accent1" w:themeTint="75" w:fill="F17D7C" w:themeFill="accent1" w:themeFillTint="75"/>
      </w:tcPr>
    </w:tblStylePr>
  </w:style>
  <w:style w:type="table" w:customStyle="1" w:styleId="GridTable5Dark-Accent2">
    <w:name w:val="Grid Table 5 Dark - Accent 2"/>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0CF" w:themeColor="accent2" w:themeTint="32" w:fill="FBE0CF" w:themeFill="accent2" w:themeFillTint="32"/>
    </w:tblPr>
    <w:tblStylePr w:type="firstRow">
      <w:rPr>
        <w:rFonts w:ascii="Arial" w:hAnsi="Arial"/>
        <w:b/>
        <w:color w:val="FFFFFF"/>
        <w:sz w:val="22"/>
      </w:rPr>
      <w:tblPr/>
      <w:tcPr>
        <w:shd w:val="clear" w:color="EA6312" w:themeColor="accent2" w:fill="EA6312" w:themeFill="accent2"/>
      </w:tcPr>
    </w:tblStylePr>
    <w:tblStylePr w:type="lastRow">
      <w:rPr>
        <w:rFonts w:ascii="Arial" w:hAnsi="Arial"/>
        <w:b/>
        <w:color w:val="FFFFFF"/>
        <w:sz w:val="22"/>
      </w:rPr>
      <w:tblPr/>
      <w:tcPr>
        <w:tcBorders>
          <w:top w:val="single" w:sz="4" w:space="0" w:color="FFFFFF" w:themeColor="light1"/>
        </w:tcBorders>
        <w:shd w:val="clear" w:color="EA6312" w:themeColor="accent2" w:fill="EA6312" w:themeFill="accent2"/>
      </w:tcPr>
    </w:tblStylePr>
    <w:tblStylePr w:type="firstCol">
      <w:rPr>
        <w:rFonts w:ascii="Arial" w:hAnsi="Arial"/>
        <w:b/>
        <w:color w:val="FFFFFF"/>
        <w:sz w:val="22"/>
      </w:rPr>
      <w:tblPr/>
      <w:tcPr>
        <w:shd w:val="clear" w:color="EA6312" w:themeColor="accent2" w:fill="EA6312" w:themeFill="accent2"/>
      </w:tcPr>
    </w:tblStylePr>
    <w:tblStylePr w:type="lastCol">
      <w:rPr>
        <w:rFonts w:ascii="Arial" w:hAnsi="Arial"/>
        <w:b/>
        <w:color w:val="FFFFFF"/>
        <w:sz w:val="22"/>
      </w:rPr>
      <w:tblPr/>
      <w:tcPr>
        <w:shd w:val="clear" w:color="EA6312" w:themeColor="accent2" w:fill="EA6312" w:themeFill="accent2"/>
      </w:tcPr>
    </w:tblStylePr>
    <w:tblStylePr w:type="band1Vert">
      <w:tblPr/>
      <w:tcPr>
        <w:shd w:val="clear" w:color="F6B690" w:themeColor="accent2" w:themeTint="75" w:fill="F6B690" w:themeFill="accent2" w:themeFillTint="75"/>
      </w:tcPr>
    </w:tblStylePr>
    <w:tblStylePr w:type="band1Horz">
      <w:tblPr/>
      <w:tcPr>
        <w:shd w:val="clear" w:color="F6B690" w:themeColor="accent2" w:themeTint="75" w:fill="F6B690" w:themeFill="accent2" w:themeFillTint="75"/>
      </w:tcPr>
    </w:tblStylePr>
  </w:style>
  <w:style w:type="table" w:customStyle="1" w:styleId="GridTable5Dark-Accent3">
    <w:name w:val="Grid Table 5 Dark - Accent 3"/>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F0D3" w:themeColor="accent3" w:themeTint="34" w:fill="FAF0D3" w:themeFill="accent3" w:themeFillTint="34"/>
    </w:tblPr>
    <w:tblStylePr w:type="firstRow">
      <w:rPr>
        <w:rFonts w:ascii="Arial" w:hAnsi="Arial"/>
        <w:b/>
        <w:color w:val="FFFFFF"/>
        <w:sz w:val="22"/>
      </w:rPr>
      <w:tblPr/>
      <w:tcPr>
        <w:shd w:val="clear" w:color="E6B729" w:themeColor="accent3" w:fill="E6B729" w:themeFill="accent3"/>
      </w:tcPr>
    </w:tblStylePr>
    <w:tblStylePr w:type="lastRow">
      <w:rPr>
        <w:rFonts w:ascii="Arial" w:hAnsi="Arial"/>
        <w:b/>
        <w:color w:val="FFFFFF"/>
        <w:sz w:val="22"/>
      </w:rPr>
      <w:tblPr/>
      <w:tcPr>
        <w:tcBorders>
          <w:top w:val="single" w:sz="4" w:space="0" w:color="FFFFFF" w:themeColor="light1"/>
        </w:tcBorders>
        <w:shd w:val="clear" w:color="E6B729" w:themeColor="accent3" w:fill="E6B729" w:themeFill="accent3"/>
      </w:tcPr>
    </w:tblStylePr>
    <w:tblStylePr w:type="firstCol">
      <w:rPr>
        <w:rFonts w:ascii="Arial" w:hAnsi="Arial"/>
        <w:b/>
        <w:color w:val="FFFFFF"/>
        <w:sz w:val="22"/>
      </w:rPr>
      <w:tblPr/>
      <w:tcPr>
        <w:shd w:val="clear" w:color="E6B729" w:themeColor="accent3" w:fill="E6B729" w:themeFill="accent3"/>
      </w:tcPr>
    </w:tblStylePr>
    <w:tblStylePr w:type="lastCol">
      <w:rPr>
        <w:rFonts w:ascii="Arial" w:hAnsi="Arial"/>
        <w:b/>
        <w:color w:val="FFFFFF"/>
        <w:sz w:val="22"/>
      </w:rPr>
      <w:tblPr/>
      <w:tcPr>
        <w:shd w:val="clear" w:color="E6B729" w:themeColor="accent3" w:fill="E6B729" w:themeFill="accent3"/>
      </w:tcPr>
    </w:tblStylePr>
    <w:tblStylePr w:type="band1Vert">
      <w:tblPr/>
      <w:tcPr>
        <w:shd w:val="clear" w:color="F3DD9C" w:themeColor="accent3" w:themeTint="75" w:fill="F3DD9C" w:themeFill="accent3" w:themeFillTint="75"/>
      </w:tcPr>
    </w:tblStylePr>
    <w:tblStylePr w:type="band1Horz">
      <w:tblPr/>
      <w:tcPr>
        <w:shd w:val="clear" w:color="F3DD9C" w:themeColor="accent3" w:themeTint="75" w:fill="F3DD9C" w:themeFill="accent3" w:themeFillTint="75"/>
      </w:tcPr>
    </w:tblStylePr>
  </w:style>
  <w:style w:type="table" w:customStyle="1" w:styleId="GridTable5Dark-Accent4">
    <w:name w:val="Grid Table 5 Dark- Accent 4"/>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0EEE8" w:themeColor="accent4" w:themeTint="34" w:fill="E0EEE8" w:themeFill="accent4" w:themeFillTint="34"/>
    </w:tblPr>
    <w:tblStylePr w:type="firstRow">
      <w:rPr>
        <w:rFonts w:ascii="Arial" w:hAnsi="Arial"/>
        <w:b/>
        <w:color w:val="FFFFFF"/>
        <w:sz w:val="22"/>
      </w:rPr>
      <w:tblPr/>
      <w:tcPr>
        <w:shd w:val="clear" w:color="6AAC90" w:themeColor="accent4" w:fill="6AAC90" w:themeFill="accent4"/>
      </w:tcPr>
    </w:tblStylePr>
    <w:tblStylePr w:type="lastRow">
      <w:rPr>
        <w:rFonts w:ascii="Arial" w:hAnsi="Arial"/>
        <w:b/>
        <w:color w:val="FFFFFF"/>
        <w:sz w:val="22"/>
      </w:rPr>
      <w:tblPr/>
      <w:tcPr>
        <w:tcBorders>
          <w:top w:val="single" w:sz="4" w:space="0" w:color="FFFFFF" w:themeColor="light1"/>
        </w:tcBorders>
        <w:shd w:val="clear" w:color="6AAC90" w:themeColor="accent4" w:fill="6AAC90" w:themeFill="accent4"/>
      </w:tcPr>
    </w:tblStylePr>
    <w:tblStylePr w:type="firstCol">
      <w:rPr>
        <w:rFonts w:ascii="Arial" w:hAnsi="Arial"/>
        <w:b/>
        <w:color w:val="FFFFFF"/>
        <w:sz w:val="22"/>
      </w:rPr>
      <w:tblPr/>
      <w:tcPr>
        <w:shd w:val="clear" w:color="6AAC90" w:themeColor="accent4" w:fill="6AAC90" w:themeFill="accent4"/>
      </w:tcPr>
    </w:tblStylePr>
    <w:tblStylePr w:type="lastCol">
      <w:rPr>
        <w:rFonts w:ascii="Arial" w:hAnsi="Arial"/>
        <w:b/>
        <w:color w:val="FFFFFF"/>
        <w:sz w:val="22"/>
      </w:rPr>
      <w:tblPr/>
      <w:tcPr>
        <w:shd w:val="clear" w:color="6AAC90" w:themeColor="accent4" w:fill="6AAC90" w:themeFill="accent4"/>
      </w:tcPr>
    </w:tblStylePr>
    <w:tblStylePr w:type="band1Vert">
      <w:tblPr/>
      <w:tcPr>
        <w:shd w:val="clear" w:color="BAD8CB" w:themeColor="accent4" w:themeTint="75" w:fill="BAD8CB" w:themeFill="accent4" w:themeFillTint="75"/>
      </w:tcPr>
    </w:tblStylePr>
    <w:tblStylePr w:type="band1Horz">
      <w:tblPr/>
      <w:tcPr>
        <w:shd w:val="clear" w:color="BAD8CB" w:themeColor="accent4" w:themeTint="75" w:fill="BAD8CB" w:themeFill="accent4" w:themeFillTint="75"/>
      </w:tcPr>
    </w:tblStylePr>
  </w:style>
  <w:style w:type="table" w:customStyle="1" w:styleId="GridTable5Dark-Accent5">
    <w:name w:val="Grid Table 5 Dark - Accent 5"/>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6EB" w:themeColor="accent5" w:themeTint="34" w:fill="DAE6EB" w:themeFill="accent5" w:themeFillTint="34"/>
    </w:tblPr>
    <w:tblStylePr w:type="firstRow">
      <w:rPr>
        <w:rFonts w:ascii="Arial" w:hAnsi="Arial"/>
        <w:b/>
        <w:color w:val="FFFFFF"/>
        <w:sz w:val="22"/>
      </w:rPr>
      <w:tblPr/>
      <w:tcPr>
        <w:shd w:val="clear" w:color="54849A" w:themeColor="accent5" w:fill="54849A" w:themeFill="accent5"/>
      </w:tcPr>
    </w:tblStylePr>
    <w:tblStylePr w:type="lastRow">
      <w:rPr>
        <w:rFonts w:ascii="Arial" w:hAnsi="Arial"/>
        <w:b/>
        <w:color w:val="FFFFFF"/>
        <w:sz w:val="22"/>
      </w:rPr>
      <w:tblPr/>
      <w:tcPr>
        <w:tcBorders>
          <w:top w:val="single" w:sz="4" w:space="0" w:color="FFFFFF" w:themeColor="light1"/>
        </w:tcBorders>
        <w:shd w:val="clear" w:color="54849A" w:themeColor="accent5" w:fill="54849A" w:themeFill="accent5"/>
      </w:tcPr>
    </w:tblStylePr>
    <w:tblStylePr w:type="firstCol">
      <w:rPr>
        <w:rFonts w:ascii="Arial" w:hAnsi="Arial"/>
        <w:b/>
        <w:color w:val="FFFFFF"/>
        <w:sz w:val="22"/>
      </w:rPr>
      <w:tblPr/>
      <w:tcPr>
        <w:shd w:val="clear" w:color="54849A" w:themeColor="accent5" w:fill="54849A" w:themeFill="accent5"/>
      </w:tcPr>
    </w:tblStylePr>
    <w:tblStylePr w:type="lastCol">
      <w:rPr>
        <w:rFonts w:ascii="Arial" w:hAnsi="Arial"/>
        <w:b/>
        <w:color w:val="FFFFFF"/>
        <w:sz w:val="22"/>
      </w:rPr>
      <w:tblPr/>
      <w:tcPr>
        <w:shd w:val="clear" w:color="54849A" w:themeColor="accent5" w:fill="54849A" w:themeFill="accent5"/>
      </w:tcPr>
    </w:tblStylePr>
    <w:tblStylePr w:type="band1Vert">
      <w:tblPr/>
      <w:tcPr>
        <w:shd w:val="clear" w:color="AEC7D3" w:themeColor="accent5" w:themeTint="75" w:fill="AEC7D3" w:themeFill="accent5" w:themeFillTint="75"/>
      </w:tcPr>
    </w:tblStylePr>
    <w:tblStylePr w:type="band1Horz">
      <w:tblPr/>
      <w:tcPr>
        <w:shd w:val="clear" w:color="AEC7D3" w:themeColor="accent5" w:themeTint="75" w:fill="AEC7D3" w:themeFill="accent5" w:themeFillTint="75"/>
      </w:tcPr>
    </w:tblStylePr>
  </w:style>
  <w:style w:type="table" w:customStyle="1" w:styleId="GridTable5Dark-Accent6">
    <w:name w:val="Grid Table 5 Dark - Accent 6"/>
    <w:basedOn w:val="a5"/>
    <w:uiPriority w:val="99"/>
    <w:rsid w:val="00A60995"/>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BDDEA" w:themeColor="accent6" w:themeTint="34" w:fill="EBDDEA" w:themeFill="accent6" w:themeFillTint="34"/>
    </w:tblPr>
    <w:tblStylePr w:type="firstRow">
      <w:rPr>
        <w:rFonts w:ascii="Arial" w:hAnsi="Arial"/>
        <w:b/>
        <w:color w:val="FFFFFF"/>
        <w:sz w:val="22"/>
      </w:rPr>
      <w:tblPr/>
      <w:tcPr>
        <w:shd w:val="clear" w:color="9E5E9B" w:themeColor="accent6" w:fill="9E5E9B" w:themeFill="accent6"/>
      </w:tcPr>
    </w:tblStylePr>
    <w:tblStylePr w:type="lastRow">
      <w:rPr>
        <w:rFonts w:ascii="Arial" w:hAnsi="Arial"/>
        <w:b/>
        <w:color w:val="FFFFFF"/>
        <w:sz w:val="22"/>
      </w:rPr>
      <w:tblPr/>
      <w:tcPr>
        <w:tcBorders>
          <w:top w:val="single" w:sz="4" w:space="0" w:color="FFFFFF" w:themeColor="light1"/>
        </w:tcBorders>
        <w:shd w:val="clear" w:color="9E5E9B" w:themeColor="accent6" w:fill="9E5E9B" w:themeFill="accent6"/>
      </w:tcPr>
    </w:tblStylePr>
    <w:tblStylePr w:type="firstCol">
      <w:rPr>
        <w:rFonts w:ascii="Arial" w:hAnsi="Arial"/>
        <w:b/>
        <w:color w:val="FFFFFF"/>
        <w:sz w:val="22"/>
      </w:rPr>
      <w:tblPr/>
      <w:tcPr>
        <w:shd w:val="clear" w:color="9E5E9B" w:themeColor="accent6" w:fill="9E5E9B" w:themeFill="accent6"/>
      </w:tcPr>
    </w:tblStylePr>
    <w:tblStylePr w:type="lastCol">
      <w:rPr>
        <w:rFonts w:ascii="Arial" w:hAnsi="Arial"/>
        <w:b/>
        <w:color w:val="FFFFFF"/>
        <w:sz w:val="22"/>
      </w:rPr>
      <w:tblPr/>
      <w:tcPr>
        <w:shd w:val="clear" w:color="9E5E9B" w:themeColor="accent6" w:fill="9E5E9B" w:themeFill="accent6"/>
      </w:tcPr>
    </w:tblStylePr>
    <w:tblStylePr w:type="band1Vert">
      <w:tblPr/>
      <w:tcPr>
        <w:shd w:val="clear" w:color="D2B4D1" w:themeColor="accent6" w:themeTint="75" w:fill="D2B4D1" w:themeFill="accent6" w:themeFillTint="75"/>
      </w:tcPr>
    </w:tblStylePr>
    <w:tblStylePr w:type="band1Horz">
      <w:tblPr/>
      <w:tcPr>
        <w:shd w:val="clear" w:color="D2B4D1" w:themeColor="accent6" w:themeTint="75" w:fill="D2B4D1" w:themeFill="accent6" w:themeFillTint="75"/>
      </w:tcPr>
    </w:tblStylePr>
  </w:style>
  <w:style w:type="table" w:customStyle="1" w:styleId="-610">
    <w:name w:val="Таблица-сетка 6 цветная1"/>
    <w:basedOn w:val="a5"/>
    <w:uiPriority w:val="99"/>
    <w:rsid w:val="00A60995"/>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5"/>
    <w:uiPriority w:val="99"/>
    <w:rsid w:val="00A60995"/>
    <w:pPr>
      <w:spacing w:after="0" w:line="240" w:lineRule="auto"/>
    </w:pPr>
    <w:tblPr>
      <w:tblStyleRowBandSize w:val="1"/>
      <w:tblStyleColBandSize w:val="1"/>
      <w:tblBorders>
        <w:top w:val="single" w:sz="4" w:space="0" w:color="EF7170" w:themeColor="accent1" w:themeTint="80"/>
        <w:left w:val="single" w:sz="4" w:space="0" w:color="EF7170" w:themeColor="accent1" w:themeTint="80"/>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b/>
        <w:color w:val="EF7170" w:themeColor="accent1" w:themeTint="80" w:themeShade="95"/>
      </w:rPr>
      <w:tblPr/>
      <w:tcPr>
        <w:tcBorders>
          <w:bottom w:val="single" w:sz="12" w:space="0" w:color="EF7170" w:themeColor="accent1" w:themeTint="80"/>
        </w:tcBorders>
      </w:tcPr>
    </w:tblStylePr>
    <w:tblStylePr w:type="lastRow">
      <w:rPr>
        <w:b/>
        <w:color w:val="EF7170" w:themeColor="accent1" w:themeTint="80" w:themeShade="95"/>
      </w:rPr>
    </w:tblStylePr>
    <w:tblStylePr w:type="firstCol">
      <w:rPr>
        <w:b/>
        <w:color w:val="EF7170" w:themeColor="accent1" w:themeTint="80" w:themeShade="95"/>
      </w:rPr>
    </w:tblStylePr>
    <w:tblStylePr w:type="lastCol">
      <w:rPr>
        <w:b/>
        <w:color w:val="EF7170" w:themeColor="accent1" w:themeTint="80" w:themeShade="95"/>
      </w:r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6Colorful-Accent2">
    <w:name w:val="Grid Table 6 Colorful - Accent 2"/>
    <w:basedOn w:val="a5"/>
    <w:uiPriority w:val="99"/>
    <w:rsid w:val="00A60995"/>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F4A170" w:themeColor="accent2" w:themeTint="97" w:themeShade="95"/>
      </w:rPr>
      <w:tblPr/>
      <w:tcPr>
        <w:tcBorders>
          <w:bottom w:val="single" w:sz="12" w:space="0" w:color="F4A170" w:themeColor="accent2" w:themeTint="97"/>
        </w:tcBorders>
      </w:tcPr>
    </w:tblStylePr>
    <w:tblStylePr w:type="lastRow">
      <w:rPr>
        <w:b/>
        <w:color w:val="F4A170" w:themeColor="accent2" w:themeTint="97" w:themeShade="95"/>
      </w:r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6Colorful-Accent3">
    <w:name w:val="Grid Table 6 Colorful - Accent 3"/>
    <w:basedOn w:val="a5"/>
    <w:uiPriority w:val="99"/>
    <w:rsid w:val="00A60995"/>
    <w:pPr>
      <w:spacing w:after="0" w:line="240" w:lineRule="auto"/>
    </w:pPr>
    <w:tblPr>
      <w:tblStyleRowBandSize w:val="1"/>
      <w:tblStyleColBandSize w:val="1"/>
      <w:tbl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E6B629" w:themeColor="accent3" w:themeTint="FE" w:themeShade="95"/>
      </w:rPr>
      <w:tblPr/>
      <w:tcPr>
        <w:tcBorders>
          <w:bottom w:val="single" w:sz="12" w:space="0" w:color="E6B629" w:themeColor="accent3" w:themeTint="FE"/>
        </w:tcBorders>
      </w:tcPr>
    </w:tblStylePr>
    <w:tblStylePr w:type="lastRow">
      <w:rPr>
        <w:b/>
        <w:color w:val="E6B629" w:themeColor="accent3" w:themeTint="FE" w:themeShade="95"/>
      </w:rPr>
    </w:tblStylePr>
    <w:tblStylePr w:type="firstCol">
      <w:rPr>
        <w:b/>
        <w:color w:val="E6B629" w:themeColor="accent3" w:themeTint="FE" w:themeShade="95"/>
      </w:rPr>
    </w:tblStylePr>
    <w:tblStylePr w:type="lastCol">
      <w:rPr>
        <w:b/>
        <w:color w:val="E6B629" w:themeColor="accent3" w:themeTint="FE" w:themeShade="95"/>
      </w:r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6Colorful-Accent4">
    <w:name w:val="Grid Table 6 Colorful - Accent 4"/>
    <w:basedOn w:val="a5"/>
    <w:uiPriority w:val="99"/>
    <w:rsid w:val="00A60995"/>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A4CCBB" w:themeColor="accent4" w:themeTint="9A" w:themeShade="95"/>
      </w:rPr>
      <w:tblPr/>
      <w:tcPr>
        <w:tcBorders>
          <w:bottom w:val="single" w:sz="12" w:space="0" w:color="A4CCBB" w:themeColor="accent4" w:themeTint="9A"/>
        </w:tcBorders>
      </w:tcPr>
    </w:tblStylePr>
    <w:tblStylePr w:type="lastRow">
      <w:rPr>
        <w:b/>
        <w:color w:val="A4CCBB" w:themeColor="accent4" w:themeTint="9A" w:themeShade="95"/>
      </w:r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6Colorful-Accent5">
    <w:name w:val="Grid Table 6 Colorful - Accent 5"/>
    <w:basedOn w:val="a5"/>
    <w:uiPriority w:val="99"/>
    <w:rsid w:val="00A60995"/>
    <w:pPr>
      <w:spacing w:after="0" w:line="240" w:lineRule="auto"/>
    </w:pPr>
    <w:tblPr>
      <w:tblStyleRowBandSize w:val="1"/>
      <w:tblStyleColBandSize w:val="1"/>
      <w:tblBorders>
        <w:top w:val="single" w:sz="4" w:space="0" w:color="54849A" w:themeColor="accent5"/>
        <w:left w:val="single" w:sz="4" w:space="0" w:color="54849A" w:themeColor="accent5"/>
        <w:bottom w:val="single" w:sz="4" w:space="0" w:color="54849A" w:themeColor="accent5"/>
        <w:right w:val="single" w:sz="4" w:space="0" w:color="54849A" w:themeColor="accent5"/>
        <w:insideH w:val="single" w:sz="4" w:space="0" w:color="54849A" w:themeColor="accent5"/>
        <w:insideV w:val="single" w:sz="4" w:space="0" w:color="54849A" w:themeColor="accent5"/>
      </w:tblBorders>
    </w:tblPr>
    <w:tblStylePr w:type="firstRow">
      <w:rPr>
        <w:b/>
        <w:color w:val="314C59" w:themeColor="accent5" w:themeShade="95"/>
      </w:rPr>
      <w:tblPr/>
      <w:tcPr>
        <w:tcBorders>
          <w:bottom w:val="single" w:sz="12" w:space="0" w:color="54849A" w:themeColor="accent5"/>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6Colorful-Accent6">
    <w:name w:val="Grid Table 6 Colorful - Accent 6"/>
    <w:basedOn w:val="a5"/>
    <w:uiPriority w:val="99"/>
    <w:rsid w:val="00A60995"/>
    <w:pPr>
      <w:spacing w:after="0" w:line="240" w:lineRule="auto"/>
    </w:pPr>
    <w:tblPr>
      <w:tblStyleRowBandSize w:val="1"/>
      <w:tblStyleColBandSize w:val="1"/>
      <w:tblBorders>
        <w:top w:val="single" w:sz="4" w:space="0" w:color="9E5E9B" w:themeColor="accent6"/>
        <w:left w:val="single" w:sz="4" w:space="0" w:color="9E5E9B" w:themeColor="accent6"/>
        <w:bottom w:val="single" w:sz="4" w:space="0" w:color="9E5E9B" w:themeColor="accent6"/>
        <w:right w:val="single" w:sz="4" w:space="0" w:color="9E5E9B" w:themeColor="accent6"/>
        <w:insideH w:val="single" w:sz="4" w:space="0" w:color="9E5E9B" w:themeColor="accent6"/>
        <w:insideV w:val="single" w:sz="4" w:space="0" w:color="9E5E9B" w:themeColor="accent6"/>
      </w:tblBorders>
    </w:tblPr>
    <w:tblStylePr w:type="firstRow">
      <w:rPr>
        <w:b/>
        <w:color w:val="314C59" w:themeColor="accent5" w:themeShade="95"/>
      </w:rPr>
      <w:tblPr/>
      <w:tcPr>
        <w:tcBorders>
          <w:bottom w:val="single" w:sz="12" w:space="0" w:color="9E5E9B" w:themeColor="accent6"/>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EBDDEA" w:themeColor="accent6" w:themeTint="34" w:fill="EBDDEA" w:themeFill="accent6" w:themeFillTint="34"/>
      </w:tcPr>
    </w:tblStylePr>
    <w:tblStylePr w:type="band1Horz">
      <w:rPr>
        <w:rFonts w:ascii="Arial" w:hAnsi="Arial"/>
        <w:color w:val="314C59" w:themeColor="accent5" w:themeShade="95"/>
        <w:sz w:val="22"/>
      </w:rPr>
      <w:tblPr/>
      <w:tcPr>
        <w:shd w:val="clear" w:color="EBDDEA" w:themeColor="accent6" w:themeTint="34" w:fill="EBDDEA" w:themeFill="accent6" w:themeFillTint="34"/>
      </w:tcPr>
    </w:tblStylePr>
    <w:tblStylePr w:type="band2Horz">
      <w:rPr>
        <w:rFonts w:ascii="Arial" w:hAnsi="Arial"/>
        <w:color w:val="314C59" w:themeColor="accent5" w:themeShade="95"/>
        <w:sz w:val="22"/>
      </w:rPr>
    </w:tblStylePr>
  </w:style>
  <w:style w:type="table" w:customStyle="1" w:styleId="-71">
    <w:name w:val="Таблица-сетка 7 цветная1"/>
    <w:basedOn w:val="a5"/>
    <w:uiPriority w:val="99"/>
    <w:rsid w:val="00A60995"/>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5"/>
    <w:uiPriority w:val="99"/>
    <w:rsid w:val="00A60995"/>
    <w:pPr>
      <w:spacing w:after="0" w:line="240" w:lineRule="auto"/>
    </w:pPr>
    <w:tblPr>
      <w:tblStyleRowBandSize w:val="1"/>
      <w:tblStyleColBandSize w:val="1"/>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b/>
        <w:color w:val="EF7170" w:themeColor="accent1" w:themeTint="80" w:themeShade="95"/>
        <w:sz w:val="22"/>
      </w:rPr>
      <w:tblPr/>
      <w:tcPr>
        <w:tcBorders>
          <w:top w:val="none" w:sz="4" w:space="0" w:color="000000"/>
          <w:left w:val="none" w:sz="4" w:space="0" w:color="000000"/>
          <w:bottom w:val="single" w:sz="4" w:space="0" w:color="EF7170" w:themeColor="accent1" w:themeTint="80"/>
          <w:right w:val="none" w:sz="4" w:space="0" w:color="000000"/>
        </w:tcBorders>
        <w:shd w:val="clear" w:color="FFFFFF" w:themeColor="light1" w:fill="FFFFFF" w:themeFill="light1"/>
      </w:tcPr>
    </w:tblStylePr>
    <w:tblStylePr w:type="lastRow">
      <w:rPr>
        <w:rFonts w:ascii="Arial" w:hAnsi="Arial"/>
        <w:b/>
        <w:color w:val="EF7170" w:themeColor="accent1" w:themeTint="80" w:themeShade="95"/>
        <w:sz w:val="22"/>
      </w:rPr>
      <w:tblPr/>
      <w:tcPr>
        <w:tcBorders>
          <w:top w:val="single" w:sz="4" w:space="0" w:color="EF7170"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7170" w:themeColor="accent1" w:themeTint="80" w:themeShade="95"/>
        <w:sz w:val="22"/>
      </w:rPr>
      <w:tblPr/>
      <w:tcPr>
        <w:tcBorders>
          <w:top w:val="none" w:sz="4" w:space="0" w:color="000000"/>
          <w:left w:val="none" w:sz="4" w:space="0" w:color="000000"/>
          <w:bottom w:val="none" w:sz="4" w:space="0" w:color="000000"/>
          <w:right w:val="single" w:sz="4" w:space="0" w:color="EF7170" w:themeColor="accent1" w:themeTint="80"/>
        </w:tcBorders>
        <w:shd w:val="clear" w:color="FFFFFF" w:fill="auto"/>
      </w:tcPr>
    </w:tblStylePr>
    <w:tblStylePr w:type="lastCol">
      <w:rPr>
        <w:rFonts w:ascii="Arial" w:hAnsi="Arial"/>
        <w:i/>
        <w:color w:val="EF7170" w:themeColor="accent1" w:themeTint="80" w:themeShade="95"/>
        <w:sz w:val="22"/>
      </w:rPr>
      <w:tblPr/>
      <w:tcPr>
        <w:tcBorders>
          <w:top w:val="none" w:sz="4" w:space="0" w:color="000000"/>
          <w:left w:val="single" w:sz="4" w:space="0" w:color="EF7170" w:themeColor="accent1" w:themeTint="80"/>
          <w:bottom w:val="none" w:sz="4" w:space="0" w:color="000000"/>
          <w:right w:val="none" w:sz="4" w:space="0" w:color="000000"/>
        </w:tcBorders>
        <w:shd w:val="clear" w:color="FFFFFF" w:fill="auto"/>
      </w:tc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7Colorful-Accent2">
    <w:name w:val="Grid Table 7 Colorful - Accent 2"/>
    <w:basedOn w:val="a5"/>
    <w:uiPriority w:val="99"/>
    <w:rsid w:val="00A60995"/>
    <w:pPr>
      <w:spacing w:after="0" w:line="240" w:lineRule="auto"/>
    </w:pPr>
    <w:tblPr>
      <w:tblStyleRowBandSize w:val="1"/>
      <w:tblStyleColBandSize w:val="1"/>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b/>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b/>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7Colorful-Accent3">
    <w:name w:val="Grid Table 7 Colorful - Accent 3"/>
    <w:basedOn w:val="a5"/>
    <w:uiPriority w:val="99"/>
    <w:rsid w:val="00A60995"/>
    <w:pPr>
      <w:spacing w:after="0" w:line="240" w:lineRule="auto"/>
    </w:pPr>
    <w:tblPr>
      <w:tblStyleRowBandSize w:val="1"/>
      <w:tblStyleColBandSize w:val="1"/>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b/>
        <w:color w:val="E6B629" w:themeColor="accent3" w:themeTint="FE" w:themeShade="95"/>
        <w:sz w:val="22"/>
      </w:rPr>
      <w:tblPr/>
      <w:tcPr>
        <w:tcBorders>
          <w:top w:val="none" w:sz="4" w:space="0" w:color="000000"/>
          <w:left w:val="none" w:sz="4" w:space="0" w:color="000000"/>
          <w:bottom w:val="single" w:sz="4" w:space="0" w:color="E6B629" w:themeColor="accent3" w:themeTint="FE"/>
          <w:right w:val="none" w:sz="4" w:space="0" w:color="000000"/>
        </w:tcBorders>
        <w:shd w:val="clear" w:color="FFFFFF" w:themeColor="light1" w:fill="FFFFFF" w:themeFill="light1"/>
      </w:tcPr>
    </w:tblStylePr>
    <w:tblStylePr w:type="lastRow">
      <w:rPr>
        <w:rFonts w:ascii="Arial" w:hAnsi="Arial"/>
        <w:b/>
        <w:color w:val="E6B629" w:themeColor="accent3" w:themeTint="FE" w:themeShade="95"/>
        <w:sz w:val="22"/>
      </w:rPr>
      <w:tblPr/>
      <w:tcPr>
        <w:tcBorders>
          <w:top w:val="single" w:sz="4" w:space="0" w:color="E6B62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6B629" w:themeColor="accent3" w:themeTint="FE" w:themeShade="95"/>
        <w:sz w:val="22"/>
      </w:rPr>
      <w:tblPr/>
      <w:tcPr>
        <w:tcBorders>
          <w:top w:val="none" w:sz="4" w:space="0" w:color="000000"/>
          <w:left w:val="none" w:sz="4" w:space="0" w:color="000000"/>
          <w:bottom w:val="none" w:sz="4" w:space="0" w:color="000000"/>
          <w:right w:val="single" w:sz="4" w:space="0" w:color="E6B629" w:themeColor="accent3" w:themeTint="FE"/>
        </w:tcBorders>
        <w:shd w:val="clear" w:color="FFFFFF" w:fill="auto"/>
      </w:tcPr>
    </w:tblStylePr>
    <w:tblStylePr w:type="lastCol">
      <w:rPr>
        <w:rFonts w:ascii="Arial" w:hAnsi="Arial"/>
        <w:i/>
        <w:color w:val="E6B629" w:themeColor="accent3" w:themeTint="FE" w:themeShade="95"/>
        <w:sz w:val="22"/>
      </w:rPr>
      <w:tblPr/>
      <w:tcPr>
        <w:tcBorders>
          <w:top w:val="none" w:sz="4" w:space="0" w:color="000000"/>
          <w:left w:val="single" w:sz="4" w:space="0" w:color="E6B629" w:themeColor="accent3" w:themeTint="FE"/>
          <w:bottom w:val="none" w:sz="4" w:space="0" w:color="000000"/>
          <w:right w:val="none" w:sz="4" w:space="0" w:color="000000"/>
        </w:tcBorders>
        <w:shd w:val="clear" w:color="FFFFFF" w:fill="auto"/>
      </w:tc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7Colorful-Accent4">
    <w:name w:val="Grid Table 7 Colorful - Accent 4"/>
    <w:basedOn w:val="a5"/>
    <w:uiPriority w:val="99"/>
    <w:rsid w:val="00A60995"/>
    <w:pPr>
      <w:spacing w:after="0" w:line="240" w:lineRule="auto"/>
    </w:pPr>
    <w:tblPr>
      <w:tblStyleRowBandSize w:val="1"/>
      <w:tblStyleColBandSize w:val="1"/>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b/>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b/>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7Colorful-Accent5">
    <w:name w:val="Grid Table 7 Colorful - Accent 5"/>
    <w:basedOn w:val="a5"/>
    <w:uiPriority w:val="99"/>
    <w:rsid w:val="00A60995"/>
    <w:pPr>
      <w:spacing w:after="0" w:line="240" w:lineRule="auto"/>
    </w:pPr>
    <w:tblPr>
      <w:tblStyleRowBandSize w:val="1"/>
      <w:tblStyleColBandSize w:val="1"/>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314C59" w:themeColor="accent5" w:themeShade="95"/>
        <w:sz w:val="22"/>
      </w:rPr>
      <w:tblPr/>
      <w:tcPr>
        <w:tcBorders>
          <w:top w:val="none" w:sz="4" w:space="0" w:color="000000"/>
          <w:left w:val="none" w:sz="4" w:space="0" w:color="000000"/>
          <w:bottom w:val="single" w:sz="4" w:space="0" w:color="9BBAC8" w:themeColor="accent5" w:themeTint="90"/>
          <w:right w:val="none" w:sz="4" w:space="0" w:color="000000"/>
        </w:tcBorders>
        <w:shd w:val="clear" w:color="FFFFFF" w:themeColor="light1" w:fill="FFFFFF" w:themeFill="light1"/>
      </w:tcPr>
    </w:tblStylePr>
    <w:tblStylePr w:type="lastRow">
      <w:rPr>
        <w:rFonts w:ascii="Arial" w:hAnsi="Arial"/>
        <w:b/>
        <w:color w:val="314C59" w:themeColor="accent5" w:themeShade="95"/>
        <w:sz w:val="22"/>
      </w:rPr>
      <w:tblPr/>
      <w:tcPr>
        <w:tcBorders>
          <w:top w:val="single" w:sz="4" w:space="0" w:color="9BBAC8"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14C59" w:themeColor="accent5" w:themeShade="95"/>
        <w:sz w:val="22"/>
      </w:rPr>
      <w:tblPr/>
      <w:tcPr>
        <w:tcBorders>
          <w:top w:val="none" w:sz="4" w:space="0" w:color="000000"/>
          <w:left w:val="none" w:sz="4" w:space="0" w:color="000000"/>
          <w:bottom w:val="none" w:sz="4" w:space="0" w:color="000000"/>
          <w:right w:val="single" w:sz="4" w:space="0" w:color="9BBAC8" w:themeColor="accent5" w:themeTint="90"/>
        </w:tcBorders>
        <w:shd w:val="clear" w:color="FFFFFF" w:fill="auto"/>
      </w:tcPr>
    </w:tblStylePr>
    <w:tblStylePr w:type="lastCol">
      <w:rPr>
        <w:rFonts w:ascii="Arial" w:hAnsi="Arial"/>
        <w:i/>
        <w:color w:val="314C59" w:themeColor="accent5" w:themeShade="95"/>
        <w:sz w:val="22"/>
      </w:rPr>
      <w:tblPr/>
      <w:tcPr>
        <w:tcBorders>
          <w:top w:val="none" w:sz="4" w:space="0" w:color="000000"/>
          <w:left w:val="single" w:sz="4" w:space="0" w:color="9BBAC8" w:themeColor="accent5" w:themeTint="90"/>
          <w:bottom w:val="none" w:sz="4" w:space="0" w:color="000000"/>
          <w:right w:val="none" w:sz="4" w:space="0" w:color="000000"/>
        </w:tcBorders>
        <w:shd w:val="clear" w:color="FFFFFF" w:fill="auto"/>
      </w:tc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7Colorful-Accent6">
    <w:name w:val="Grid Table 7 Colorful - Accent 6"/>
    <w:basedOn w:val="a5"/>
    <w:uiPriority w:val="99"/>
    <w:rsid w:val="00A60995"/>
    <w:pPr>
      <w:spacing w:after="0" w:line="240" w:lineRule="auto"/>
    </w:pPr>
    <w:tblPr>
      <w:tblStyleRowBandSize w:val="1"/>
      <w:tblStyleColBandSize w:val="1"/>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5C375A" w:themeColor="accent6" w:themeShade="95"/>
        <w:sz w:val="22"/>
      </w:rPr>
      <w:tblPr/>
      <w:tcPr>
        <w:tcBorders>
          <w:top w:val="none" w:sz="4" w:space="0" w:color="000000"/>
          <w:left w:val="none" w:sz="4" w:space="0" w:color="000000"/>
          <w:bottom w:val="single" w:sz="4" w:space="0" w:color="C8A3C6" w:themeColor="accent6" w:themeTint="90"/>
          <w:right w:val="none" w:sz="4" w:space="0" w:color="000000"/>
        </w:tcBorders>
        <w:shd w:val="clear" w:color="FFFFFF" w:themeColor="light1" w:fill="FFFFFF" w:themeFill="light1"/>
      </w:tcPr>
    </w:tblStylePr>
    <w:tblStylePr w:type="lastRow">
      <w:rPr>
        <w:rFonts w:ascii="Arial" w:hAnsi="Arial"/>
        <w:b/>
        <w:color w:val="5C375A" w:themeColor="accent6" w:themeShade="95"/>
        <w:sz w:val="22"/>
      </w:rPr>
      <w:tblPr/>
      <w:tcPr>
        <w:tcBorders>
          <w:top w:val="single" w:sz="4" w:space="0" w:color="C8A3C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C375A" w:themeColor="accent6" w:themeShade="95"/>
        <w:sz w:val="22"/>
      </w:rPr>
      <w:tblPr/>
      <w:tcPr>
        <w:tcBorders>
          <w:top w:val="none" w:sz="4" w:space="0" w:color="000000"/>
          <w:left w:val="none" w:sz="4" w:space="0" w:color="000000"/>
          <w:bottom w:val="none" w:sz="4" w:space="0" w:color="000000"/>
          <w:right w:val="single" w:sz="4" w:space="0" w:color="C8A3C6" w:themeColor="accent6" w:themeTint="90"/>
        </w:tcBorders>
        <w:shd w:val="clear" w:color="FFFFFF" w:fill="auto"/>
      </w:tcPr>
    </w:tblStylePr>
    <w:tblStylePr w:type="lastCol">
      <w:rPr>
        <w:rFonts w:ascii="Arial" w:hAnsi="Arial"/>
        <w:i/>
        <w:color w:val="5C375A" w:themeColor="accent6" w:themeShade="95"/>
        <w:sz w:val="22"/>
      </w:rPr>
      <w:tblPr/>
      <w:tcPr>
        <w:tcBorders>
          <w:top w:val="none" w:sz="4" w:space="0" w:color="000000"/>
          <w:left w:val="single" w:sz="4" w:space="0" w:color="C8A3C6" w:themeColor="accent6" w:themeTint="90"/>
          <w:bottom w:val="none" w:sz="4" w:space="0" w:color="000000"/>
          <w:right w:val="none" w:sz="4" w:space="0" w:color="000000"/>
        </w:tcBorders>
        <w:shd w:val="clear" w:color="FFFFFF" w:fill="auto"/>
      </w:tcPr>
    </w:tblStylePr>
    <w:tblStylePr w:type="band1Vert">
      <w:tblPr/>
      <w:tcPr>
        <w:shd w:val="clear" w:color="EBDDEA" w:themeColor="accent6" w:themeTint="34" w:fill="EBDDEA" w:themeFill="accent6" w:themeFillTint="34"/>
      </w:tcPr>
    </w:tblStylePr>
    <w:tblStylePr w:type="band1Horz">
      <w:rPr>
        <w:rFonts w:ascii="Arial" w:hAnsi="Arial"/>
        <w:color w:val="5C375A" w:themeColor="accent6" w:themeShade="95"/>
        <w:sz w:val="22"/>
      </w:rPr>
      <w:tblPr/>
      <w:tcPr>
        <w:shd w:val="clear" w:color="EBDDEA" w:themeColor="accent6" w:themeTint="34" w:fill="EBDDEA" w:themeFill="accent6" w:themeFillTint="34"/>
      </w:tcPr>
    </w:tblStylePr>
    <w:tblStylePr w:type="band2Horz">
      <w:rPr>
        <w:rFonts w:ascii="Arial" w:hAnsi="Arial"/>
        <w:color w:val="5C375A" w:themeColor="accent6" w:themeShade="95"/>
        <w:sz w:val="22"/>
      </w:rPr>
    </w:tblStylePr>
  </w:style>
  <w:style w:type="table" w:customStyle="1" w:styleId="ListTable1Light-Accent1">
    <w:name w:val="List Table 1 Light - Accent 1"/>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01513" w:themeColor="accent1"/>
          <w:right w:val="none" w:sz="4" w:space="0" w:color="000000"/>
        </w:tcBorders>
      </w:tcPr>
    </w:tblStylePr>
    <w:tblStylePr w:type="lastRow">
      <w:rPr>
        <w:b/>
        <w:color w:val="404040"/>
      </w:rPr>
      <w:tblPr/>
      <w:tcPr>
        <w:tcBorders>
          <w:top w:val="single" w:sz="4" w:space="0" w:color="B01513"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7B8B7" w:themeColor="accent1" w:themeTint="40" w:fill="F7B8B7" w:themeFill="accent1" w:themeFillTint="40"/>
      </w:tcPr>
    </w:tblStylePr>
    <w:tblStylePr w:type="band1Horz">
      <w:tblPr/>
      <w:tcPr>
        <w:shd w:val="clear" w:color="F7B8B7" w:themeColor="accent1" w:themeTint="40" w:fill="F7B8B7" w:themeFill="accent1" w:themeFillTint="40"/>
      </w:tcPr>
    </w:tblStylePr>
  </w:style>
  <w:style w:type="table" w:customStyle="1" w:styleId="ListTable1Light-Accent2">
    <w:name w:val="List Table 1 Light - Accent 2"/>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A6312" w:themeColor="accent2"/>
          <w:right w:val="none" w:sz="4" w:space="0" w:color="000000"/>
        </w:tcBorders>
      </w:tcPr>
    </w:tblStylePr>
    <w:tblStylePr w:type="lastRow">
      <w:rPr>
        <w:b/>
        <w:color w:val="404040"/>
      </w:rPr>
      <w:tblPr/>
      <w:tcPr>
        <w:tcBorders>
          <w:top w:val="single" w:sz="4" w:space="0" w:color="EA631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7C2" w:themeColor="accent2" w:themeTint="40" w:fill="FAD7C2" w:themeFill="accent2" w:themeFillTint="40"/>
      </w:tcPr>
    </w:tblStylePr>
    <w:tblStylePr w:type="band1Horz">
      <w:tblPr/>
      <w:tcPr>
        <w:shd w:val="clear" w:color="FAD7C2" w:themeColor="accent2" w:themeTint="40" w:fill="FAD7C2" w:themeFill="accent2" w:themeFillTint="40"/>
      </w:tcPr>
    </w:tblStylePr>
  </w:style>
  <w:style w:type="table" w:customStyle="1" w:styleId="ListTable1Light-Accent3">
    <w:name w:val="List Table 1 Light - Accent 3"/>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6B729" w:themeColor="accent3"/>
          <w:right w:val="none" w:sz="4" w:space="0" w:color="000000"/>
        </w:tcBorders>
      </w:tcPr>
    </w:tblStylePr>
    <w:tblStylePr w:type="lastRow">
      <w:rPr>
        <w:b/>
        <w:color w:val="404040"/>
      </w:rPr>
      <w:tblPr/>
      <w:tcPr>
        <w:tcBorders>
          <w:top w:val="single" w:sz="4" w:space="0" w:color="E6B72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8ECC9" w:themeColor="accent3" w:themeTint="40" w:fill="F8ECC9" w:themeFill="accent3" w:themeFillTint="40"/>
      </w:tcPr>
    </w:tblStylePr>
    <w:tblStylePr w:type="band1Horz">
      <w:tblPr/>
      <w:tcPr>
        <w:shd w:val="clear" w:color="F8ECC9" w:themeColor="accent3" w:themeTint="40" w:fill="F8ECC9" w:themeFill="accent3" w:themeFillTint="40"/>
      </w:tcPr>
    </w:tblStylePr>
  </w:style>
  <w:style w:type="table" w:customStyle="1" w:styleId="ListTable1Light-Accent4">
    <w:name w:val="List Table 1 Light - Accent 4"/>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AAC90" w:themeColor="accent4"/>
          <w:right w:val="none" w:sz="4" w:space="0" w:color="000000"/>
        </w:tcBorders>
      </w:tcPr>
    </w:tblStylePr>
    <w:tblStylePr w:type="lastRow">
      <w:rPr>
        <w:b/>
        <w:color w:val="404040"/>
      </w:rPr>
      <w:tblPr/>
      <w:tcPr>
        <w:tcBorders>
          <w:top w:val="single" w:sz="4" w:space="0" w:color="6AAC9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9EAE3" w:themeColor="accent4" w:themeTint="40" w:fill="D9EAE3" w:themeFill="accent4" w:themeFillTint="40"/>
      </w:tcPr>
    </w:tblStylePr>
    <w:tblStylePr w:type="band1Horz">
      <w:tblPr/>
      <w:tcPr>
        <w:shd w:val="clear" w:color="D9EAE3" w:themeColor="accent4" w:themeTint="40" w:fill="D9EAE3" w:themeFill="accent4" w:themeFillTint="40"/>
      </w:tcPr>
    </w:tblStylePr>
  </w:style>
  <w:style w:type="table" w:customStyle="1" w:styleId="ListTable1Light-Accent5">
    <w:name w:val="List Table 1 Light - Accent 5"/>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4849A" w:themeColor="accent5"/>
          <w:right w:val="none" w:sz="4" w:space="0" w:color="000000"/>
        </w:tcBorders>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E0E7" w:themeColor="accent5" w:themeTint="40" w:fill="D2E0E7" w:themeFill="accent5" w:themeFillTint="40"/>
      </w:tcPr>
    </w:tblStylePr>
    <w:tblStylePr w:type="band1Horz">
      <w:tblPr/>
      <w:tcPr>
        <w:shd w:val="clear" w:color="D2E0E7" w:themeColor="accent5" w:themeTint="40" w:fill="D2E0E7" w:themeFill="accent5" w:themeFillTint="40"/>
      </w:tcPr>
    </w:tblStylePr>
  </w:style>
  <w:style w:type="table" w:customStyle="1" w:styleId="ListTable1Light-Accent6">
    <w:name w:val="List Table 1 Light - Accent 6"/>
    <w:basedOn w:val="a5"/>
    <w:uiPriority w:val="99"/>
    <w:rsid w:val="00A60995"/>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E5E9B" w:themeColor="accent6"/>
          <w:right w:val="none" w:sz="4" w:space="0" w:color="000000"/>
        </w:tcBorders>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6D6E6" w:themeColor="accent6" w:themeTint="40" w:fill="E6D6E6" w:themeFill="accent6" w:themeFillTint="40"/>
      </w:tcPr>
    </w:tblStylePr>
    <w:tblStylePr w:type="band1Horz">
      <w:tblPr/>
      <w:tcPr>
        <w:shd w:val="clear" w:color="E6D6E6" w:themeColor="accent6" w:themeTint="40" w:fill="E6D6E6" w:themeFill="accent6" w:themeFillTint="40"/>
      </w:tcPr>
    </w:tblStylePr>
  </w:style>
  <w:style w:type="table" w:customStyle="1" w:styleId="-214">
    <w:name w:val="Список-таблица 21"/>
    <w:basedOn w:val="a5"/>
    <w:uiPriority w:val="99"/>
    <w:rsid w:val="00A60995"/>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5"/>
    <w:uiPriority w:val="99"/>
    <w:rsid w:val="00A60995"/>
    <w:pPr>
      <w:spacing w:after="0" w:line="240" w:lineRule="auto"/>
    </w:pPr>
    <w:tblPr>
      <w:tblStyleRowBandSize w:val="1"/>
      <w:tblStyleColBandSize w:val="1"/>
      <w:tblBorders>
        <w:top w:val="single" w:sz="4" w:space="0" w:color="ED605E" w:themeColor="accent1" w:themeTint="90"/>
        <w:bottom w:val="single" w:sz="4" w:space="0" w:color="ED605E" w:themeColor="accent1" w:themeTint="90"/>
        <w:insideH w:val="single" w:sz="4" w:space="0" w:color="ED605E" w:themeColor="accent1" w:themeTint="90"/>
      </w:tblBorders>
    </w:tblPr>
    <w:tblStylePr w:type="fir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la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2-Accent2">
    <w:name w:val="List Table 2 - Accent 2"/>
    <w:basedOn w:val="a5"/>
    <w:uiPriority w:val="99"/>
    <w:rsid w:val="00A60995"/>
    <w:pPr>
      <w:spacing w:after="0" w:line="240" w:lineRule="auto"/>
    </w:pPr>
    <w:tblPr>
      <w:tblStyleRowBandSize w:val="1"/>
      <w:tblStyleColBandSize w:val="1"/>
      <w:tblBorders>
        <w:top w:val="single" w:sz="4" w:space="0" w:color="F4A677" w:themeColor="accent2" w:themeTint="90"/>
        <w:bottom w:val="single" w:sz="4" w:space="0" w:color="F4A677" w:themeColor="accent2" w:themeTint="90"/>
        <w:insideH w:val="single" w:sz="4" w:space="0" w:color="F4A677" w:themeColor="accent2" w:themeTint="90"/>
      </w:tblBorders>
    </w:tblPr>
    <w:tblStylePr w:type="fir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la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2-Accent3">
    <w:name w:val="List Table 2 - Accent 3"/>
    <w:basedOn w:val="a5"/>
    <w:uiPriority w:val="99"/>
    <w:rsid w:val="00A60995"/>
    <w:pPr>
      <w:spacing w:after="0" w:line="240" w:lineRule="auto"/>
    </w:pPr>
    <w:tblPr>
      <w:tblStyleRowBandSize w:val="1"/>
      <w:tblStyleColBandSize w:val="1"/>
      <w:tblBorders>
        <w:top w:val="single" w:sz="4" w:space="0" w:color="F1D686" w:themeColor="accent3" w:themeTint="90"/>
        <w:bottom w:val="single" w:sz="4" w:space="0" w:color="F1D686" w:themeColor="accent3" w:themeTint="90"/>
        <w:insideH w:val="single" w:sz="4" w:space="0" w:color="F1D686" w:themeColor="accent3" w:themeTint="90"/>
      </w:tblBorders>
    </w:tblPr>
    <w:tblStylePr w:type="fir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la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2-Accent4">
    <w:name w:val="List Table 2 - Accent 4"/>
    <w:basedOn w:val="a5"/>
    <w:uiPriority w:val="99"/>
    <w:rsid w:val="00A60995"/>
    <w:pPr>
      <w:spacing w:after="0" w:line="240" w:lineRule="auto"/>
    </w:pPr>
    <w:tblPr>
      <w:tblStyleRowBandSize w:val="1"/>
      <w:tblStyleColBandSize w:val="1"/>
      <w:tblBorders>
        <w:top w:val="single" w:sz="4" w:space="0" w:color="AAD0C0" w:themeColor="accent4" w:themeTint="90"/>
        <w:bottom w:val="single" w:sz="4" w:space="0" w:color="AAD0C0" w:themeColor="accent4" w:themeTint="90"/>
        <w:insideH w:val="single" w:sz="4" w:space="0" w:color="AAD0C0" w:themeColor="accent4" w:themeTint="90"/>
      </w:tblBorders>
    </w:tblPr>
    <w:tblStylePr w:type="fir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la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2-Accent5">
    <w:name w:val="List Table 2 - Accent 5"/>
    <w:basedOn w:val="a5"/>
    <w:uiPriority w:val="99"/>
    <w:rsid w:val="00A60995"/>
    <w:pPr>
      <w:spacing w:after="0" w:line="240" w:lineRule="auto"/>
    </w:pPr>
    <w:tblPr>
      <w:tblStyleRowBandSize w:val="1"/>
      <w:tblStyleColBandSize w:val="1"/>
      <w:tblBorders>
        <w:top w:val="single" w:sz="4" w:space="0" w:color="9BBAC8" w:themeColor="accent5" w:themeTint="90"/>
        <w:bottom w:val="single" w:sz="4" w:space="0" w:color="9BBAC8" w:themeColor="accent5" w:themeTint="90"/>
        <w:insideH w:val="single" w:sz="4" w:space="0" w:color="9BBAC8" w:themeColor="accent5" w:themeTint="90"/>
      </w:tblBorders>
    </w:tblPr>
    <w:tblStylePr w:type="fir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la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2-Accent6">
    <w:name w:val="List Table 2 - Accent 6"/>
    <w:basedOn w:val="a5"/>
    <w:uiPriority w:val="99"/>
    <w:rsid w:val="00A60995"/>
    <w:pPr>
      <w:spacing w:after="0" w:line="240" w:lineRule="auto"/>
    </w:pPr>
    <w:tblPr>
      <w:tblStyleRowBandSize w:val="1"/>
      <w:tblStyleColBandSize w:val="1"/>
      <w:tblBorders>
        <w:top w:val="single" w:sz="4" w:space="0" w:color="C8A3C6" w:themeColor="accent6" w:themeTint="90"/>
        <w:bottom w:val="single" w:sz="4" w:space="0" w:color="C8A3C6" w:themeColor="accent6" w:themeTint="90"/>
        <w:insideH w:val="single" w:sz="4" w:space="0" w:color="C8A3C6" w:themeColor="accent6" w:themeTint="90"/>
      </w:tblBorders>
    </w:tblPr>
    <w:tblStylePr w:type="fir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la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310">
    <w:name w:val="Список-таблица 31"/>
    <w:basedOn w:val="a5"/>
    <w:uiPriority w:val="99"/>
    <w:rsid w:val="00A60995"/>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5"/>
    <w:uiPriority w:val="99"/>
    <w:rsid w:val="00A60995"/>
    <w:pPr>
      <w:spacing w:after="0" w:line="240" w:lineRule="auto"/>
    </w:pPr>
    <w:tblPr>
      <w:tblStyleRowBandSize w:val="1"/>
      <w:tblStyleColBandSize w:val="1"/>
      <w:tblBorders>
        <w:top w:val="single" w:sz="4" w:space="0" w:color="B01513" w:themeColor="accent1"/>
        <w:left w:val="single" w:sz="4" w:space="0" w:color="B01513" w:themeColor="accent1"/>
        <w:bottom w:val="single" w:sz="4" w:space="0" w:color="B01513" w:themeColor="accent1"/>
        <w:right w:val="single" w:sz="4" w:space="0" w:color="B01513" w:themeColor="accent1"/>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01513" w:themeColor="accent1"/>
          <w:right w:val="single" w:sz="4" w:space="0" w:color="B01513" w:themeColor="accent1"/>
        </w:tcBorders>
      </w:tcPr>
    </w:tblStylePr>
    <w:tblStylePr w:type="band1Horz">
      <w:rPr>
        <w:rFonts w:ascii="Arial" w:hAnsi="Arial"/>
        <w:color w:val="404040"/>
        <w:sz w:val="22"/>
      </w:rPr>
      <w:tblPr/>
      <w:tcPr>
        <w:tcBorders>
          <w:top w:val="single" w:sz="4" w:space="0" w:color="B01513" w:themeColor="accent1"/>
          <w:bottom w:val="single" w:sz="4" w:space="0" w:color="B01513" w:themeColor="accent1"/>
        </w:tcBorders>
      </w:tcPr>
    </w:tblStylePr>
  </w:style>
  <w:style w:type="table" w:customStyle="1" w:styleId="ListTable3-Accent2">
    <w:name w:val="List Table 3 - Accent 2"/>
    <w:basedOn w:val="a5"/>
    <w:uiPriority w:val="99"/>
    <w:rsid w:val="00A60995"/>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blBorders>
    </w:tblPr>
    <w:tblStylePr w:type="firstRow">
      <w:rPr>
        <w:rFonts w:ascii="Arial" w:hAnsi="Arial"/>
        <w:b/>
        <w:color w:val="FFFFFF"/>
        <w:sz w:val="22"/>
      </w:rPr>
      <w:tblPr/>
      <w:tcPr>
        <w:shd w:val="clear" w:color="F4A170" w:themeColor="accent2" w:themeTint="97" w:fill="F4A17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A170" w:themeColor="accent2" w:themeTint="97"/>
          <w:right w:val="single" w:sz="4" w:space="0" w:color="F4A170" w:themeColor="accent2" w:themeTint="97"/>
        </w:tcBorders>
      </w:tcPr>
    </w:tblStylePr>
    <w:tblStylePr w:type="band1Horz">
      <w:rPr>
        <w:rFonts w:ascii="Arial" w:hAnsi="Arial"/>
        <w:color w:val="404040"/>
        <w:sz w:val="22"/>
      </w:rPr>
      <w:tblPr/>
      <w:tcPr>
        <w:tcBorders>
          <w:top w:val="single" w:sz="4" w:space="0" w:color="F4A170" w:themeColor="accent2" w:themeTint="97"/>
          <w:bottom w:val="single" w:sz="4" w:space="0" w:color="F4A170" w:themeColor="accent2" w:themeTint="97"/>
        </w:tcBorders>
      </w:tcPr>
    </w:tblStylePr>
  </w:style>
  <w:style w:type="table" w:customStyle="1" w:styleId="ListTable3-Accent3">
    <w:name w:val="List Table 3 - Accent 3"/>
    <w:basedOn w:val="a5"/>
    <w:uiPriority w:val="99"/>
    <w:rsid w:val="00A60995"/>
    <w:pPr>
      <w:spacing w:after="0" w:line="240" w:lineRule="auto"/>
    </w:pPr>
    <w:tblPr>
      <w:tblStyleRowBandSize w:val="1"/>
      <w:tblStyleColBandSize w:val="1"/>
      <w:tblBorders>
        <w:top w:val="single" w:sz="4" w:space="0" w:color="F0D37F" w:themeColor="accent3" w:themeTint="98"/>
        <w:left w:val="single" w:sz="4" w:space="0" w:color="F0D37F" w:themeColor="accent3" w:themeTint="98"/>
        <w:bottom w:val="single" w:sz="4" w:space="0" w:color="F0D37F" w:themeColor="accent3" w:themeTint="98"/>
        <w:right w:val="single" w:sz="4" w:space="0" w:color="F0D37F" w:themeColor="accent3" w:themeTint="98"/>
      </w:tblBorders>
    </w:tblPr>
    <w:tblStylePr w:type="firstRow">
      <w:rPr>
        <w:rFonts w:ascii="Arial" w:hAnsi="Arial"/>
        <w:b/>
        <w:color w:val="FFFFFF"/>
        <w:sz w:val="22"/>
      </w:rPr>
      <w:tblPr/>
      <w:tcPr>
        <w:shd w:val="clear" w:color="F0D37F" w:themeColor="accent3" w:themeTint="98" w:fill="F0D37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0D37F" w:themeColor="accent3" w:themeTint="98"/>
          <w:right w:val="single" w:sz="4" w:space="0" w:color="F0D37F" w:themeColor="accent3" w:themeTint="98"/>
        </w:tcBorders>
      </w:tcPr>
    </w:tblStylePr>
    <w:tblStylePr w:type="band1Horz">
      <w:rPr>
        <w:rFonts w:ascii="Arial" w:hAnsi="Arial"/>
        <w:color w:val="404040"/>
        <w:sz w:val="22"/>
      </w:rPr>
      <w:tblPr/>
      <w:tcPr>
        <w:tcBorders>
          <w:top w:val="single" w:sz="4" w:space="0" w:color="F0D37F" w:themeColor="accent3" w:themeTint="98"/>
          <w:bottom w:val="single" w:sz="4" w:space="0" w:color="F0D37F" w:themeColor="accent3" w:themeTint="98"/>
        </w:tcBorders>
      </w:tcPr>
    </w:tblStylePr>
  </w:style>
  <w:style w:type="table" w:customStyle="1" w:styleId="ListTable3-Accent4">
    <w:name w:val="List Table 3 - Accent 4"/>
    <w:basedOn w:val="a5"/>
    <w:uiPriority w:val="99"/>
    <w:rsid w:val="00A60995"/>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blBorders>
    </w:tblPr>
    <w:tblStylePr w:type="firstRow">
      <w:rPr>
        <w:rFonts w:ascii="Arial" w:hAnsi="Arial"/>
        <w:b/>
        <w:color w:val="FFFFFF"/>
        <w:sz w:val="22"/>
      </w:rPr>
      <w:tblPr/>
      <w:tcPr>
        <w:shd w:val="clear" w:color="A4CCBB" w:themeColor="accent4" w:themeTint="9A" w:fill="A4CCB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4CCBB" w:themeColor="accent4" w:themeTint="9A"/>
          <w:right w:val="single" w:sz="4" w:space="0" w:color="A4CCBB" w:themeColor="accent4" w:themeTint="9A"/>
        </w:tcBorders>
      </w:tcPr>
    </w:tblStylePr>
    <w:tblStylePr w:type="band1Horz">
      <w:rPr>
        <w:rFonts w:ascii="Arial" w:hAnsi="Arial"/>
        <w:color w:val="404040"/>
        <w:sz w:val="22"/>
      </w:rPr>
      <w:tblPr/>
      <w:tcPr>
        <w:tcBorders>
          <w:top w:val="single" w:sz="4" w:space="0" w:color="A4CCBB" w:themeColor="accent4" w:themeTint="9A"/>
          <w:bottom w:val="single" w:sz="4" w:space="0" w:color="A4CCBB" w:themeColor="accent4" w:themeTint="9A"/>
        </w:tcBorders>
      </w:tcPr>
    </w:tblStylePr>
  </w:style>
  <w:style w:type="table" w:customStyle="1" w:styleId="ListTable3-Accent5">
    <w:name w:val="List Table 3 - Accent 5"/>
    <w:basedOn w:val="a5"/>
    <w:uiPriority w:val="99"/>
    <w:rsid w:val="00A60995"/>
    <w:pPr>
      <w:spacing w:after="0" w:line="240" w:lineRule="auto"/>
    </w:pPr>
    <w:tblPr>
      <w:tblStyleRowBandSize w:val="1"/>
      <w:tblStyleColBandSize w:val="1"/>
      <w:tblBorders>
        <w:top w:val="single" w:sz="4" w:space="0" w:color="94B5C5" w:themeColor="accent5" w:themeTint="9A"/>
        <w:left w:val="single" w:sz="4" w:space="0" w:color="94B5C5" w:themeColor="accent5" w:themeTint="9A"/>
        <w:bottom w:val="single" w:sz="4" w:space="0" w:color="94B5C5" w:themeColor="accent5" w:themeTint="9A"/>
        <w:right w:val="single" w:sz="4" w:space="0" w:color="94B5C5" w:themeColor="accent5" w:themeTint="9A"/>
      </w:tblBorders>
    </w:tblPr>
    <w:tblStylePr w:type="firstRow">
      <w:rPr>
        <w:rFonts w:ascii="Arial" w:hAnsi="Arial"/>
        <w:b/>
        <w:color w:val="FFFFFF"/>
        <w:sz w:val="22"/>
      </w:rPr>
      <w:tblPr/>
      <w:tcPr>
        <w:shd w:val="clear" w:color="94B5C5" w:themeColor="accent5" w:themeTint="9A" w:fill="94B5C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4B5C5" w:themeColor="accent5" w:themeTint="9A"/>
          <w:right w:val="single" w:sz="4" w:space="0" w:color="94B5C5" w:themeColor="accent5" w:themeTint="9A"/>
        </w:tcBorders>
      </w:tcPr>
    </w:tblStylePr>
    <w:tblStylePr w:type="band1Horz">
      <w:rPr>
        <w:rFonts w:ascii="Arial" w:hAnsi="Arial"/>
        <w:color w:val="404040"/>
        <w:sz w:val="22"/>
      </w:rPr>
      <w:tblPr/>
      <w:tcPr>
        <w:tcBorders>
          <w:top w:val="single" w:sz="4" w:space="0" w:color="94B5C5" w:themeColor="accent5" w:themeTint="9A"/>
          <w:bottom w:val="single" w:sz="4" w:space="0" w:color="94B5C5" w:themeColor="accent5" w:themeTint="9A"/>
        </w:tcBorders>
      </w:tcPr>
    </w:tblStylePr>
  </w:style>
  <w:style w:type="table" w:customStyle="1" w:styleId="ListTable3-Accent6">
    <w:name w:val="List Table 3 - Accent 6"/>
    <w:basedOn w:val="a5"/>
    <w:uiPriority w:val="99"/>
    <w:rsid w:val="00A60995"/>
    <w:pPr>
      <w:spacing w:after="0" w:line="240" w:lineRule="auto"/>
    </w:pPr>
    <w:tblPr>
      <w:tblStyleRowBandSize w:val="1"/>
      <w:tblStyleColBandSize w:val="1"/>
      <w:tblBorders>
        <w:top w:val="single" w:sz="4" w:space="0" w:color="C59EC3" w:themeColor="accent6" w:themeTint="98"/>
        <w:left w:val="single" w:sz="4" w:space="0" w:color="C59EC3" w:themeColor="accent6" w:themeTint="98"/>
        <w:bottom w:val="single" w:sz="4" w:space="0" w:color="C59EC3" w:themeColor="accent6" w:themeTint="98"/>
        <w:right w:val="single" w:sz="4" w:space="0" w:color="C59EC3" w:themeColor="accent6" w:themeTint="98"/>
      </w:tblBorders>
    </w:tblPr>
    <w:tblStylePr w:type="firstRow">
      <w:rPr>
        <w:rFonts w:ascii="Arial" w:hAnsi="Arial"/>
        <w:b/>
        <w:color w:val="FFFFFF"/>
        <w:sz w:val="22"/>
      </w:rPr>
      <w:tblPr/>
      <w:tcPr>
        <w:shd w:val="clear" w:color="C59EC3" w:themeColor="accent6" w:themeTint="98" w:fill="C59EC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59EC3" w:themeColor="accent6" w:themeTint="98"/>
          <w:right w:val="single" w:sz="4" w:space="0" w:color="C59EC3" w:themeColor="accent6" w:themeTint="98"/>
        </w:tcBorders>
      </w:tcPr>
    </w:tblStylePr>
    <w:tblStylePr w:type="band1Horz">
      <w:rPr>
        <w:rFonts w:ascii="Arial" w:hAnsi="Arial"/>
        <w:color w:val="404040"/>
        <w:sz w:val="22"/>
      </w:rPr>
      <w:tblPr/>
      <w:tcPr>
        <w:tcBorders>
          <w:top w:val="single" w:sz="4" w:space="0" w:color="C59EC3" w:themeColor="accent6" w:themeTint="98"/>
          <w:bottom w:val="single" w:sz="4" w:space="0" w:color="C59EC3" w:themeColor="accent6" w:themeTint="98"/>
        </w:tcBorders>
      </w:tcPr>
    </w:tblStylePr>
  </w:style>
  <w:style w:type="table" w:customStyle="1" w:styleId="-411">
    <w:name w:val="Список-таблица 41"/>
    <w:basedOn w:val="a5"/>
    <w:uiPriority w:val="99"/>
    <w:rsid w:val="00A60995"/>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5"/>
    <w:uiPriority w:val="99"/>
    <w:rsid w:val="00A60995"/>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4-Accent2">
    <w:name w:val="List Table 4 - Accent 2"/>
    <w:basedOn w:val="a5"/>
    <w:uiPriority w:val="99"/>
    <w:rsid w:val="00A60995"/>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tblBorders>
    </w:tblPr>
    <w:tblStylePr w:type="firstRow">
      <w:rPr>
        <w:rFonts w:ascii="Arial" w:hAnsi="Arial"/>
        <w:b/>
        <w:color w:val="FFFFFF"/>
        <w:sz w:val="22"/>
      </w:rPr>
      <w:tblPr/>
      <w:tcPr>
        <w:shd w:val="clear" w:color="EA6312" w:themeColor="accent2" w:fill="EA631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4-Accent3">
    <w:name w:val="List Table 4 - Accent 3"/>
    <w:basedOn w:val="a5"/>
    <w:uiPriority w:val="99"/>
    <w:rsid w:val="00A60995"/>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tblBorders>
    </w:tblPr>
    <w:tblStylePr w:type="firstRow">
      <w:rPr>
        <w:rFonts w:ascii="Arial" w:hAnsi="Arial"/>
        <w:b/>
        <w:color w:val="FFFFFF"/>
        <w:sz w:val="22"/>
      </w:rPr>
      <w:tblPr/>
      <w:tcPr>
        <w:shd w:val="clear" w:color="E6B729" w:themeColor="accent3" w:fill="E6B72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4-Accent4">
    <w:name w:val="List Table 4 - Accent 4"/>
    <w:basedOn w:val="a5"/>
    <w:uiPriority w:val="99"/>
    <w:rsid w:val="00A60995"/>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tblBorders>
    </w:tblPr>
    <w:tblStylePr w:type="firstRow">
      <w:rPr>
        <w:rFonts w:ascii="Arial" w:hAnsi="Arial"/>
        <w:b/>
        <w:color w:val="FFFFFF"/>
        <w:sz w:val="22"/>
      </w:rPr>
      <w:tblPr/>
      <w:tcPr>
        <w:shd w:val="clear" w:color="6AAC90" w:themeColor="accent4" w:fill="6AAC9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4-Accent5">
    <w:name w:val="List Table 4 - Accent 5"/>
    <w:basedOn w:val="a5"/>
    <w:uiPriority w:val="99"/>
    <w:rsid w:val="00A60995"/>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tblBorders>
    </w:tblPr>
    <w:tblStylePr w:type="firstRow">
      <w:rPr>
        <w:rFonts w:ascii="Arial" w:hAnsi="Arial"/>
        <w:b/>
        <w:color w:val="FFFFFF"/>
        <w:sz w:val="22"/>
      </w:rPr>
      <w:tblPr/>
      <w:tcPr>
        <w:shd w:val="clear" w:color="54849A" w:themeColor="accent5" w:fill="54849A"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4-Accent6">
    <w:name w:val="List Table 4 - Accent 6"/>
    <w:basedOn w:val="a5"/>
    <w:uiPriority w:val="99"/>
    <w:rsid w:val="00A60995"/>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tblBorders>
    </w:tblPr>
    <w:tblStylePr w:type="firstRow">
      <w:rPr>
        <w:rFonts w:ascii="Arial" w:hAnsi="Arial"/>
        <w:b/>
        <w:color w:val="FFFFFF"/>
        <w:sz w:val="22"/>
      </w:rPr>
      <w:tblPr/>
      <w:tcPr>
        <w:shd w:val="clear" w:color="9E5E9B" w:themeColor="accent6" w:fill="9E5E9B"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511">
    <w:name w:val="Список-таблица 5 темная1"/>
    <w:basedOn w:val="a5"/>
    <w:uiPriority w:val="99"/>
    <w:rsid w:val="00A60995"/>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5"/>
    <w:uiPriority w:val="99"/>
    <w:rsid w:val="00A60995"/>
    <w:pPr>
      <w:spacing w:after="0" w:line="240" w:lineRule="auto"/>
    </w:pPr>
    <w:tblPr>
      <w:tblStyleRowBandSize w:val="1"/>
      <w:tblStyleColBandSize w:val="1"/>
      <w:tblBorders>
        <w:top w:val="single" w:sz="32" w:space="0" w:color="B01513" w:themeColor="accent1"/>
        <w:left w:val="single" w:sz="32" w:space="0" w:color="B01513" w:themeColor="accent1"/>
        <w:bottom w:val="single" w:sz="32" w:space="0" w:color="B01513" w:themeColor="accent1"/>
        <w:right w:val="single" w:sz="32" w:space="0" w:color="B01513" w:themeColor="accent1"/>
      </w:tblBorders>
      <w:shd w:val="clear" w:color="B01513" w:themeColor="accent1" w:fill="B01513" w:themeFill="accent1"/>
    </w:tblPr>
    <w:tblStylePr w:type="firstRow">
      <w:rPr>
        <w:rFonts w:ascii="Arial" w:hAnsi="Arial"/>
        <w:b/>
        <w:color w:val="FFFFFF" w:themeColor="light1"/>
        <w:sz w:val="22"/>
      </w:rPr>
      <w:tblPr/>
      <w:tcPr>
        <w:tcBorders>
          <w:top w:val="single" w:sz="32" w:space="0" w:color="B01513" w:themeColor="accent1"/>
          <w:bottom w:val="single" w:sz="12" w:space="0" w:color="FFFFFF" w:themeColor="light1"/>
        </w:tcBorders>
        <w:shd w:val="clear" w:color="B01513" w:themeColor="accent1" w:fill="B01513"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01513" w:themeColor="accent1"/>
          <w:right w:val="single" w:sz="4" w:space="0" w:color="FFFFFF" w:themeColor="light1"/>
        </w:tcBorders>
      </w:tcPr>
    </w:tblStylePr>
    <w:tblStylePr w:type="lastCol">
      <w:tblPr/>
      <w:tcPr>
        <w:tcBorders>
          <w:left w:val="single" w:sz="4" w:space="0" w:color="FFFFFF" w:themeColor="light1"/>
          <w:right w:val="single" w:sz="32" w:space="0" w:color="B01513" w:themeColor="accent1"/>
        </w:tcBorders>
      </w:tcPr>
    </w:tblStylePr>
    <w:tblStylePr w:type="band1Vert">
      <w:tblPr/>
      <w:tcPr>
        <w:tcBorders>
          <w:left w:val="single" w:sz="4" w:space="0" w:color="FFFFFF" w:themeColor="light1"/>
          <w:right w:val="single" w:sz="4" w:space="0" w:color="FFFFFF" w:themeColor="light1"/>
        </w:tcBorders>
        <w:shd w:val="clear" w:color="B01513" w:themeColor="accent1" w:fill="B01513"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01513" w:themeColor="accent1" w:fill="B01513" w:themeFill="accent1"/>
      </w:tcPr>
    </w:tblStylePr>
    <w:tblStylePr w:type="band2Horz">
      <w:tblPr/>
      <w:tcPr>
        <w:tcBorders>
          <w:top w:val="single" w:sz="4" w:space="0" w:color="FFFFFF" w:themeColor="light1"/>
          <w:bottom w:val="single" w:sz="4" w:space="0" w:color="FFFFFF" w:themeColor="light1"/>
        </w:tcBorders>
        <w:shd w:val="clear" w:color="B01513" w:themeColor="accent1" w:fill="B01513" w:themeFill="accent1"/>
      </w:tcPr>
    </w:tblStylePr>
  </w:style>
  <w:style w:type="table" w:customStyle="1" w:styleId="ListTable5Dark-Accent2">
    <w:name w:val="List Table 5 Dark - Accent 2"/>
    <w:basedOn w:val="a5"/>
    <w:uiPriority w:val="99"/>
    <w:rsid w:val="00A60995"/>
    <w:pPr>
      <w:spacing w:after="0" w:line="240" w:lineRule="auto"/>
    </w:pPr>
    <w:tblPr>
      <w:tblStyleRowBandSize w:val="1"/>
      <w:tblStyleColBandSize w:val="1"/>
      <w:tblBorders>
        <w:top w:val="single" w:sz="32" w:space="0" w:color="F4A170" w:themeColor="accent2" w:themeTint="97"/>
        <w:left w:val="single" w:sz="32" w:space="0" w:color="F4A170" w:themeColor="accent2" w:themeTint="97"/>
        <w:bottom w:val="single" w:sz="32" w:space="0" w:color="F4A170" w:themeColor="accent2" w:themeTint="97"/>
        <w:right w:val="single" w:sz="32" w:space="0" w:color="F4A170" w:themeColor="accent2" w:themeTint="97"/>
      </w:tblBorders>
      <w:shd w:val="clear" w:color="F4A170" w:themeColor="accent2" w:themeTint="97" w:fill="F4A170" w:themeFill="accent2" w:themeFillTint="97"/>
    </w:tblPr>
    <w:tblStylePr w:type="firstRow">
      <w:rPr>
        <w:rFonts w:ascii="Arial" w:hAnsi="Arial"/>
        <w:b/>
        <w:color w:val="FFFFFF" w:themeColor="light1"/>
        <w:sz w:val="22"/>
      </w:rPr>
      <w:tblPr/>
      <w:tcPr>
        <w:tcBorders>
          <w:top w:val="single" w:sz="32" w:space="0" w:color="F4A170" w:themeColor="accent2" w:themeTint="97"/>
          <w:bottom w:val="single" w:sz="12" w:space="0" w:color="FFFFFF" w:themeColor="light1"/>
        </w:tcBorders>
        <w:shd w:val="clear" w:color="F4A170" w:themeColor="accent2" w:themeTint="97" w:fill="F4A170"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A170" w:themeColor="accent2" w:themeTint="97"/>
          <w:right w:val="single" w:sz="4" w:space="0" w:color="FFFFFF" w:themeColor="light1"/>
        </w:tcBorders>
      </w:tcPr>
    </w:tblStylePr>
    <w:tblStylePr w:type="lastCol">
      <w:tblPr/>
      <w:tcPr>
        <w:tcBorders>
          <w:left w:val="single" w:sz="4" w:space="0" w:color="FFFFFF" w:themeColor="light1"/>
          <w:right w:val="single" w:sz="32" w:space="0" w:color="F4A170" w:themeColor="accent2" w:themeTint="97"/>
        </w:tcBorders>
      </w:tcPr>
    </w:tblStylePr>
    <w:tblStylePr w:type="band1Vert">
      <w:tblPr/>
      <w:tcPr>
        <w:tcBorders>
          <w:left w:val="single" w:sz="4" w:space="0" w:color="FFFFFF" w:themeColor="light1"/>
          <w:right w:val="single" w:sz="4" w:space="0" w:color="FFFFFF" w:themeColor="light1"/>
        </w:tcBorders>
        <w:shd w:val="clear" w:color="F4A170" w:themeColor="accent2" w:themeTint="97" w:fill="F4A17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tblStylePr w:type="band2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style>
  <w:style w:type="table" w:customStyle="1" w:styleId="ListTable5Dark-Accent3">
    <w:name w:val="List Table 5 Dark - Accent 3"/>
    <w:basedOn w:val="a5"/>
    <w:uiPriority w:val="99"/>
    <w:rsid w:val="00A60995"/>
    <w:pPr>
      <w:spacing w:after="0" w:line="240" w:lineRule="auto"/>
    </w:pPr>
    <w:tblPr>
      <w:tblStyleRowBandSize w:val="1"/>
      <w:tblStyleColBandSize w:val="1"/>
      <w:tblBorders>
        <w:top w:val="single" w:sz="32" w:space="0" w:color="F0D37F" w:themeColor="accent3" w:themeTint="98"/>
        <w:left w:val="single" w:sz="32" w:space="0" w:color="F0D37F" w:themeColor="accent3" w:themeTint="98"/>
        <w:bottom w:val="single" w:sz="32" w:space="0" w:color="F0D37F" w:themeColor="accent3" w:themeTint="98"/>
        <w:right w:val="single" w:sz="32" w:space="0" w:color="F0D37F" w:themeColor="accent3" w:themeTint="98"/>
      </w:tblBorders>
      <w:shd w:val="clear" w:color="F0D37F" w:themeColor="accent3" w:themeTint="98" w:fill="F0D37F" w:themeFill="accent3" w:themeFillTint="98"/>
    </w:tblPr>
    <w:tblStylePr w:type="firstRow">
      <w:rPr>
        <w:rFonts w:ascii="Arial" w:hAnsi="Arial"/>
        <w:b/>
        <w:color w:val="FFFFFF" w:themeColor="light1"/>
        <w:sz w:val="22"/>
      </w:rPr>
      <w:tblPr/>
      <w:tcPr>
        <w:tcBorders>
          <w:top w:val="single" w:sz="32" w:space="0" w:color="F0D37F" w:themeColor="accent3" w:themeTint="98"/>
          <w:bottom w:val="single" w:sz="12" w:space="0" w:color="FFFFFF" w:themeColor="light1"/>
        </w:tcBorders>
        <w:shd w:val="clear" w:color="F0D37F" w:themeColor="accent3" w:themeTint="98" w:fill="F0D37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0D37F" w:themeColor="accent3" w:themeTint="98"/>
          <w:right w:val="single" w:sz="4" w:space="0" w:color="FFFFFF" w:themeColor="light1"/>
        </w:tcBorders>
      </w:tcPr>
    </w:tblStylePr>
    <w:tblStylePr w:type="lastCol">
      <w:tblPr/>
      <w:tcPr>
        <w:tcBorders>
          <w:left w:val="single" w:sz="4" w:space="0" w:color="FFFFFF" w:themeColor="light1"/>
          <w:right w:val="single" w:sz="32" w:space="0" w:color="F0D37F" w:themeColor="accent3" w:themeTint="98"/>
        </w:tcBorders>
      </w:tcPr>
    </w:tblStylePr>
    <w:tblStylePr w:type="band1Vert">
      <w:tblPr/>
      <w:tcPr>
        <w:tcBorders>
          <w:left w:val="single" w:sz="4" w:space="0" w:color="FFFFFF" w:themeColor="light1"/>
          <w:right w:val="single" w:sz="4" w:space="0" w:color="FFFFFF" w:themeColor="light1"/>
        </w:tcBorders>
        <w:shd w:val="clear" w:color="F0D37F" w:themeColor="accent3" w:themeTint="98" w:fill="F0D37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tblStylePr w:type="band2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style>
  <w:style w:type="table" w:customStyle="1" w:styleId="ListTable5Dark-Accent4">
    <w:name w:val="List Table 5 Dark - Accent 4"/>
    <w:basedOn w:val="a5"/>
    <w:uiPriority w:val="99"/>
    <w:rsid w:val="00A60995"/>
    <w:pPr>
      <w:spacing w:after="0" w:line="240" w:lineRule="auto"/>
    </w:pPr>
    <w:tblPr>
      <w:tblStyleRowBandSize w:val="1"/>
      <w:tblStyleColBandSize w:val="1"/>
      <w:tblBorders>
        <w:top w:val="single" w:sz="32" w:space="0" w:color="A4CCBB" w:themeColor="accent4" w:themeTint="9A"/>
        <w:left w:val="single" w:sz="32" w:space="0" w:color="A4CCBB" w:themeColor="accent4" w:themeTint="9A"/>
        <w:bottom w:val="single" w:sz="32" w:space="0" w:color="A4CCBB" w:themeColor="accent4" w:themeTint="9A"/>
        <w:right w:val="single" w:sz="32" w:space="0" w:color="A4CCBB" w:themeColor="accent4" w:themeTint="9A"/>
      </w:tblBorders>
      <w:shd w:val="clear" w:color="A4CCBB" w:themeColor="accent4" w:themeTint="9A" w:fill="A4CCBB" w:themeFill="accent4" w:themeFillTint="9A"/>
    </w:tblPr>
    <w:tblStylePr w:type="firstRow">
      <w:rPr>
        <w:rFonts w:ascii="Arial" w:hAnsi="Arial"/>
        <w:b/>
        <w:color w:val="FFFFFF" w:themeColor="light1"/>
        <w:sz w:val="22"/>
      </w:rPr>
      <w:tblPr/>
      <w:tcPr>
        <w:tcBorders>
          <w:top w:val="single" w:sz="32" w:space="0" w:color="A4CCBB" w:themeColor="accent4" w:themeTint="9A"/>
          <w:bottom w:val="single" w:sz="12" w:space="0" w:color="FFFFFF" w:themeColor="light1"/>
        </w:tcBorders>
        <w:shd w:val="clear" w:color="A4CCBB" w:themeColor="accent4" w:themeTint="9A" w:fill="A4CCBB"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4CCBB" w:themeColor="accent4" w:themeTint="9A"/>
          <w:right w:val="single" w:sz="4" w:space="0" w:color="FFFFFF" w:themeColor="light1"/>
        </w:tcBorders>
      </w:tcPr>
    </w:tblStylePr>
    <w:tblStylePr w:type="lastCol">
      <w:tblPr/>
      <w:tcPr>
        <w:tcBorders>
          <w:left w:val="single" w:sz="4" w:space="0" w:color="FFFFFF" w:themeColor="light1"/>
          <w:right w:val="single" w:sz="32" w:space="0" w:color="A4CCBB" w:themeColor="accent4" w:themeTint="9A"/>
        </w:tcBorders>
      </w:tcPr>
    </w:tblStylePr>
    <w:tblStylePr w:type="band1Vert">
      <w:tblPr/>
      <w:tcPr>
        <w:tcBorders>
          <w:left w:val="single" w:sz="4" w:space="0" w:color="FFFFFF" w:themeColor="light1"/>
          <w:right w:val="single" w:sz="4" w:space="0" w:color="FFFFFF" w:themeColor="light1"/>
        </w:tcBorders>
        <w:shd w:val="clear" w:color="A4CCBB" w:themeColor="accent4" w:themeTint="9A" w:fill="A4CCBB"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tblStylePr w:type="band2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style>
  <w:style w:type="table" w:customStyle="1" w:styleId="ListTable5Dark-Accent5">
    <w:name w:val="List Table 5 Dark - Accent 5"/>
    <w:basedOn w:val="a5"/>
    <w:uiPriority w:val="99"/>
    <w:rsid w:val="00A60995"/>
    <w:pPr>
      <w:spacing w:after="0" w:line="240" w:lineRule="auto"/>
    </w:pPr>
    <w:tblPr>
      <w:tblStyleRowBandSize w:val="1"/>
      <w:tblStyleColBandSize w:val="1"/>
      <w:tblBorders>
        <w:top w:val="single" w:sz="32" w:space="0" w:color="94B5C5" w:themeColor="accent5" w:themeTint="9A"/>
        <w:left w:val="single" w:sz="32" w:space="0" w:color="94B5C5" w:themeColor="accent5" w:themeTint="9A"/>
        <w:bottom w:val="single" w:sz="32" w:space="0" w:color="94B5C5" w:themeColor="accent5" w:themeTint="9A"/>
        <w:right w:val="single" w:sz="32" w:space="0" w:color="94B5C5" w:themeColor="accent5" w:themeTint="9A"/>
      </w:tblBorders>
      <w:shd w:val="clear" w:color="94B5C5" w:themeColor="accent5" w:themeTint="9A" w:fill="94B5C5" w:themeFill="accent5" w:themeFillTint="9A"/>
    </w:tblPr>
    <w:tblStylePr w:type="firstRow">
      <w:rPr>
        <w:rFonts w:ascii="Arial" w:hAnsi="Arial"/>
        <w:b/>
        <w:color w:val="FFFFFF" w:themeColor="light1"/>
        <w:sz w:val="22"/>
      </w:rPr>
      <w:tblPr/>
      <w:tcPr>
        <w:tcBorders>
          <w:top w:val="single" w:sz="32" w:space="0" w:color="94B5C5" w:themeColor="accent5" w:themeTint="9A"/>
          <w:bottom w:val="single" w:sz="12" w:space="0" w:color="FFFFFF" w:themeColor="light1"/>
        </w:tcBorders>
        <w:shd w:val="clear" w:color="94B5C5" w:themeColor="accent5" w:themeTint="9A" w:fill="94B5C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4B5C5" w:themeColor="accent5" w:themeTint="9A"/>
          <w:right w:val="single" w:sz="4" w:space="0" w:color="FFFFFF" w:themeColor="light1"/>
        </w:tcBorders>
      </w:tcPr>
    </w:tblStylePr>
    <w:tblStylePr w:type="lastCol">
      <w:tblPr/>
      <w:tcPr>
        <w:tcBorders>
          <w:left w:val="single" w:sz="4" w:space="0" w:color="FFFFFF" w:themeColor="light1"/>
          <w:right w:val="single" w:sz="32" w:space="0" w:color="94B5C5" w:themeColor="accent5" w:themeTint="9A"/>
        </w:tcBorders>
      </w:tcPr>
    </w:tblStylePr>
    <w:tblStylePr w:type="band1Vert">
      <w:tblPr/>
      <w:tcPr>
        <w:tcBorders>
          <w:left w:val="single" w:sz="4" w:space="0" w:color="FFFFFF" w:themeColor="light1"/>
          <w:right w:val="single" w:sz="4" w:space="0" w:color="FFFFFF" w:themeColor="light1"/>
        </w:tcBorders>
        <w:shd w:val="clear" w:color="94B5C5" w:themeColor="accent5" w:themeTint="9A" w:fill="94B5C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tblStylePr w:type="band2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style>
  <w:style w:type="table" w:customStyle="1" w:styleId="ListTable5Dark-Accent6">
    <w:name w:val="List Table 5 Dark - Accent 6"/>
    <w:basedOn w:val="a5"/>
    <w:uiPriority w:val="99"/>
    <w:rsid w:val="00A60995"/>
    <w:pPr>
      <w:spacing w:after="0" w:line="240" w:lineRule="auto"/>
    </w:pPr>
    <w:tblPr>
      <w:tblStyleRowBandSize w:val="1"/>
      <w:tblStyleColBandSize w:val="1"/>
      <w:tblBorders>
        <w:top w:val="single" w:sz="32" w:space="0" w:color="C59EC3" w:themeColor="accent6" w:themeTint="98"/>
        <w:left w:val="single" w:sz="32" w:space="0" w:color="C59EC3" w:themeColor="accent6" w:themeTint="98"/>
        <w:bottom w:val="single" w:sz="32" w:space="0" w:color="C59EC3" w:themeColor="accent6" w:themeTint="98"/>
        <w:right w:val="single" w:sz="32" w:space="0" w:color="C59EC3" w:themeColor="accent6" w:themeTint="98"/>
      </w:tblBorders>
      <w:shd w:val="clear" w:color="C59EC3" w:themeColor="accent6" w:themeTint="98" w:fill="C59EC3" w:themeFill="accent6" w:themeFillTint="98"/>
    </w:tblPr>
    <w:tblStylePr w:type="firstRow">
      <w:rPr>
        <w:rFonts w:ascii="Arial" w:hAnsi="Arial"/>
        <w:b/>
        <w:color w:val="FFFFFF" w:themeColor="light1"/>
        <w:sz w:val="22"/>
      </w:rPr>
      <w:tblPr/>
      <w:tcPr>
        <w:tcBorders>
          <w:top w:val="single" w:sz="32" w:space="0" w:color="C59EC3" w:themeColor="accent6" w:themeTint="98"/>
          <w:bottom w:val="single" w:sz="12" w:space="0" w:color="FFFFFF" w:themeColor="light1"/>
        </w:tcBorders>
        <w:shd w:val="clear" w:color="C59EC3" w:themeColor="accent6" w:themeTint="98" w:fill="C59EC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59EC3" w:themeColor="accent6" w:themeTint="98"/>
          <w:right w:val="single" w:sz="4" w:space="0" w:color="FFFFFF" w:themeColor="light1"/>
        </w:tcBorders>
      </w:tcPr>
    </w:tblStylePr>
    <w:tblStylePr w:type="lastCol">
      <w:tblPr/>
      <w:tcPr>
        <w:tcBorders>
          <w:left w:val="single" w:sz="4" w:space="0" w:color="FFFFFF" w:themeColor="light1"/>
          <w:right w:val="single" w:sz="32" w:space="0" w:color="C59EC3" w:themeColor="accent6" w:themeTint="98"/>
        </w:tcBorders>
      </w:tcPr>
    </w:tblStylePr>
    <w:tblStylePr w:type="band1Vert">
      <w:tblPr/>
      <w:tcPr>
        <w:tcBorders>
          <w:left w:val="single" w:sz="4" w:space="0" w:color="FFFFFF" w:themeColor="light1"/>
          <w:right w:val="single" w:sz="4" w:space="0" w:color="FFFFFF" w:themeColor="light1"/>
        </w:tcBorders>
        <w:shd w:val="clear" w:color="C59EC3" w:themeColor="accent6" w:themeTint="98" w:fill="C59EC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tblStylePr w:type="band2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style>
  <w:style w:type="table" w:customStyle="1" w:styleId="-611">
    <w:name w:val="Список-таблица 6 цветная1"/>
    <w:basedOn w:val="a5"/>
    <w:uiPriority w:val="99"/>
    <w:rsid w:val="00A6099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5"/>
    <w:uiPriority w:val="99"/>
    <w:rsid w:val="00A60995"/>
    <w:pPr>
      <w:spacing w:after="0" w:line="240" w:lineRule="auto"/>
    </w:pPr>
    <w:tblPr>
      <w:tblStyleRowBandSize w:val="1"/>
      <w:tblStyleColBandSize w:val="1"/>
      <w:tblBorders>
        <w:top w:val="single" w:sz="4" w:space="0" w:color="B01513" w:themeColor="accent1"/>
        <w:bottom w:val="single" w:sz="4" w:space="0" w:color="B01513" w:themeColor="accent1"/>
      </w:tblBorders>
    </w:tblPr>
    <w:tblStylePr w:type="firstRow">
      <w:rPr>
        <w:b/>
        <w:color w:val="660C0B" w:themeColor="accent1" w:themeShade="95"/>
      </w:rPr>
      <w:tblPr/>
      <w:tcPr>
        <w:tcBorders>
          <w:bottom w:val="single" w:sz="4" w:space="0" w:color="B01513" w:themeColor="accent1"/>
        </w:tcBorders>
      </w:tcPr>
    </w:tblStylePr>
    <w:tblStylePr w:type="lastRow">
      <w:rPr>
        <w:b/>
        <w:color w:val="660C0B" w:themeColor="accent1" w:themeShade="95"/>
      </w:rPr>
      <w:tblPr/>
      <w:tcPr>
        <w:tcBorders>
          <w:top w:val="single" w:sz="4" w:space="0" w:color="B01513" w:themeColor="accent1"/>
        </w:tcBorders>
      </w:tcPr>
    </w:tblStylePr>
    <w:tblStylePr w:type="firstCol">
      <w:rPr>
        <w:b/>
        <w:color w:val="660C0B" w:themeColor="accent1" w:themeShade="95"/>
      </w:rPr>
    </w:tblStylePr>
    <w:tblStylePr w:type="lastCol">
      <w:rPr>
        <w:b/>
        <w:color w:val="660C0B" w:themeColor="accent1" w:themeShade="95"/>
      </w:r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6Colorful-Accent2">
    <w:name w:val="List Table 6 Colorful - Accent 2"/>
    <w:basedOn w:val="a5"/>
    <w:uiPriority w:val="99"/>
    <w:rsid w:val="00A60995"/>
    <w:pPr>
      <w:spacing w:after="0" w:line="240" w:lineRule="auto"/>
    </w:pPr>
    <w:tblPr>
      <w:tblStyleRowBandSize w:val="1"/>
      <w:tblStyleColBandSize w:val="1"/>
      <w:tblBorders>
        <w:top w:val="single" w:sz="4" w:space="0" w:color="F4A170" w:themeColor="accent2" w:themeTint="97"/>
        <w:bottom w:val="single" w:sz="4" w:space="0" w:color="F4A170" w:themeColor="accent2" w:themeTint="97"/>
      </w:tblBorders>
    </w:tblPr>
    <w:tblStylePr w:type="firstRow">
      <w:rPr>
        <w:b/>
        <w:color w:val="F4A170" w:themeColor="accent2" w:themeTint="97" w:themeShade="95"/>
      </w:rPr>
      <w:tblPr/>
      <w:tcPr>
        <w:tcBorders>
          <w:bottom w:val="single" w:sz="4" w:space="0" w:color="F4A170" w:themeColor="accent2" w:themeTint="97"/>
        </w:tcBorders>
      </w:tcPr>
    </w:tblStylePr>
    <w:tblStylePr w:type="lastRow">
      <w:rPr>
        <w:b/>
        <w:color w:val="F4A170" w:themeColor="accent2" w:themeTint="97" w:themeShade="95"/>
      </w:rPr>
      <w:tblPr/>
      <w:tcPr>
        <w:tcBorders>
          <w:top w:val="single" w:sz="4" w:space="0" w:color="F4A170" w:themeColor="accent2" w:themeTint="97"/>
        </w:tcBorders>
      </w:tc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6Colorful-Accent3">
    <w:name w:val="List Table 6 Colorful - Accent 3"/>
    <w:basedOn w:val="a5"/>
    <w:uiPriority w:val="99"/>
    <w:rsid w:val="00A60995"/>
    <w:pPr>
      <w:spacing w:after="0" w:line="240" w:lineRule="auto"/>
    </w:pPr>
    <w:tblPr>
      <w:tblStyleRowBandSize w:val="1"/>
      <w:tblStyleColBandSize w:val="1"/>
      <w:tblBorders>
        <w:top w:val="single" w:sz="4" w:space="0" w:color="F0D37F" w:themeColor="accent3" w:themeTint="98"/>
        <w:bottom w:val="single" w:sz="4" w:space="0" w:color="F0D37F" w:themeColor="accent3" w:themeTint="98"/>
      </w:tblBorders>
    </w:tblPr>
    <w:tblStylePr w:type="firstRow">
      <w:rPr>
        <w:b/>
        <w:color w:val="F0D37F" w:themeColor="accent3" w:themeTint="98" w:themeShade="95"/>
      </w:rPr>
      <w:tblPr/>
      <w:tcPr>
        <w:tcBorders>
          <w:bottom w:val="single" w:sz="4" w:space="0" w:color="F0D37F" w:themeColor="accent3" w:themeTint="98"/>
        </w:tcBorders>
      </w:tcPr>
    </w:tblStylePr>
    <w:tblStylePr w:type="lastRow">
      <w:rPr>
        <w:b/>
        <w:color w:val="F0D37F" w:themeColor="accent3" w:themeTint="98" w:themeShade="95"/>
      </w:rPr>
      <w:tblPr/>
      <w:tcPr>
        <w:tcBorders>
          <w:top w:val="single" w:sz="4" w:space="0" w:color="F0D37F" w:themeColor="accent3" w:themeTint="98"/>
        </w:tcBorders>
      </w:tcPr>
    </w:tblStylePr>
    <w:tblStylePr w:type="firstCol">
      <w:rPr>
        <w:b/>
        <w:color w:val="F0D37F" w:themeColor="accent3" w:themeTint="98" w:themeShade="95"/>
      </w:rPr>
    </w:tblStylePr>
    <w:tblStylePr w:type="lastCol">
      <w:rPr>
        <w:b/>
        <w:color w:val="F0D37F" w:themeColor="accent3" w:themeTint="98" w:themeShade="95"/>
      </w:r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6Colorful-Accent4">
    <w:name w:val="List Table 6 Colorful - Accent 4"/>
    <w:basedOn w:val="a5"/>
    <w:uiPriority w:val="99"/>
    <w:rsid w:val="00A60995"/>
    <w:pPr>
      <w:spacing w:after="0" w:line="240" w:lineRule="auto"/>
    </w:pPr>
    <w:tblPr>
      <w:tblStyleRowBandSize w:val="1"/>
      <w:tblStyleColBandSize w:val="1"/>
      <w:tblBorders>
        <w:top w:val="single" w:sz="4" w:space="0" w:color="A4CCBB" w:themeColor="accent4" w:themeTint="9A"/>
        <w:bottom w:val="single" w:sz="4" w:space="0" w:color="A4CCBB" w:themeColor="accent4" w:themeTint="9A"/>
      </w:tblBorders>
    </w:tblPr>
    <w:tblStylePr w:type="firstRow">
      <w:rPr>
        <w:b/>
        <w:color w:val="A4CCBB" w:themeColor="accent4" w:themeTint="9A" w:themeShade="95"/>
      </w:rPr>
      <w:tblPr/>
      <w:tcPr>
        <w:tcBorders>
          <w:bottom w:val="single" w:sz="4" w:space="0" w:color="A4CCBB" w:themeColor="accent4" w:themeTint="9A"/>
        </w:tcBorders>
      </w:tcPr>
    </w:tblStylePr>
    <w:tblStylePr w:type="lastRow">
      <w:rPr>
        <w:b/>
        <w:color w:val="A4CCBB" w:themeColor="accent4" w:themeTint="9A" w:themeShade="95"/>
      </w:rPr>
      <w:tblPr/>
      <w:tcPr>
        <w:tcBorders>
          <w:top w:val="single" w:sz="4" w:space="0" w:color="A4CCBB" w:themeColor="accent4" w:themeTint="9A"/>
        </w:tcBorders>
      </w:tc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6Colorful-Accent5">
    <w:name w:val="List Table 6 Colorful - Accent 5"/>
    <w:basedOn w:val="a5"/>
    <w:uiPriority w:val="99"/>
    <w:rsid w:val="00A60995"/>
    <w:pPr>
      <w:spacing w:after="0" w:line="240" w:lineRule="auto"/>
    </w:pPr>
    <w:tblPr>
      <w:tblStyleRowBandSize w:val="1"/>
      <w:tblStyleColBandSize w:val="1"/>
      <w:tblBorders>
        <w:top w:val="single" w:sz="4" w:space="0" w:color="94B5C5" w:themeColor="accent5" w:themeTint="9A"/>
        <w:bottom w:val="single" w:sz="4" w:space="0" w:color="94B5C5" w:themeColor="accent5" w:themeTint="9A"/>
      </w:tblBorders>
    </w:tblPr>
    <w:tblStylePr w:type="firstRow">
      <w:rPr>
        <w:b/>
        <w:color w:val="94B5C5" w:themeColor="accent5" w:themeTint="9A" w:themeShade="95"/>
      </w:rPr>
      <w:tblPr/>
      <w:tcPr>
        <w:tcBorders>
          <w:bottom w:val="single" w:sz="4" w:space="0" w:color="94B5C5" w:themeColor="accent5" w:themeTint="9A"/>
        </w:tcBorders>
      </w:tcPr>
    </w:tblStylePr>
    <w:tblStylePr w:type="lastRow">
      <w:rPr>
        <w:b/>
        <w:color w:val="94B5C5" w:themeColor="accent5" w:themeTint="9A" w:themeShade="95"/>
      </w:rPr>
      <w:tblPr/>
      <w:tcPr>
        <w:tcBorders>
          <w:top w:val="single" w:sz="4" w:space="0" w:color="94B5C5" w:themeColor="accent5" w:themeTint="9A"/>
        </w:tcBorders>
      </w:tcPr>
    </w:tblStylePr>
    <w:tblStylePr w:type="firstCol">
      <w:rPr>
        <w:b/>
        <w:color w:val="94B5C5" w:themeColor="accent5" w:themeTint="9A" w:themeShade="95"/>
      </w:rPr>
    </w:tblStylePr>
    <w:tblStylePr w:type="lastCol">
      <w:rPr>
        <w:b/>
        <w:color w:val="94B5C5" w:themeColor="accent5" w:themeTint="9A" w:themeShade="95"/>
      </w:r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6Colorful-Accent6">
    <w:name w:val="List Table 6 Colorful - Accent 6"/>
    <w:basedOn w:val="a5"/>
    <w:uiPriority w:val="99"/>
    <w:rsid w:val="00A60995"/>
    <w:pPr>
      <w:spacing w:after="0" w:line="240" w:lineRule="auto"/>
    </w:pPr>
    <w:tblPr>
      <w:tblStyleRowBandSize w:val="1"/>
      <w:tblStyleColBandSize w:val="1"/>
      <w:tblBorders>
        <w:top w:val="single" w:sz="4" w:space="0" w:color="C59EC3" w:themeColor="accent6" w:themeTint="98"/>
        <w:bottom w:val="single" w:sz="4" w:space="0" w:color="C59EC3" w:themeColor="accent6" w:themeTint="98"/>
      </w:tblBorders>
    </w:tblPr>
    <w:tblStylePr w:type="firstRow">
      <w:rPr>
        <w:b/>
        <w:color w:val="C59EC3" w:themeColor="accent6" w:themeTint="98" w:themeShade="95"/>
      </w:rPr>
      <w:tblPr/>
      <w:tcPr>
        <w:tcBorders>
          <w:bottom w:val="single" w:sz="4" w:space="0" w:color="C59EC3" w:themeColor="accent6" w:themeTint="98"/>
        </w:tcBorders>
      </w:tcPr>
    </w:tblStylePr>
    <w:tblStylePr w:type="lastRow">
      <w:rPr>
        <w:b/>
        <w:color w:val="C59EC3" w:themeColor="accent6" w:themeTint="98" w:themeShade="95"/>
      </w:rPr>
      <w:tblPr/>
      <w:tcPr>
        <w:tcBorders>
          <w:top w:val="single" w:sz="4" w:space="0" w:color="C59EC3" w:themeColor="accent6" w:themeTint="98"/>
        </w:tcBorders>
      </w:tcPr>
    </w:tblStylePr>
    <w:tblStylePr w:type="firstCol">
      <w:rPr>
        <w:b/>
        <w:color w:val="C59EC3" w:themeColor="accent6" w:themeTint="98" w:themeShade="95"/>
      </w:rPr>
    </w:tblStylePr>
    <w:tblStylePr w:type="lastCol">
      <w:rPr>
        <w:b/>
        <w:color w:val="C59EC3" w:themeColor="accent6" w:themeTint="98" w:themeShade="95"/>
      </w:r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710">
    <w:name w:val="Список-таблица 7 цветная1"/>
    <w:basedOn w:val="a5"/>
    <w:uiPriority w:val="99"/>
    <w:rsid w:val="00A60995"/>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5"/>
    <w:uiPriority w:val="99"/>
    <w:rsid w:val="00A60995"/>
    <w:pPr>
      <w:spacing w:after="0" w:line="240" w:lineRule="auto"/>
    </w:pPr>
    <w:tblPr>
      <w:tblStyleRowBandSize w:val="1"/>
      <w:tblStyleColBandSize w:val="1"/>
      <w:tblBorders>
        <w:right w:val="single" w:sz="4" w:space="0" w:color="B01513" w:themeColor="accent1"/>
      </w:tblBorders>
    </w:tblPr>
    <w:tblStylePr w:type="firstRow">
      <w:rPr>
        <w:rFonts w:ascii="Arial" w:hAnsi="Arial"/>
        <w:i/>
        <w:color w:val="660C0B" w:themeColor="accent1" w:themeShade="95"/>
        <w:sz w:val="22"/>
      </w:rPr>
      <w:tblPr/>
      <w:tcPr>
        <w:tcBorders>
          <w:top w:val="none" w:sz="4" w:space="0" w:color="000000"/>
          <w:left w:val="none" w:sz="4" w:space="0" w:color="000000"/>
          <w:bottom w:val="single" w:sz="4" w:space="0" w:color="B01513" w:themeColor="accent1"/>
          <w:right w:val="none" w:sz="4" w:space="0" w:color="000000"/>
        </w:tcBorders>
        <w:shd w:val="clear" w:color="FFFFFF" w:themeColor="light1" w:fill="FFFFFF" w:themeFill="light1"/>
      </w:tcPr>
    </w:tblStylePr>
    <w:tblStylePr w:type="lastRow">
      <w:rPr>
        <w:rFonts w:ascii="Arial" w:hAnsi="Arial"/>
        <w:i/>
        <w:color w:val="660C0B" w:themeColor="accent1" w:themeShade="95"/>
        <w:sz w:val="22"/>
      </w:rPr>
      <w:tblPr/>
      <w:tcPr>
        <w:tcBorders>
          <w:top w:val="single" w:sz="4" w:space="0" w:color="B01513"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60C0B" w:themeColor="accent1" w:themeShade="95"/>
        <w:sz w:val="22"/>
      </w:rPr>
      <w:tblPr/>
      <w:tcPr>
        <w:tcBorders>
          <w:top w:val="none" w:sz="4" w:space="0" w:color="000000"/>
          <w:left w:val="none" w:sz="4" w:space="0" w:color="000000"/>
          <w:bottom w:val="none" w:sz="4" w:space="0" w:color="000000"/>
          <w:right w:val="single" w:sz="4" w:space="0" w:color="B01513" w:themeColor="accent1"/>
        </w:tcBorders>
        <w:shd w:val="clear" w:color="FFFFFF" w:fill="auto"/>
      </w:tcPr>
    </w:tblStylePr>
    <w:tblStylePr w:type="lastCol">
      <w:rPr>
        <w:rFonts w:ascii="Arial" w:hAnsi="Arial"/>
        <w:i/>
        <w:color w:val="660C0B" w:themeColor="accent1" w:themeShade="95"/>
        <w:sz w:val="22"/>
      </w:rPr>
      <w:tblPr/>
      <w:tcPr>
        <w:tcBorders>
          <w:top w:val="none" w:sz="4" w:space="0" w:color="000000"/>
          <w:left w:val="single" w:sz="4" w:space="0" w:color="B01513" w:themeColor="accent1"/>
          <w:bottom w:val="none" w:sz="4" w:space="0" w:color="000000"/>
          <w:right w:val="none" w:sz="4" w:space="0" w:color="000000"/>
        </w:tcBorders>
        <w:shd w:val="clear" w:color="FFFFFF" w:fill="auto"/>
      </w:tc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7Colorful-Accent2">
    <w:name w:val="List Table 7 Colorful - Accent 2"/>
    <w:basedOn w:val="a5"/>
    <w:uiPriority w:val="99"/>
    <w:rsid w:val="00A60995"/>
    <w:pPr>
      <w:spacing w:after="0" w:line="240" w:lineRule="auto"/>
    </w:pPr>
    <w:tblPr>
      <w:tblStyleRowBandSize w:val="1"/>
      <w:tblStyleColBandSize w:val="1"/>
      <w:tblBorders>
        <w:right w:val="single" w:sz="4" w:space="0" w:color="F4A170" w:themeColor="accent2" w:themeTint="97"/>
      </w:tblBorders>
    </w:tblPr>
    <w:tblStylePr w:type="firstRow">
      <w:rPr>
        <w:rFonts w:ascii="Arial" w:hAnsi="Arial"/>
        <w:i/>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i/>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7Colorful-Accent3">
    <w:name w:val="List Table 7 Colorful - Accent 3"/>
    <w:basedOn w:val="a5"/>
    <w:uiPriority w:val="99"/>
    <w:rsid w:val="00A60995"/>
    <w:pPr>
      <w:spacing w:after="0" w:line="240" w:lineRule="auto"/>
    </w:pPr>
    <w:tblPr>
      <w:tblStyleRowBandSize w:val="1"/>
      <w:tblStyleColBandSize w:val="1"/>
      <w:tblBorders>
        <w:right w:val="single" w:sz="4" w:space="0" w:color="F0D37F" w:themeColor="accent3" w:themeTint="98"/>
      </w:tblBorders>
    </w:tblPr>
    <w:tblStylePr w:type="firstRow">
      <w:rPr>
        <w:rFonts w:ascii="Arial" w:hAnsi="Arial"/>
        <w:i/>
        <w:color w:val="F0D37F" w:themeColor="accent3" w:themeTint="98" w:themeShade="95"/>
        <w:sz w:val="22"/>
      </w:rPr>
      <w:tblPr/>
      <w:tcPr>
        <w:tcBorders>
          <w:top w:val="none" w:sz="4" w:space="0" w:color="000000"/>
          <w:left w:val="none" w:sz="4" w:space="0" w:color="000000"/>
          <w:bottom w:val="single" w:sz="4" w:space="0" w:color="F0D37F" w:themeColor="accent3" w:themeTint="98"/>
          <w:right w:val="none" w:sz="4" w:space="0" w:color="000000"/>
        </w:tcBorders>
        <w:shd w:val="clear" w:color="FFFFFF" w:themeColor="light1" w:fill="FFFFFF" w:themeFill="light1"/>
      </w:tcPr>
    </w:tblStylePr>
    <w:tblStylePr w:type="lastRow">
      <w:rPr>
        <w:rFonts w:ascii="Arial" w:hAnsi="Arial"/>
        <w:i/>
        <w:color w:val="F0D37F" w:themeColor="accent3" w:themeTint="98" w:themeShade="95"/>
        <w:sz w:val="22"/>
      </w:rPr>
      <w:tblPr/>
      <w:tcPr>
        <w:tcBorders>
          <w:top w:val="single" w:sz="4" w:space="0" w:color="F0D37F"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0D37F" w:themeColor="accent3" w:themeTint="98" w:themeShade="95"/>
        <w:sz w:val="22"/>
      </w:rPr>
      <w:tblPr/>
      <w:tcPr>
        <w:tcBorders>
          <w:top w:val="none" w:sz="4" w:space="0" w:color="000000"/>
          <w:left w:val="none" w:sz="4" w:space="0" w:color="000000"/>
          <w:bottom w:val="none" w:sz="4" w:space="0" w:color="000000"/>
          <w:right w:val="single" w:sz="4" w:space="0" w:color="F0D37F" w:themeColor="accent3" w:themeTint="98"/>
        </w:tcBorders>
        <w:shd w:val="clear" w:color="FFFFFF" w:fill="auto"/>
      </w:tcPr>
    </w:tblStylePr>
    <w:tblStylePr w:type="lastCol">
      <w:rPr>
        <w:rFonts w:ascii="Arial" w:hAnsi="Arial"/>
        <w:i/>
        <w:color w:val="F0D37F" w:themeColor="accent3" w:themeTint="98" w:themeShade="95"/>
        <w:sz w:val="22"/>
      </w:rPr>
      <w:tblPr/>
      <w:tcPr>
        <w:tcBorders>
          <w:top w:val="none" w:sz="4" w:space="0" w:color="000000"/>
          <w:left w:val="single" w:sz="4" w:space="0" w:color="F0D37F" w:themeColor="accent3" w:themeTint="98"/>
          <w:bottom w:val="none" w:sz="4" w:space="0" w:color="000000"/>
          <w:right w:val="none" w:sz="4" w:space="0" w:color="000000"/>
        </w:tcBorders>
        <w:shd w:val="clear" w:color="FFFFFF" w:fill="auto"/>
      </w:tc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7Colorful-Accent4">
    <w:name w:val="List Table 7 Colorful - Accent 4"/>
    <w:basedOn w:val="a5"/>
    <w:uiPriority w:val="99"/>
    <w:rsid w:val="00A60995"/>
    <w:pPr>
      <w:spacing w:after="0" w:line="240" w:lineRule="auto"/>
    </w:pPr>
    <w:tblPr>
      <w:tblStyleRowBandSize w:val="1"/>
      <w:tblStyleColBandSize w:val="1"/>
      <w:tblBorders>
        <w:right w:val="single" w:sz="4" w:space="0" w:color="A4CCBB" w:themeColor="accent4" w:themeTint="9A"/>
      </w:tblBorders>
    </w:tblPr>
    <w:tblStylePr w:type="firstRow">
      <w:rPr>
        <w:rFonts w:ascii="Arial" w:hAnsi="Arial"/>
        <w:i/>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i/>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7Colorful-Accent5">
    <w:name w:val="List Table 7 Colorful - Accent 5"/>
    <w:basedOn w:val="a5"/>
    <w:uiPriority w:val="99"/>
    <w:rsid w:val="00A60995"/>
    <w:pPr>
      <w:spacing w:after="0" w:line="240" w:lineRule="auto"/>
    </w:pPr>
    <w:tblPr>
      <w:tblStyleRowBandSize w:val="1"/>
      <w:tblStyleColBandSize w:val="1"/>
      <w:tblBorders>
        <w:right w:val="single" w:sz="4" w:space="0" w:color="94B5C5" w:themeColor="accent5" w:themeTint="9A"/>
      </w:tblBorders>
    </w:tblPr>
    <w:tblStylePr w:type="firstRow">
      <w:rPr>
        <w:rFonts w:ascii="Arial" w:hAnsi="Arial"/>
        <w:i/>
        <w:color w:val="94B5C5" w:themeColor="accent5" w:themeTint="9A" w:themeShade="95"/>
        <w:sz w:val="22"/>
      </w:rPr>
      <w:tblPr/>
      <w:tcPr>
        <w:tcBorders>
          <w:top w:val="none" w:sz="4" w:space="0" w:color="000000"/>
          <w:left w:val="none" w:sz="4" w:space="0" w:color="000000"/>
          <w:bottom w:val="single" w:sz="4" w:space="0" w:color="94B5C5" w:themeColor="accent5" w:themeTint="9A"/>
          <w:right w:val="none" w:sz="4" w:space="0" w:color="000000"/>
        </w:tcBorders>
        <w:shd w:val="clear" w:color="FFFFFF" w:themeColor="light1" w:fill="FFFFFF" w:themeFill="light1"/>
      </w:tcPr>
    </w:tblStylePr>
    <w:tblStylePr w:type="lastRow">
      <w:rPr>
        <w:rFonts w:ascii="Arial" w:hAnsi="Arial"/>
        <w:i/>
        <w:color w:val="94B5C5" w:themeColor="accent5" w:themeTint="9A" w:themeShade="95"/>
        <w:sz w:val="22"/>
      </w:rPr>
      <w:tblPr/>
      <w:tcPr>
        <w:tcBorders>
          <w:top w:val="single" w:sz="4" w:space="0" w:color="94B5C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4B5C5" w:themeColor="accent5" w:themeTint="9A" w:themeShade="95"/>
        <w:sz w:val="22"/>
      </w:rPr>
      <w:tblPr/>
      <w:tcPr>
        <w:tcBorders>
          <w:top w:val="none" w:sz="4" w:space="0" w:color="000000"/>
          <w:left w:val="none" w:sz="4" w:space="0" w:color="000000"/>
          <w:bottom w:val="none" w:sz="4" w:space="0" w:color="000000"/>
          <w:right w:val="single" w:sz="4" w:space="0" w:color="94B5C5" w:themeColor="accent5" w:themeTint="9A"/>
        </w:tcBorders>
        <w:shd w:val="clear" w:color="FFFFFF" w:fill="auto"/>
      </w:tcPr>
    </w:tblStylePr>
    <w:tblStylePr w:type="lastCol">
      <w:rPr>
        <w:rFonts w:ascii="Arial" w:hAnsi="Arial"/>
        <w:i/>
        <w:color w:val="94B5C5" w:themeColor="accent5" w:themeTint="9A" w:themeShade="95"/>
        <w:sz w:val="22"/>
      </w:rPr>
      <w:tblPr/>
      <w:tcPr>
        <w:tcBorders>
          <w:top w:val="none" w:sz="4" w:space="0" w:color="000000"/>
          <w:left w:val="single" w:sz="4" w:space="0" w:color="94B5C5" w:themeColor="accent5" w:themeTint="9A"/>
          <w:bottom w:val="none" w:sz="4" w:space="0" w:color="000000"/>
          <w:right w:val="none" w:sz="4" w:space="0" w:color="000000"/>
        </w:tcBorders>
        <w:shd w:val="clear" w:color="FFFFFF" w:fill="auto"/>
      </w:tc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7Colorful-Accent6">
    <w:name w:val="List Table 7 Colorful - Accent 6"/>
    <w:basedOn w:val="a5"/>
    <w:uiPriority w:val="99"/>
    <w:rsid w:val="00A60995"/>
    <w:pPr>
      <w:spacing w:after="0" w:line="240" w:lineRule="auto"/>
    </w:pPr>
    <w:tblPr>
      <w:tblStyleRowBandSize w:val="1"/>
      <w:tblStyleColBandSize w:val="1"/>
      <w:tblBorders>
        <w:right w:val="single" w:sz="4" w:space="0" w:color="C59EC3" w:themeColor="accent6" w:themeTint="98"/>
      </w:tblBorders>
    </w:tblPr>
    <w:tblStylePr w:type="firstRow">
      <w:rPr>
        <w:rFonts w:ascii="Arial" w:hAnsi="Arial"/>
        <w:i/>
        <w:color w:val="C59EC3" w:themeColor="accent6" w:themeTint="98" w:themeShade="95"/>
        <w:sz w:val="22"/>
      </w:rPr>
      <w:tblPr/>
      <w:tcPr>
        <w:tcBorders>
          <w:top w:val="none" w:sz="4" w:space="0" w:color="000000"/>
          <w:left w:val="none" w:sz="4" w:space="0" w:color="000000"/>
          <w:bottom w:val="single" w:sz="4" w:space="0" w:color="C59EC3" w:themeColor="accent6" w:themeTint="98"/>
          <w:right w:val="none" w:sz="4" w:space="0" w:color="000000"/>
        </w:tcBorders>
        <w:shd w:val="clear" w:color="FFFFFF" w:themeColor="light1" w:fill="FFFFFF" w:themeFill="light1"/>
      </w:tcPr>
    </w:tblStylePr>
    <w:tblStylePr w:type="lastRow">
      <w:rPr>
        <w:rFonts w:ascii="Arial" w:hAnsi="Arial"/>
        <w:i/>
        <w:color w:val="C59EC3" w:themeColor="accent6" w:themeTint="98" w:themeShade="95"/>
        <w:sz w:val="22"/>
      </w:rPr>
      <w:tblPr/>
      <w:tcPr>
        <w:tcBorders>
          <w:top w:val="single" w:sz="4" w:space="0" w:color="C59EC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59EC3" w:themeColor="accent6" w:themeTint="98" w:themeShade="95"/>
        <w:sz w:val="22"/>
      </w:rPr>
      <w:tblPr/>
      <w:tcPr>
        <w:tcBorders>
          <w:top w:val="none" w:sz="4" w:space="0" w:color="000000"/>
          <w:left w:val="none" w:sz="4" w:space="0" w:color="000000"/>
          <w:bottom w:val="none" w:sz="4" w:space="0" w:color="000000"/>
          <w:right w:val="single" w:sz="4" w:space="0" w:color="C59EC3" w:themeColor="accent6" w:themeTint="98"/>
        </w:tcBorders>
        <w:shd w:val="clear" w:color="FFFFFF" w:fill="auto"/>
      </w:tcPr>
    </w:tblStylePr>
    <w:tblStylePr w:type="lastCol">
      <w:rPr>
        <w:rFonts w:ascii="Arial" w:hAnsi="Arial"/>
        <w:i/>
        <w:color w:val="C59EC3" w:themeColor="accent6" w:themeTint="98" w:themeShade="95"/>
        <w:sz w:val="22"/>
      </w:rPr>
      <w:tblPr/>
      <w:tcPr>
        <w:tcBorders>
          <w:top w:val="none" w:sz="4" w:space="0" w:color="000000"/>
          <w:left w:val="single" w:sz="4" w:space="0" w:color="C59EC3" w:themeColor="accent6" w:themeTint="98"/>
          <w:bottom w:val="none" w:sz="4" w:space="0" w:color="000000"/>
          <w:right w:val="none" w:sz="4" w:space="0" w:color="000000"/>
        </w:tcBorders>
        <w:shd w:val="clear" w:color="FFFFFF" w:fill="auto"/>
      </w:tc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Lined-Accent">
    <w:name w:val="Lined - Accent"/>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Lined-Accent2">
    <w:name w:val="Lined - Accent 2"/>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Lined-Accent3">
    <w:name w:val="Lined - Accent 3"/>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Lined-Accent4">
    <w:name w:val="Lined - Accent 4"/>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Lined-Accent5">
    <w:name w:val="Lined - Accent 5"/>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Lined-Accent6">
    <w:name w:val="Lined - Accent 6"/>
    <w:basedOn w:val="a5"/>
    <w:uiPriority w:val="99"/>
    <w:rsid w:val="00A60995"/>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Lined-Accent">
    <w:name w:val="Bordered &amp; Lined - Accent"/>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660C0B" w:themeColor="accent1" w:themeShade="95"/>
        <w:left w:val="single" w:sz="4" w:space="0" w:color="660C0B" w:themeColor="accent1" w:themeShade="95"/>
        <w:bottom w:val="single" w:sz="4" w:space="0" w:color="660C0B" w:themeColor="accent1" w:themeShade="95"/>
        <w:right w:val="single" w:sz="4" w:space="0" w:color="660C0B" w:themeColor="accent1" w:themeShade="95"/>
        <w:insideH w:val="single" w:sz="4" w:space="0" w:color="660C0B" w:themeColor="accent1" w:themeShade="95"/>
        <w:insideV w:val="single" w:sz="4" w:space="0" w:color="660C0B" w:themeColor="accent1" w:themeShade="95"/>
      </w:tblBorders>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BorderedLined-Accent2">
    <w:name w:val="Bordered &amp; Lined - Accent 2"/>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88390A" w:themeColor="accent2" w:themeShade="95"/>
        <w:left w:val="single" w:sz="4" w:space="0" w:color="88390A" w:themeColor="accent2" w:themeShade="95"/>
        <w:bottom w:val="single" w:sz="4" w:space="0" w:color="88390A" w:themeColor="accent2" w:themeShade="95"/>
        <w:right w:val="single" w:sz="4" w:space="0" w:color="88390A" w:themeColor="accent2" w:themeShade="95"/>
        <w:insideH w:val="single" w:sz="4" w:space="0" w:color="88390A" w:themeColor="accent2" w:themeShade="95"/>
        <w:insideV w:val="single" w:sz="4" w:space="0" w:color="88390A" w:themeColor="accent2" w:themeShade="95"/>
      </w:tblBorders>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BorderedLined-Accent3">
    <w:name w:val="Bordered &amp; Lined - Accent 3"/>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8D6E10" w:themeColor="accent3" w:themeShade="95"/>
        <w:left w:val="single" w:sz="4" w:space="0" w:color="8D6E10" w:themeColor="accent3" w:themeShade="95"/>
        <w:bottom w:val="single" w:sz="4" w:space="0" w:color="8D6E10" w:themeColor="accent3" w:themeShade="95"/>
        <w:right w:val="single" w:sz="4" w:space="0" w:color="8D6E10" w:themeColor="accent3" w:themeShade="95"/>
        <w:insideH w:val="single" w:sz="4" w:space="0" w:color="8D6E10" w:themeColor="accent3" w:themeShade="95"/>
        <w:insideV w:val="single" w:sz="4" w:space="0" w:color="8D6E10" w:themeColor="accent3" w:themeShade="95"/>
      </w:tblBorders>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BorderedLined-Accent4">
    <w:name w:val="Bordered &amp; Lined - Accent 4"/>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3A6854" w:themeColor="accent4" w:themeShade="95"/>
        <w:left w:val="single" w:sz="4" w:space="0" w:color="3A6854" w:themeColor="accent4" w:themeShade="95"/>
        <w:bottom w:val="single" w:sz="4" w:space="0" w:color="3A6854" w:themeColor="accent4" w:themeShade="95"/>
        <w:right w:val="single" w:sz="4" w:space="0" w:color="3A6854" w:themeColor="accent4" w:themeShade="95"/>
        <w:insideH w:val="single" w:sz="4" w:space="0" w:color="3A6854" w:themeColor="accent4" w:themeShade="95"/>
        <w:insideV w:val="single" w:sz="4" w:space="0" w:color="3A6854" w:themeColor="accent4" w:themeShade="95"/>
      </w:tblBorders>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BorderedLined-Accent5">
    <w:name w:val="Bordered &amp; Lined - Accent 5"/>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314C59" w:themeColor="accent5" w:themeShade="95"/>
        <w:left w:val="single" w:sz="4" w:space="0" w:color="314C59" w:themeColor="accent5" w:themeShade="95"/>
        <w:bottom w:val="single" w:sz="4" w:space="0" w:color="314C59" w:themeColor="accent5" w:themeShade="95"/>
        <w:right w:val="single" w:sz="4" w:space="0" w:color="314C59" w:themeColor="accent5" w:themeShade="95"/>
        <w:insideH w:val="single" w:sz="4" w:space="0" w:color="314C59" w:themeColor="accent5" w:themeShade="95"/>
        <w:insideV w:val="single" w:sz="4" w:space="0" w:color="314C59" w:themeColor="accent5" w:themeShade="95"/>
      </w:tblBorders>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BorderedLined-Accent6">
    <w:name w:val="Bordered &amp; Lined - Accent 6"/>
    <w:basedOn w:val="a5"/>
    <w:uiPriority w:val="99"/>
    <w:rsid w:val="00A60995"/>
    <w:pPr>
      <w:spacing w:after="0" w:line="240" w:lineRule="auto"/>
    </w:pPr>
    <w:rPr>
      <w:color w:val="404040"/>
      <w:sz w:val="20"/>
      <w:szCs w:val="20"/>
      <w:lang w:eastAsia="ru-RU"/>
    </w:rPr>
    <w:tblPr>
      <w:tblStyleRowBandSize w:val="1"/>
      <w:tblStyleColBandSize w:val="1"/>
      <w:tblBorders>
        <w:top w:val="single" w:sz="4" w:space="0" w:color="5C375A" w:themeColor="accent6" w:themeShade="95"/>
        <w:left w:val="single" w:sz="4" w:space="0" w:color="5C375A" w:themeColor="accent6" w:themeShade="95"/>
        <w:bottom w:val="single" w:sz="4" w:space="0" w:color="5C375A" w:themeColor="accent6" w:themeShade="95"/>
        <w:right w:val="single" w:sz="4" w:space="0" w:color="5C375A" w:themeColor="accent6" w:themeShade="95"/>
        <w:insideH w:val="single" w:sz="4" w:space="0" w:color="5C375A" w:themeColor="accent6" w:themeShade="95"/>
        <w:insideV w:val="single" w:sz="4" w:space="0" w:color="5C375A" w:themeColor="accent6" w:themeShade="95"/>
      </w:tblBorders>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
    <w:name w:val="Bordered"/>
    <w:basedOn w:val="a5"/>
    <w:uiPriority w:val="99"/>
    <w:rsid w:val="00A60995"/>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5"/>
    <w:uiPriority w:val="99"/>
    <w:rsid w:val="00A60995"/>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rFonts w:ascii="Arial" w:hAnsi="Arial"/>
        <w:color w:val="404040"/>
        <w:sz w:val="22"/>
      </w:rPr>
      <w:tblPr/>
      <w:tcPr>
        <w:tcBorders>
          <w:bottom w:val="single" w:sz="12" w:space="0" w:color="B01513" w:themeColor="accent1"/>
        </w:tcBorders>
      </w:tcPr>
    </w:tblStylePr>
    <w:tblStylePr w:type="lastRow">
      <w:rPr>
        <w:rFonts w:ascii="Arial" w:hAnsi="Arial"/>
        <w:color w:val="404040"/>
        <w:sz w:val="22"/>
      </w:rPr>
      <w:tblPr/>
      <w:tcPr>
        <w:tcBorders>
          <w:top w:val="single" w:sz="12" w:space="0" w:color="B01513"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01513" w:themeColor="accent1"/>
        </w:tcBorders>
      </w:tc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Bordered-Accent2">
    <w:name w:val="Bordered - Accent 2"/>
    <w:basedOn w:val="a5"/>
    <w:uiPriority w:val="99"/>
    <w:rsid w:val="00A60995"/>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rFonts w:ascii="Arial" w:hAnsi="Arial"/>
        <w:color w:val="404040"/>
        <w:sz w:val="22"/>
      </w:rPr>
      <w:tblPr/>
      <w:tcPr>
        <w:tcBorders>
          <w:bottom w:val="single" w:sz="12" w:space="0" w:color="F4A170" w:themeColor="accent2" w:themeTint="97"/>
        </w:tcBorders>
      </w:tcPr>
    </w:tblStylePr>
    <w:tblStylePr w:type="lastRow">
      <w:rPr>
        <w:rFonts w:ascii="Arial" w:hAnsi="Arial"/>
        <w:color w:val="404040"/>
        <w:sz w:val="22"/>
      </w:rPr>
      <w:tblPr/>
      <w:tcPr>
        <w:tcBorders>
          <w:top w:val="single" w:sz="12" w:space="0" w:color="F4A170"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A170" w:themeColor="accent2" w:themeTint="97"/>
        </w:tcBorders>
      </w:tc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Bordered-Accent3">
    <w:name w:val="Bordered - Accent 3"/>
    <w:basedOn w:val="a5"/>
    <w:uiPriority w:val="99"/>
    <w:rsid w:val="00A60995"/>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rFonts w:ascii="Arial" w:hAnsi="Arial"/>
        <w:color w:val="404040"/>
        <w:sz w:val="22"/>
      </w:rPr>
      <w:tblPr/>
      <w:tcPr>
        <w:tcBorders>
          <w:bottom w:val="single" w:sz="12" w:space="0" w:color="F0D37F" w:themeColor="accent3" w:themeTint="98"/>
        </w:tcBorders>
      </w:tcPr>
    </w:tblStylePr>
    <w:tblStylePr w:type="lastRow">
      <w:rPr>
        <w:rFonts w:ascii="Arial" w:hAnsi="Arial"/>
        <w:color w:val="404040"/>
        <w:sz w:val="22"/>
      </w:rPr>
      <w:tblPr/>
      <w:tcPr>
        <w:tcBorders>
          <w:top w:val="single" w:sz="12" w:space="0" w:color="F0D37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0D37F" w:themeColor="accent3" w:themeTint="98"/>
        </w:tcBorders>
      </w:tc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Bordered-Accent4">
    <w:name w:val="Bordered - Accent 4"/>
    <w:basedOn w:val="a5"/>
    <w:uiPriority w:val="99"/>
    <w:rsid w:val="00A60995"/>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rFonts w:ascii="Arial" w:hAnsi="Arial"/>
        <w:color w:val="404040"/>
        <w:sz w:val="22"/>
      </w:rPr>
      <w:tblPr/>
      <w:tcPr>
        <w:tcBorders>
          <w:bottom w:val="single" w:sz="12" w:space="0" w:color="A4CCBB" w:themeColor="accent4" w:themeTint="9A"/>
        </w:tcBorders>
      </w:tcPr>
    </w:tblStylePr>
    <w:tblStylePr w:type="lastRow">
      <w:rPr>
        <w:rFonts w:ascii="Arial" w:hAnsi="Arial"/>
        <w:color w:val="404040"/>
        <w:sz w:val="22"/>
      </w:rPr>
      <w:tblPr/>
      <w:tcPr>
        <w:tcBorders>
          <w:top w:val="single" w:sz="12" w:space="0" w:color="A4CCBB"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4CCBB" w:themeColor="accent4" w:themeTint="9A"/>
        </w:tcBorders>
      </w:tc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Bordered-Accent5">
    <w:name w:val="Bordered - Accent 5"/>
    <w:basedOn w:val="a5"/>
    <w:uiPriority w:val="99"/>
    <w:rsid w:val="00A60995"/>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rFonts w:ascii="Arial" w:hAnsi="Arial"/>
        <w:color w:val="404040"/>
        <w:sz w:val="22"/>
      </w:rPr>
      <w:tblPr/>
      <w:tcPr>
        <w:tcBorders>
          <w:bottom w:val="single" w:sz="12" w:space="0" w:color="94B5C5" w:themeColor="accent5" w:themeTint="9A"/>
        </w:tcBorders>
      </w:tcPr>
    </w:tblStylePr>
    <w:tblStylePr w:type="lastRow">
      <w:rPr>
        <w:rFonts w:ascii="Arial" w:hAnsi="Arial"/>
        <w:color w:val="404040"/>
        <w:sz w:val="22"/>
      </w:rPr>
      <w:tblPr/>
      <w:tcPr>
        <w:tcBorders>
          <w:top w:val="single" w:sz="12" w:space="0" w:color="94B5C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4B5C5" w:themeColor="accent5" w:themeTint="9A"/>
        </w:tcBorders>
      </w:tc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Bordered-Accent6">
    <w:name w:val="Bordered - Accent 6"/>
    <w:basedOn w:val="a5"/>
    <w:uiPriority w:val="99"/>
    <w:rsid w:val="00A60995"/>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rFonts w:ascii="Arial" w:hAnsi="Arial"/>
        <w:color w:val="404040"/>
        <w:sz w:val="22"/>
      </w:rPr>
      <w:tblPr/>
      <w:tcPr>
        <w:tcBorders>
          <w:bottom w:val="single" w:sz="12" w:space="0" w:color="C59EC3" w:themeColor="accent6" w:themeTint="98"/>
        </w:tcBorders>
      </w:tcPr>
    </w:tblStylePr>
    <w:tblStylePr w:type="lastRow">
      <w:rPr>
        <w:rFonts w:ascii="Arial" w:hAnsi="Arial"/>
        <w:color w:val="404040"/>
        <w:sz w:val="22"/>
      </w:rPr>
      <w:tblPr/>
      <w:tcPr>
        <w:tcBorders>
          <w:top w:val="single" w:sz="12" w:space="0" w:color="C59EC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59EC3" w:themeColor="accent6" w:themeTint="98"/>
        </w:tcBorders>
      </w:tc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character" w:customStyle="1" w:styleId="FootnoteTextChar">
    <w:name w:val="Footnote Text Char"/>
    <w:uiPriority w:val="99"/>
    <w:rsid w:val="00A60995"/>
    <w:rPr>
      <w:sz w:val="18"/>
    </w:rPr>
  </w:style>
  <w:style w:type="paragraph" w:styleId="afffffff6">
    <w:name w:val="table of figures"/>
    <w:basedOn w:val="a3"/>
    <w:next w:val="a3"/>
    <w:uiPriority w:val="99"/>
    <w:unhideWhenUsed/>
    <w:rsid w:val="00A60995"/>
    <w:pPr>
      <w:spacing w:line="276" w:lineRule="auto"/>
      <w:ind w:firstLine="0"/>
      <w:jc w:val="left"/>
    </w:pPr>
    <w:rPr>
      <w:rFonts w:ascii="Calibri" w:eastAsia="Calibri" w:hAnsi="Calibri" w:cs="Times New Roman"/>
      <w:sz w:val="22"/>
    </w:rPr>
  </w:style>
  <w:style w:type="paragraph" w:customStyle="1" w:styleId="58">
    <w:name w:val="Без интервала5"/>
    <w:qFormat/>
    <w:rsid w:val="001B64CD"/>
    <w:pPr>
      <w:spacing w:after="0" w:line="240" w:lineRule="auto"/>
    </w:pPr>
    <w:rPr>
      <w:rFonts w:ascii="Times New Roman" w:eastAsia="Times New Roman" w:hAnsi="Times New Roman" w:cs="Angsana New"/>
      <w:szCs w:val="20"/>
      <w:lang w:bidi="th-TH"/>
    </w:rPr>
  </w:style>
  <w:style w:type="table" w:customStyle="1" w:styleId="TableNormal1">
    <w:name w:val="Table Normal1"/>
    <w:rsid w:val="001B64CD"/>
    <w:pPr>
      <w:spacing w:after="0" w:line="276" w:lineRule="auto"/>
    </w:pPr>
    <w:rPr>
      <w:rFonts w:ascii="Arial" w:eastAsia="Times New Roman" w:hAnsi="Arial" w:cs="Arial"/>
      <w:lang w:val="ru" w:eastAsia="ru-RU"/>
    </w:rPr>
    <w:tblPr>
      <w:tblCellMar>
        <w:top w:w="0" w:type="dxa"/>
        <w:left w:w="0" w:type="dxa"/>
        <w:bottom w:w="0" w:type="dxa"/>
        <w:right w:w="0" w:type="dxa"/>
      </w:tblCellMar>
    </w:tblPr>
  </w:style>
  <w:style w:type="numbering" w:customStyle="1" w:styleId="WWNum1">
    <w:name w:val="WWNum1"/>
    <w:basedOn w:val="a6"/>
    <w:rsid w:val="001B64CD"/>
    <w:pPr>
      <w:numPr>
        <w:numId w:val="7"/>
      </w:numPr>
    </w:pPr>
  </w:style>
  <w:style w:type="character" w:customStyle="1" w:styleId="2ff4">
    <w:name w:val="Обычный (веб) Знак2"/>
    <w:uiPriority w:val="99"/>
    <w:locked/>
    <w:rsid w:val="001B64CD"/>
    <w:rPr>
      <w:rFonts w:ascii="Times New Roman" w:eastAsia="Calibri" w:hAnsi="Times New Roman" w:cs="Times New Roman"/>
      <w:sz w:val="24"/>
      <w:szCs w:val="24"/>
    </w:rPr>
  </w:style>
  <w:style w:type="table" w:styleId="-7">
    <w:name w:val="List Table 7 Colorful"/>
    <w:basedOn w:val="a5"/>
    <w:uiPriority w:val="52"/>
    <w:rsid w:val="001B64CD"/>
    <w:pPr>
      <w:spacing w:after="0" w:line="240" w:lineRule="auto"/>
    </w:pPr>
    <w:rPr>
      <w:rFonts w:ascii="Calibri" w:eastAsia="Times New Roman" w:hAnsi="Calibri" w:cs="Times New Roman"/>
      <w:color w:val="000000"/>
      <w:lang w:eastAsia="ru-RU"/>
    </w:rPr>
    <w:tblPr>
      <w:tblStyleRowBandSize w:val="1"/>
      <w:tblStyleColBandSize w:val="1"/>
    </w:tblPr>
    <w:tblStylePr w:type="firstRow">
      <w:rPr>
        <w:rFonts w:ascii="Cambria" w:eastAsia="Times New Roman" w:hAnsi="Cambria" w:cs="Times New Roman"/>
        <w:i/>
        <w:iCs/>
        <w:sz w:val="26"/>
      </w:rPr>
      <w:tblPr/>
      <w:tcPr>
        <w:tcBorders>
          <w:bottom w:val="single" w:sz="4" w:space="0" w:color="000000"/>
        </w:tcBorders>
        <w:shd w:val="clear" w:color="auto" w:fill="FFFFFF"/>
      </w:tcPr>
    </w:tblStylePr>
    <w:tblStylePr w:type="lastRow">
      <w:rPr>
        <w:rFonts w:ascii="Cambria" w:eastAsia="Times New Roman" w:hAnsi="Cambria" w:cs="Times New Roman"/>
        <w:i/>
        <w:iCs/>
        <w:sz w:val="26"/>
      </w:rPr>
      <w:tblPr/>
      <w:tcPr>
        <w:tcBorders>
          <w:top w:val="single" w:sz="4" w:space="0" w:color="000000"/>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000000"/>
        </w:tcBorders>
        <w:shd w:val="clear" w:color="auto" w:fill="FFFFFF"/>
      </w:tcPr>
    </w:tblStylePr>
    <w:tblStylePr w:type="lastCol">
      <w:rPr>
        <w:rFonts w:ascii="Cambria" w:eastAsia="Times New Roman" w:hAnsi="Cambria"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85">
    <w:name w:val="Нет списка8"/>
    <w:next w:val="a6"/>
    <w:uiPriority w:val="99"/>
    <w:semiHidden/>
    <w:unhideWhenUsed/>
    <w:rsid w:val="00DA48F7"/>
  </w:style>
  <w:style w:type="character" w:customStyle="1" w:styleId="1fff4">
    <w:name w:val="Номер страницы1"/>
    <w:basedOn w:val="1f5"/>
    <w:rsid w:val="00DA48F7"/>
  </w:style>
  <w:style w:type="character" w:customStyle="1" w:styleId="1fff5">
    <w:name w:val="Слабое выделение1"/>
    <w:rsid w:val="00DA48F7"/>
    <w:rPr>
      <w:i/>
      <w:iCs/>
      <w:color w:val="808080"/>
    </w:rPr>
  </w:style>
  <w:style w:type="character" w:customStyle="1" w:styleId="FootnoteCharacters">
    <w:name w:val="Footnote Characters"/>
    <w:basedOn w:val="1f5"/>
    <w:rsid w:val="00DA48F7"/>
    <w:rPr>
      <w:vertAlign w:val="superscript"/>
    </w:rPr>
  </w:style>
  <w:style w:type="character" w:customStyle="1" w:styleId="ListLabel265">
    <w:name w:val="ListLabel 265"/>
    <w:rsid w:val="00DA48F7"/>
    <w:rPr>
      <w:b w:val="0"/>
      <w:i w:val="0"/>
      <w:caps/>
      <w:strike w:val="0"/>
      <w:dstrike w:val="0"/>
      <w:vanish w:val="0"/>
      <w:position w:val="0"/>
      <w:sz w:val="32"/>
      <w:vertAlign w:val="baseline"/>
    </w:rPr>
  </w:style>
  <w:style w:type="character" w:customStyle="1" w:styleId="ListLabel266">
    <w:name w:val="ListLabel 266"/>
    <w:rsid w:val="00DA48F7"/>
    <w:rPr>
      <w:rFonts w:cs="Courier New"/>
    </w:rPr>
  </w:style>
  <w:style w:type="character" w:customStyle="1" w:styleId="ListLabel267">
    <w:name w:val="ListLabel 267"/>
    <w:rsid w:val="00DA48F7"/>
    <w:rPr>
      <w:rFonts w:cs="Courier New"/>
    </w:rPr>
  </w:style>
  <w:style w:type="character" w:customStyle="1" w:styleId="ListLabel268">
    <w:name w:val="ListLabel 268"/>
    <w:rsid w:val="00DA48F7"/>
    <w:rPr>
      <w:b/>
    </w:rPr>
  </w:style>
  <w:style w:type="character" w:customStyle="1" w:styleId="ListLabel269">
    <w:name w:val="ListLabel 269"/>
    <w:rsid w:val="00DA48F7"/>
    <w:rPr>
      <w:rFonts w:cs="Courier New"/>
    </w:rPr>
  </w:style>
  <w:style w:type="character" w:customStyle="1" w:styleId="ListLabel270">
    <w:name w:val="ListLabel 270"/>
    <w:rsid w:val="00DA48F7"/>
    <w:rPr>
      <w:rFonts w:cs="Courier New"/>
    </w:rPr>
  </w:style>
  <w:style w:type="character" w:customStyle="1" w:styleId="ListLabel271">
    <w:name w:val="ListLabel 271"/>
    <w:rsid w:val="00DA48F7"/>
    <w:rPr>
      <w:rFonts w:cs="Courier New"/>
    </w:rPr>
  </w:style>
  <w:style w:type="character" w:customStyle="1" w:styleId="ListLabel272">
    <w:name w:val="ListLabel 272"/>
    <w:rsid w:val="00DA48F7"/>
    <w:rPr>
      <w:spacing w:val="0"/>
      <w:w w:val="100"/>
      <w:kern w:val="0"/>
      <w:sz w:val="28"/>
      <w:szCs w:val="28"/>
    </w:rPr>
  </w:style>
  <w:style w:type="character" w:customStyle="1" w:styleId="ListLabel273">
    <w:name w:val="ListLabel 273"/>
    <w:rsid w:val="00DA48F7"/>
    <w:rPr>
      <w:rFonts w:cs="Times New Roman"/>
      <w:sz w:val="28"/>
      <w:szCs w:val="28"/>
    </w:rPr>
  </w:style>
  <w:style w:type="character" w:customStyle="1" w:styleId="ListLabel274">
    <w:name w:val="ListLabel 274"/>
    <w:rsid w:val="00DA48F7"/>
    <w:rPr>
      <w:rFonts w:cs="Times New Roman"/>
      <w:sz w:val="28"/>
      <w:szCs w:val="28"/>
    </w:rPr>
  </w:style>
  <w:style w:type="character" w:customStyle="1" w:styleId="ListLabel275">
    <w:name w:val="ListLabel 275"/>
    <w:rsid w:val="00DA48F7"/>
    <w:rPr>
      <w:rFonts w:cs="Times New Roman"/>
      <w:sz w:val="28"/>
      <w:szCs w:val="28"/>
    </w:rPr>
  </w:style>
  <w:style w:type="character" w:customStyle="1" w:styleId="ListLabel276">
    <w:name w:val="ListLabel 276"/>
    <w:rsid w:val="00DA48F7"/>
    <w:rPr>
      <w:rFonts w:cs="Times New Roman"/>
      <w:sz w:val="28"/>
      <w:szCs w:val="28"/>
    </w:rPr>
  </w:style>
  <w:style w:type="character" w:customStyle="1" w:styleId="ListLabel277">
    <w:name w:val="ListLabel 277"/>
    <w:rsid w:val="00DA48F7"/>
    <w:rPr>
      <w:rFonts w:cs="Times New Roman"/>
      <w:sz w:val="28"/>
      <w:szCs w:val="28"/>
    </w:rPr>
  </w:style>
  <w:style w:type="character" w:customStyle="1" w:styleId="ListLabel278">
    <w:name w:val="ListLabel 278"/>
    <w:rsid w:val="00DA48F7"/>
    <w:rPr>
      <w:rFonts w:cs="Times New Roman"/>
      <w:sz w:val="28"/>
      <w:szCs w:val="28"/>
    </w:rPr>
  </w:style>
  <w:style w:type="character" w:customStyle="1" w:styleId="ListLabel279">
    <w:name w:val="ListLabel 279"/>
    <w:rsid w:val="00DA48F7"/>
    <w:rPr>
      <w:rFonts w:cs="Times New Roman"/>
      <w:sz w:val="28"/>
      <w:szCs w:val="28"/>
    </w:rPr>
  </w:style>
  <w:style w:type="character" w:customStyle="1" w:styleId="ListLabel280">
    <w:name w:val="ListLabel 280"/>
    <w:rsid w:val="00DA48F7"/>
    <w:rPr>
      <w:rFonts w:cs="Times New Roman"/>
      <w:sz w:val="28"/>
      <w:szCs w:val="28"/>
    </w:rPr>
  </w:style>
  <w:style w:type="character" w:customStyle="1" w:styleId="ListLabel281">
    <w:name w:val="ListLabel 281"/>
    <w:rsid w:val="00DA48F7"/>
    <w:rPr>
      <w:rFonts w:cs="Times New Roman"/>
      <w:sz w:val="28"/>
      <w:szCs w:val="28"/>
    </w:rPr>
  </w:style>
  <w:style w:type="character" w:customStyle="1" w:styleId="ListLabel282">
    <w:name w:val="ListLabel 282"/>
    <w:rsid w:val="00DA48F7"/>
    <w:rPr>
      <w:rFonts w:cs="Courier New"/>
    </w:rPr>
  </w:style>
  <w:style w:type="character" w:customStyle="1" w:styleId="ListLabel283">
    <w:name w:val="ListLabel 283"/>
    <w:rsid w:val="00DA48F7"/>
    <w:rPr>
      <w:rFonts w:cs="Courier New"/>
    </w:rPr>
  </w:style>
  <w:style w:type="character" w:customStyle="1" w:styleId="ListLabel284">
    <w:name w:val="ListLabel 284"/>
    <w:rsid w:val="00DA48F7"/>
    <w:rPr>
      <w:rFonts w:cs="Courier New"/>
    </w:rPr>
  </w:style>
  <w:style w:type="character" w:customStyle="1" w:styleId="ListLabel285">
    <w:name w:val="ListLabel 285"/>
    <w:rsid w:val="00DA48F7"/>
    <w:rPr>
      <w:rFonts w:cs="Courier New"/>
    </w:rPr>
  </w:style>
  <w:style w:type="character" w:customStyle="1" w:styleId="ListLabel286">
    <w:name w:val="ListLabel 286"/>
    <w:rsid w:val="00DA48F7"/>
    <w:rPr>
      <w:rFonts w:cs="Courier New"/>
    </w:rPr>
  </w:style>
  <w:style w:type="character" w:customStyle="1" w:styleId="ListLabel287">
    <w:name w:val="ListLabel 287"/>
    <w:rsid w:val="00DA48F7"/>
    <w:rPr>
      <w:rFonts w:cs="Courier New"/>
    </w:rPr>
  </w:style>
  <w:style w:type="character" w:customStyle="1" w:styleId="ListLabel288">
    <w:name w:val="ListLabel 288"/>
    <w:rsid w:val="00DA48F7"/>
    <w:rPr>
      <w:rFonts w:cs="Courier New"/>
    </w:rPr>
  </w:style>
  <w:style w:type="character" w:customStyle="1" w:styleId="ListLabel289">
    <w:name w:val="ListLabel 289"/>
    <w:rsid w:val="00DA48F7"/>
    <w:rPr>
      <w:rFonts w:cs="Courier New"/>
    </w:rPr>
  </w:style>
  <w:style w:type="character" w:customStyle="1" w:styleId="ListLabel290">
    <w:name w:val="ListLabel 290"/>
    <w:rsid w:val="00DA48F7"/>
    <w:rPr>
      <w:rFonts w:cs="Courier New"/>
    </w:rPr>
  </w:style>
  <w:style w:type="character" w:customStyle="1" w:styleId="ListLabel291">
    <w:name w:val="ListLabel 291"/>
    <w:rsid w:val="00DA48F7"/>
    <w:rPr>
      <w:rFonts w:cs="Courier New"/>
    </w:rPr>
  </w:style>
  <w:style w:type="character" w:customStyle="1" w:styleId="ListLabel292">
    <w:name w:val="ListLabel 292"/>
    <w:rsid w:val="00DA48F7"/>
    <w:rPr>
      <w:rFonts w:cs="Courier New"/>
    </w:rPr>
  </w:style>
  <w:style w:type="character" w:customStyle="1" w:styleId="ListLabel293">
    <w:name w:val="ListLabel 293"/>
    <w:rsid w:val="00DA48F7"/>
    <w:rPr>
      <w:rFonts w:cs="Courier New"/>
    </w:rPr>
  </w:style>
  <w:style w:type="character" w:customStyle="1" w:styleId="ListLabel294">
    <w:name w:val="ListLabel 294"/>
    <w:rsid w:val="00DA48F7"/>
    <w:rPr>
      <w:rFonts w:cs="Symbol"/>
    </w:rPr>
  </w:style>
  <w:style w:type="character" w:customStyle="1" w:styleId="ListLabel295">
    <w:name w:val="ListLabel 295"/>
    <w:rsid w:val="00DA48F7"/>
    <w:rPr>
      <w:rFonts w:cs="Courier New"/>
    </w:rPr>
  </w:style>
  <w:style w:type="character" w:customStyle="1" w:styleId="ListLabel296">
    <w:name w:val="ListLabel 296"/>
    <w:rsid w:val="00DA48F7"/>
    <w:rPr>
      <w:rFonts w:cs="Wingdings"/>
    </w:rPr>
  </w:style>
  <w:style w:type="character" w:customStyle="1" w:styleId="ListLabel297">
    <w:name w:val="ListLabel 297"/>
    <w:rsid w:val="00DA48F7"/>
    <w:rPr>
      <w:rFonts w:cs="Symbol"/>
    </w:rPr>
  </w:style>
  <w:style w:type="character" w:customStyle="1" w:styleId="ListLabel298">
    <w:name w:val="ListLabel 298"/>
    <w:rsid w:val="00DA48F7"/>
    <w:rPr>
      <w:rFonts w:cs="Courier New"/>
    </w:rPr>
  </w:style>
  <w:style w:type="character" w:customStyle="1" w:styleId="ListLabel299">
    <w:name w:val="ListLabel 299"/>
    <w:rsid w:val="00DA48F7"/>
    <w:rPr>
      <w:rFonts w:cs="Wingdings"/>
    </w:rPr>
  </w:style>
  <w:style w:type="character" w:customStyle="1" w:styleId="ListLabel300">
    <w:name w:val="ListLabel 300"/>
    <w:rsid w:val="00DA48F7"/>
    <w:rPr>
      <w:rFonts w:cs="Symbol"/>
    </w:rPr>
  </w:style>
  <w:style w:type="character" w:customStyle="1" w:styleId="ListLabel301">
    <w:name w:val="ListLabel 301"/>
    <w:rsid w:val="00DA48F7"/>
    <w:rPr>
      <w:rFonts w:cs="Courier New"/>
    </w:rPr>
  </w:style>
  <w:style w:type="character" w:customStyle="1" w:styleId="ListLabel302">
    <w:name w:val="ListLabel 302"/>
    <w:rsid w:val="00DA48F7"/>
    <w:rPr>
      <w:rFonts w:cs="Wingdings"/>
    </w:rPr>
  </w:style>
  <w:style w:type="character" w:customStyle="1" w:styleId="ListLabel303">
    <w:name w:val="ListLabel 303"/>
    <w:rsid w:val="00DA48F7"/>
    <w:rPr>
      <w:rFonts w:cs="Symbol"/>
    </w:rPr>
  </w:style>
  <w:style w:type="character" w:customStyle="1" w:styleId="ListLabel304">
    <w:name w:val="ListLabel 304"/>
    <w:rsid w:val="00DA48F7"/>
    <w:rPr>
      <w:rFonts w:cs="Courier New"/>
    </w:rPr>
  </w:style>
  <w:style w:type="character" w:customStyle="1" w:styleId="ListLabel305">
    <w:name w:val="ListLabel 305"/>
    <w:rsid w:val="00DA48F7"/>
    <w:rPr>
      <w:rFonts w:cs="Wingdings"/>
    </w:rPr>
  </w:style>
  <w:style w:type="character" w:customStyle="1" w:styleId="ListLabel306">
    <w:name w:val="ListLabel 306"/>
    <w:rsid w:val="00DA48F7"/>
    <w:rPr>
      <w:rFonts w:cs="Symbol"/>
    </w:rPr>
  </w:style>
  <w:style w:type="character" w:customStyle="1" w:styleId="ListLabel307">
    <w:name w:val="ListLabel 307"/>
    <w:rsid w:val="00DA48F7"/>
    <w:rPr>
      <w:rFonts w:cs="Courier New"/>
    </w:rPr>
  </w:style>
  <w:style w:type="character" w:customStyle="1" w:styleId="ListLabel308">
    <w:name w:val="ListLabel 308"/>
    <w:rsid w:val="00DA48F7"/>
    <w:rPr>
      <w:rFonts w:cs="Wingdings"/>
    </w:rPr>
  </w:style>
  <w:style w:type="character" w:customStyle="1" w:styleId="ListLabel309">
    <w:name w:val="ListLabel 309"/>
    <w:rsid w:val="00DA48F7"/>
    <w:rPr>
      <w:rFonts w:cs="Symbol"/>
    </w:rPr>
  </w:style>
  <w:style w:type="character" w:customStyle="1" w:styleId="ListLabel310">
    <w:name w:val="ListLabel 310"/>
    <w:rsid w:val="00DA48F7"/>
    <w:rPr>
      <w:rFonts w:cs="Courier New"/>
    </w:rPr>
  </w:style>
  <w:style w:type="character" w:customStyle="1" w:styleId="ListLabel311">
    <w:name w:val="ListLabel 311"/>
    <w:rsid w:val="00DA48F7"/>
    <w:rPr>
      <w:rFonts w:cs="Wingdings"/>
    </w:rPr>
  </w:style>
  <w:style w:type="character" w:customStyle="1" w:styleId="ListLabel312">
    <w:name w:val="ListLabel 312"/>
    <w:rsid w:val="00DA48F7"/>
    <w:rPr>
      <w:rFonts w:cs="Courier New"/>
    </w:rPr>
  </w:style>
  <w:style w:type="character" w:customStyle="1" w:styleId="ListLabel313">
    <w:name w:val="ListLabel 313"/>
    <w:rsid w:val="00DA48F7"/>
    <w:rPr>
      <w:rFonts w:cs="Courier New"/>
    </w:rPr>
  </w:style>
  <w:style w:type="character" w:customStyle="1" w:styleId="ListLabel314">
    <w:name w:val="ListLabel 314"/>
    <w:rsid w:val="00DA48F7"/>
    <w:rPr>
      <w:rFonts w:cs="Courier New"/>
    </w:rPr>
  </w:style>
  <w:style w:type="character" w:customStyle="1" w:styleId="ListLabel315">
    <w:name w:val="ListLabel 315"/>
    <w:rsid w:val="00DA48F7"/>
    <w:rPr>
      <w:rFonts w:cs="Courier New"/>
    </w:rPr>
  </w:style>
  <w:style w:type="character" w:customStyle="1" w:styleId="ListLabel316">
    <w:name w:val="ListLabel 316"/>
    <w:rsid w:val="00DA48F7"/>
    <w:rPr>
      <w:rFonts w:cs="Courier New"/>
    </w:rPr>
  </w:style>
  <w:style w:type="character" w:customStyle="1" w:styleId="ListLabel317">
    <w:name w:val="ListLabel 317"/>
    <w:rsid w:val="00DA48F7"/>
    <w:rPr>
      <w:rFonts w:cs="Courier New"/>
    </w:rPr>
  </w:style>
  <w:style w:type="character" w:customStyle="1" w:styleId="ListLabel318">
    <w:name w:val="ListLabel 318"/>
    <w:rsid w:val="00DA48F7"/>
    <w:rPr>
      <w:rFonts w:cs="Courier New"/>
    </w:rPr>
  </w:style>
  <w:style w:type="character" w:customStyle="1" w:styleId="ListLabel319">
    <w:name w:val="ListLabel 319"/>
    <w:rsid w:val="00DA48F7"/>
    <w:rPr>
      <w:rFonts w:cs="Courier New"/>
    </w:rPr>
  </w:style>
  <w:style w:type="character" w:customStyle="1" w:styleId="ListLabel320">
    <w:name w:val="ListLabel 320"/>
    <w:rsid w:val="00DA48F7"/>
    <w:rPr>
      <w:rFonts w:cs="Courier New"/>
    </w:rPr>
  </w:style>
  <w:style w:type="character" w:customStyle="1" w:styleId="ListLabel321">
    <w:name w:val="ListLabel 321"/>
    <w:rsid w:val="00DA48F7"/>
    <w:rPr>
      <w:rFonts w:cs="Courier New"/>
    </w:rPr>
  </w:style>
  <w:style w:type="character" w:customStyle="1" w:styleId="ListLabel322">
    <w:name w:val="ListLabel 322"/>
    <w:rsid w:val="00DA48F7"/>
    <w:rPr>
      <w:rFonts w:cs="Courier New"/>
    </w:rPr>
  </w:style>
  <w:style w:type="character" w:customStyle="1" w:styleId="ListLabel323">
    <w:name w:val="ListLabel 323"/>
    <w:rsid w:val="00DA48F7"/>
    <w:rPr>
      <w:rFonts w:cs="Courier New"/>
    </w:rPr>
  </w:style>
  <w:style w:type="character" w:customStyle="1" w:styleId="ListLabel324">
    <w:name w:val="ListLabel 324"/>
    <w:rsid w:val="00DA48F7"/>
    <w:rPr>
      <w:rFonts w:cs="Courier New"/>
    </w:rPr>
  </w:style>
  <w:style w:type="character" w:customStyle="1" w:styleId="ListLabel325">
    <w:name w:val="ListLabel 325"/>
    <w:rsid w:val="00DA48F7"/>
    <w:rPr>
      <w:rFonts w:cs="Courier New"/>
    </w:rPr>
  </w:style>
  <w:style w:type="character" w:customStyle="1" w:styleId="ListLabel326">
    <w:name w:val="ListLabel 326"/>
    <w:rsid w:val="00DA48F7"/>
    <w:rPr>
      <w:rFonts w:cs="Courier New"/>
    </w:rPr>
  </w:style>
  <w:style w:type="character" w:customStyle="1" w:styleId="ListLabel327">
    <w:name w:val="ListLabel 327"/>
    <w:rsid w:val="00DA48F7"/>
    <w:rPr>
      <w:rFonts w:cs="Courier New"/>
    </w:rPr>
  </w:style>
  <w:style w:type="character" w:customStyle="1" w:styleId="ListLabel328">
    <w:name w:val="ListLabel 328"/>
    <w:rsid w:val="00DA48F7"/>
    <w:rPr>
      <w:rFonts w:cs="Courier New"/>
    </w:rPr>
  </w:style>
  <w:style w:type="character" w:customStyle="1" w:styleId="ListLabel329">
    <w:name w:val="ListLabel 329"/>
    <w:rsid w:val="00DA48F7"/>
    <w:rPr>
      <w:rFonts w:cs="Courier New"/>
    </w:rPr>
  </w:style>
  <w:style w:type="character" w:customStyle="1" w:styleId="ListLabel330">
    <w:name w:val="ListLabel 330"/>
    <w:rsid w:val="00DA48F7"/>
    <w:rPr>
      <w:rFonts w:cs="Courier New"/>
    </w:rPr>
  </w:style>
  <w:style w:type="character" w:customStyle="1" w:styleId="ListLabel331">
    <w:name w:val="ListLabel 331"/>
    <w:rsid w:val="00DA48F7"/>
    <w:rPr>
      <w:rFonts w:cs="Courier New"/>
    </w:rPr>
  </w:style>
  <w:style w:type="character" w:customStyle="1" w:styleId="ListLabel332">
    <w:name w:val="ListLabel 332"/>
    <w:rsid w:val="00DA48F7"/>
    <w:rPr>
      <w:rFonts w:cs="Courier New"/>
    </w:rPr>
  </w:style>
  <w:style w:type="character" w:customStyle="1" w:styleId="ListLabel333">
    <w:name w:val="ListLabel 333"/>
    <w:rsid w:val="00DA48F7"/>
    <w:rPr>
      <w:rFonts w:cs="Courier New"/>
    </w:rPr>
  </w:style>
  <w:style w:type="character" w:customStyle="1" w:styleId="ListLabel334">
    <w:name w:val="ListLabel 334"/>
    <w:rsid w:val="00DA48F7"/>
    <w:rPr>
      <w:rFonts w:cs="Courier New"/>
    </w:rPr>
  </w:style>
  <w:style w:type="character" w:customStyle="1" w:styleId="ListLabel335">
    <w:name w:val="ListLabel 335"/>
    <w:rsid w:val="00DA48F7"/>
    <w:rPr>
      <w:rFonts w:cs="Courier New"/>
    </w:rPr>
  </w:style>
  <w:style w:type="character" w:customStyle="1" w:styleId="ListLabel336">
    <w:name w:val="ListLabel 336"/>
    <w:rsid w:val="00DA48F7"/>
    <w:rPr>
      <w:b/>
      <w:sz w:val="28"/>
    </w:rPr>
  </w:style>
  <w:style w:type="character" w:customStyle="1" w:styleId="ListLabel337">
    <w:name w:val="ListLabel 337"/>
    <w:rsid w:val="00DA48F7"/>
    <w:rPr>
      <w:b/>
    </w:rPr>
  </w:style>
  <w:style w:type="character" w:customStyle="1" w:styleId="ListLabel338">
    <w:name w:val="ListLabel 338"/>
    <w:rsid w:val="00DA48F7"/>
    <w:rPr>
      <w:rFonts w:cs="Courier New"/>
    </w:rPr>
  </w:style>
  <w:style w:type="character" w:customStyle="1" w:styleId="ListLabel339">
    <w:name w:val="ListLabel 339"/>
    <w:rsid w:val="00DA48F7"/>
    <w:rPr>
      <w:rFonts w:cs="Courier New"/>
    </w:rPr>
  </w:style>
  <w:style w:type="character" w:customStyle="1" w:styleId="ListLabel340">
    <w:name w:val="ListLabel 340"/>
    <w:rsid w:val="00DA48F7"/>
    <w:rPr>
      <w:rFonts w:cs="Courier New"/>
    </w:rPr>
  </w:style>
  <w:style w:type="character" w:customStyle="1" w:styleId="ListLabel341">
    <w:name w:val="ListLabel 341"/>
    <w:rsid w:val="00DA48F7"/>
    <w:rPr>
      <w:rFonts w:cs="Courier New"/>
    </w:rPr>
  </w:style>
  <w:style w:type="character" w:customStyle="1" w:styleId="ListLabel342">
    <w:name w:val="ListLabel 342"/>
    <w:rsid w:val="00DA48F7"/>
    <w:rPr>
      <w:rFonts w:cs="Courier New"/>
    </w:rPr>
  </w:style>
  <w:style w:type="character" w:customStyle="1" w:styleId="ListLabel343">
    <w:name w:val="ListLabel 343"/>
    <w:rsid w:val="00DA48F7"/>
    <w:rPr>
      <w:rFonts w:cs="Courier New"/>
    </w:rPr>
  </w:style>
  <w:style w:type="character" w:customStyle="1" w:styleId="ListLabel344">
    <w:name w:val="ListLabel 344"/>
    <w:rsid w:val="00DA48F7"/>
    <w:rPr>
      <w:rFonts w:cs="Symbol"/>
      <w:sz w:val="28"/>
      <w:szCs w:val="28"/>
      <w:lang w:val="ru-RU" w:bidi="ar-SA"/>
    </w:rPr>
  </w:style>
  <w:style w:type="character" w:customStyle="1" w:styleId="ListLabel345">
    <w:name w:val="ListLabel 345"/>
    <w:rsid w:val="00DA48F7"/>
    <w:rPr>
      <w:rFonts w:cs="OpenSymbol"/>
      <w:strike w:val="0"/>
      <w:dstrike w:val="0"/>
      <w:color w:val="000000"/>
      <w:kern w:val="2"/>
      <w:sz w:val="28"/>
      <w:szCs w:val="28"/>
      <w:em w:val="none"/>
      <w:lang w:val="ru-RU" w:eastAsia="zh-CN" w:bidi="hi-IN"/>
    </w:rPr>
  </w:style>
  <w:style w:type="character" w:customStyle="1" w:styleId="ListLabel346">
    <w:name w:val="ListLabel 346"/>
    <w:rsid w:val="00DA48F7"/>
    <w:rPr>
      <w:rFonts w:cs="OpenSymbol"/>
    </w:rPr>
  </w:style>
  <w:style w:type="character" w:customStyle="1" w:styleId="ListLabel347">
    <w:name w:val="ListLabel 347"/>
    <w:rsid w:val="00DA48F7"/>
    <w:rPr>
      <w:rFonts w:cs="OpenSymbol"/>
    </w:rPr>
  </w:style>
  <w:style w:type="character" w:customStyle="1" w:styleId="ListLabel348">
    <w:name w:val="ListLabel 348"/>
    <w:rsid w:val="00DA48F7"/>
    <w:rPr>
      <w:rFonts w:cs="OpenSymbol"/>
      <w:strike w:val="0"/>
      <w:dstrike w:val="0"/>
      <w:color w:val="000000"/>
      <w:kern w:val="2"/>
      <w:sz w:val="28"/>
      <w:szCs w:val="28"/>
      <w:em w:val="none"/>
      <w:lang w:val="ru-RU" w:eastAsia="zh-CN" w:bidi="hi-IN"/>
    </w:rPr>
  </w:style>
  <w:style w:type="character" w:customStyle="1" w:styleId="ListLabel349">
    <w:name w:val="ListLabel 349"/>
    <w:rsid w:val="00DA48F7"/>
    <w:rPr>
      <w:rFonts w:cs="OpenSymbol"/>
    </w:rPr>
  </w:style>
  <w:style w:type="character" w:customStyle="1" w:styleId="ListLabel350">
    <w:name w:val="ListLabel 350"/>
    <w:rsid w:val="00DA48F7"/>
    <w:rPr>
      <w:rFonts w:cs="OpenSymbol"/>
    </w:rPr>
  </w:style>
  <w:style w:type="character" w:customStyle="1" w:styleId="ListLabel351">
    <w:name w:val="ListLabel 351"/>
    <w:rsid w:val="00DA48F7"/>
    <w:rPr>
      <w:rFonts w:cs="OpenSymbol"/>
      <w:strike w:val="0"/>
      <w:dstrike w:val="0"/>
      <w:color w:val="000000"/>
      <w:kern w:val="2"/>
      <w:sz w:val="28"/>
      <w:szCs w:val="28"/>
      <w:em w:val="none"/>
      <w:lang w:val="ru-RU" w:eastAsia="zh-CN" w:bidi="hi-IN"/>
    </w:rPr>
  </w:style>
  <w:style w:type="character" w:customStyle="1" w:styleId="ListLabel352">
    <w:name w:val="ListLabel 352"/>
    <w:rsid w:val="00DA48F7"/>
    <w:rPr>
      <w:rFonts w:cs="OpenSymbol"/>
    </w:rPr>
  </w:style>
  <w:style w:type="character" w:customStyle="1" w:styleId="ListLabel353">
    <w:name w:val="ListLabel 353"/>
    <w:rsid w:val="00DA48F7"/>
    <w:rPr>
      <w:rFonts w:cs="OpenSymbol"/>
    </w:rPr>
  </w:style>
  <w:style w:type="character" w:customStyle="1" w:styleId="ListLabel354">
    <w:name w:val="ListLabel 354"/>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55">
    <w:name w:val="ListLabel 355"/>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56">
    <w:name w:val="ListLabel 356"/>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57">
    <w:name w:val="ListLabel 357"/>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58">
    <w:name w:val="ListLabel 358"/>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59">
    <w:name w:val="ListLabel 359"/>
    <w:rsid w:val="00DA48F7"/>
    <w:rPr>
      <w:rFonts w:eastAsia="Times New Roman" w:cs="Times New Roman"/>
      <w:b/>
      <w:bCs w:val="0"/>
      <w:i w:val="0"/>
      <w:iCs w:val="0"/>
      <w:caps w:val="0"/>
      <w:smallCaps w:val="0"/>
      <w:strike w:val="0"/>
      <w:dstrike w:val="0"/>
      <w:color w:val="000000"/>
      <w:spacing w:val="0"/>
      <w:w w:val="100"/>
      <w:sz w:val="28"/>
      <w:szCs w:val="28"/>
      <w:u w:val="none"/>
      <w:lang w:val="ru-RU" w:eastAsia="ru-RU" w:bidi="ru-RU"/>
    </w:rPr>
  </w:style>
  <w:style w:type="character" w:customStyle="1" w:styleId="ListLabel360">
    <w:name w:val="ListLabel 360"/>
    <w:rsid w:val="00DA48F7"/>
    <w:rPr>
      <w:rFonts w:eastAsia="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ListLabel361">
    <w:name w:val="ListLabel 361"/>
    <w:rsid w:val="00DA48F7"/>
    <w:rPr>
      <w:rFonts w:cs="Symbol"/>
    </w:rPr>
  </w:style>
  <w:style w:type="character" w:customStyle="1" w:styleId="ListLabel362">
    <w:name w:val="ListLabel 362"/>
    <w:rsid w:val="00DA48F7"/>
    <w:rPr>
      <w:rFonts w:cs="Courier New"/>
    </w:rPr>
  </w:style>
  <w:style w:type="character" w:customStyle="1" w:styleId="ListLabel363">
    <w:name w:val="ListLabel 363"/>
    <w:rsid w:val="00DA48F7"/>
    <w:rPr>
      <w:rFonts w:cs="Wingdings"/>
    </w:rPr>
  </w:style>
  <w:style w:type="character" w:customStyle="1" w:styleId="ListLabel364">
    <w:name w:val="ListLabel 364"/>
    <w:rsid w:val="00DA48F7"/>
    <w:rPr>
      <w:rFonts w:cs="Symbol"/>
    </w:rPr>
  </w:style>
  <w:style w:type="character" w:customStyle="1" w:styleId="ListLabel365">
    <w:name w:val="ListLabel 365"/>
    <w:rsid w:val="00DA48F7"/>
    <w:rPr>
      <w:rFonts w:cs="Courier New"/>
    </w:rPr>
  </w:style>
  <w:style w:type="character" w:customStyle="1" w:styleId="ListLabel366">
    <w:name w:val="ListLabel 366"/>
    <w:rsid w:val="00DA48F7"/>
    <w:rPr>
      <w:rFonts w:cs="Wingdings"/>
    </w:rPr>
  </w:style>
  <w:style w:type="character" w:customStyle="1" w:styleId="ListLabel367">
    <w:name w:val="ListLabel 367"/>
    <w:rsid w:val="00DA48F7"/>
    <w:rPr>
      <w:rFonts w:cs="Symbol"/>
    </w:rPr>
  </w:style>
  <w:style w:type="character" w:customStyle="1" w:styleId="ListLabel368">
    <w:name w:val="ListLabel 368"/>
    <w:rsid w:val="00DA48F7"/>
    <w:rPr>
      <w:rFonts w:cs="Courier New"/>
    </w:rPr>
  </w:style>
  <w:style w:type="character" w:customStyle="1" w:styleId="ListLabel369">
    <w:name w:val="ListLabel 369"/>
    <w:rsid w:val="00DA48F7"/>
    <w:rPr>
      <w:rFonts w:cs="Wingdings"/>
    </w:rPr>
  </w:style>
  <w:style w:type="character" w:customStyle="1" w:styleId="ListLabel370">
    <w:name w:val="ListLabel 370"/>
    <w:rsid w:val="00DA48F7"/>
    <w:rPr>
      <w:rFonts w:cs="Times New Roman"/>
      <w:b w:val="0"/>
      <w:bCs w:val="0"/>
      <w:i w:val="0"/>
      <w:iCs w:val="0"/>
      <w:caps w:val="0"/>
      <w:smallCaps w:val="0"/>
      <w:strike w:val="0"/>
      <w:dstrike w:val="0"/>
      <w:color w:val="000000"/>
      <w:spacing w:val="0"/>
      <w:w w:val="100"/>
      <w:sz w:val="27"/>
      <w:szCs w:val="28"/>
      <w:u w:val="none"/>
      <w:lang w:val="ru-RU" w:eastAsia="ru-RU" w:bidi="ru-RU"/>
    </w:rPr>
  </w:style>
  <w:style w:type="character" w:customStyle="1" w:styleId="ListLabel371">
    <w:name w:val="ListLabel 371"/>
    <w:rsid w:val="00DA48F7"/>
    <w:rPr>
      <w:rFonts w:eastAsia="Times New Roman" w:cs="Times New Roman"/>
      <w:b w:val="0"/>
      <w:bCs w:val="0"/>
      <w:i w:val="0"/>
      <w:iCs w:val="0"/>
      <w:caps w:val="0"/>
      <w:smallCaps w:val="0"/>
      <w:strike w:val="0"/>
      <w:dstrike w:val="0"/>
      <w:color w:val="000000"/>
      <w:spacing w:val="0"/>
      <w:w w:val="100"/>
      <w:sz w:val="27"/>
      <w:szCs w:val="28"/>
      <w:u w:val="none"/>
      <w:lang w:val="ru-RU" w:eastAsia="ru-RU" w:bidi="ru-RU"/>
    </w:rPr>
  </w:style>
  <w:style w:type="character" w:customStyle="1" w:styleId="ListLabel372">
    <w:name w:val="ListLabel 372"/>
    <w:rsid w:val="00DA48F7"/>
    <w:rPr>
      <w:b/>
    </w:rPr>
  </w:style>
  <w:style w:type="character" w:customStyle="1" w:styleId="ListLabel373">
    <w:name w:val="ListLabel 373"/>
    <w:rsid w:val="00DA48F7"/>
    <w:rPr>
      <w:b/>
    </w:rPr>
  </w:style>
  <w:style w:type="character" w:customStyle="1" w:styleId="ListLabel374">
    <w:name w:val="ListLabel 374"/>
    <w:rsid w:val="00DA48F7"/>
    <w:rPr>
      <w:rFonts w:cs="Courier New"/>
    </w:rPr>
  </w:style>
  <w:style w:type="character" w:customStyle="1" w:styleId="ListLabel375">
    <w:name w:val="ListLabel 375"/>
    <w:rsid w:val="00DA48F7"/>
    <w:rPr>
      <w:rFonts w:cs="Courier New"/>
    </w:rPr>
  </w:style>
  <w:style w:type="character" w:customStyle="1" w:styleId="ListLabel376">
    <w:name w:val="ListLabel 376"/>
    <w:rsid w:val="00DA48F7"/>
    <w:rPr>
      <w:rFonts w:cs="Courier New"/>
    </w:rPr>
  </w:style>
  <w:style w:type="character" w:customStyle="1" w:styleId="ListLabel377">
    <w:name w:val="ListLabel 377"/>
    <w:rsid w:val="00DA48F7"/>
    <w:rPr>
      <w:rFonts w:cs="Courier New"/>
    </w:rPr>
  </w:style>
  <w:style w:type="character" w:customStyle="1" w:styleId="ListLabel378">
    <w:name w:val="ListLabel 378"/>
    <w:rsid w:val="00DA48F7"/>
    <w:rPr>
      <w:rFonts w:cs="Courier New"/>
    </w:rPr>
  </w:style>
  <w:style w:type="character" w:customStyle="1" w:styleId="ListLabel379">
    <w:name w:val="ListLabel 379"/>
    <w:rsid w:val="00DA48F7"/>
    <w:rPr>
      <w:rFonts w:cs="Courier New"/>
    </w:rPr>
  </w:style>
  <w:style w:type="character" w:customStyle="1" w:styleId="ListLabel380">
    <w:name w:val="ListLabel 380"/>
    <w:rsid w:val="00DA48F7"/>
    <w:rPr>
      <w:rFonts w:cs="Symbol"/>
    </w:rPr>
  </w:style>
  <w:style w:type="character" w:customStyle="1" w:styleId="ListLabel381">
    <w:name w:val="ListLabel 381"/>
    <w:rsid w:val="00DA48F7"/>
    <w:rPr>
      <w:rFonts w:cs="Wingdings"/>
    </w:rPr>
  </w:style>
  <w:style w:type="character" w:customStyle="1" w:styleId="ListLabel382">
    <w:name w:val="ListLabel 382"/>
    <w:rsid w:val="00DA48F7"/>
    <w:rPr>
      <w:rFonts w:cs="Wingdings"/>
    </w:rPr>
  </w:style>
  <w:style w:type="character" w:customStyle="1" w:styleId="ListLabel383">
    <w:name w:val="ListLabel 383"/>
    <w:rsid w:val="00DA48F7"/>
    <w:rPr>
      <w:rFonts w:cs="Courier New"/>
    </w:rPr>
  </w:style>
  <w:style w:type="character" w:customStyle="1" w:styleId="ListLabel384">
    <w:name w:val="ListLabel 384"/>
    <w:rsid w:val="00DA48F7"/>
    <w:rPr>
      <w:rFonts w:cs="Wingdings"/>
    </w:rPr>
  </w:style>
  <w:style w:type="character" w:customStyle="1" w:styleId="ListLabel385">
    <w:name w:val="ListLabel 385"/>
    <w:rsid w:val="00DA48F7"/>
    <w:rPr>
      <w:rFonts w:cs="Symbol"/>
    </w:rPr>
  </w:style>
  <w:style w:type="character" w:customStyle="1" w:styleId="ListLabel386">
    <w:name w:val="ListLabel 386"/>
    <w:rsid w:val="00DA48F7"/>
    <w:rPr>
      <w:rFonts w:cs="Courier New"/>
    </w:rPr>
  </w:style>
  <w:style w:type="character" w:customStyle="1" w:styleId="ListLabel387">
    <w:name w:val="ListLabel 387"/>
    <w:rsid w:val="00DA48F7"/>
    <w:rPr>
      <w:rFonts w:cs="Wingdings"/>
    </w:rPr>
  </w:style>
  <w:style w:type="character" w:customStyle="1" w:styleId="ListLabel388">
    <w:name w:val="ListLabel 388"/>
    <w:rsid w:val="00DA48F7"/>
    <w:rPr>
      <w:rFonts w:cs="Symbol"/>
    </w:rPr>
  </w:style>
  <w:style w:type="character" w:customStyle="1" w:styleId="ListLabel389">
    <w:name w:val="ListLabel 389"/>
    <w:rsid w:val="00DA48F7"/>
    <w:rPr>
      <w:rFonts w:cs="Courier New"/>
    </w:rPr>
  </w:style>
  <w:style w:type="character" w:customStyle="1" w:styleId="ListLabel390">
    <w:name w:val="ListLabel 390"/>
    <w:rsid w:val="00DA48F7"/>
    <w:rPr>
      <w:rFonts w:cs="Wingdings"/>
    </w:rPr>
  </w:style>
  <w:style w:type="character" w:customStyle="1" w:styleId="ListLabel391">
    <w:name w:val="ListLabel 391"/>
    <w:rsid w:val="00DA48F7"/>
    <w:rPr>
      <w:rFonts w:cs="Courier New"/>
    </w:rPr>
  </w:style>
  <w:style w:type="character" w:customStyle="1" w:styleId="ListLabel392">
    <w:name w:val="ListLabel 392"/>
    <w:rsid w:val="00DA48F7"/>
    <w:rPr>
      <w:rFonts w:cs="Courier New"/>
    </w:rPr>
  </w:style>
  <w:style w:type="character" w:customStyle="1" w:styleId="ListLabel393">
    <w:name w:val="ListLabel 393"/>
    <w:rsid w:val="00DA48F7"/>
    <w:rPr>
      <w:rFonts w:cs="Courier New"/>
    </w:rPr>
  </w:style>
  <w:style w:type="character" w:customStyle="1" w:styleId="3f3">
    <w:name w:val="Основной текст Знак3"/>
    <w:basedOn w:val="a4"/>
    <w:rsid w:val="00DA48F7"/>
    <w:rPr>
      <w:rFonts w:ascii="Calibri" w:eastAsia="SimSun" w:hAnsi="Calibri"/>
      <w:color w:val="00000A"/>
      <w:lang w:eastAsia="en-US"/>
    </w:rPr>
  </w:style>
  <w:style w:type="paragraph" w:customStyle="1" w:styleId="3f4">
    <w:name w:val="Указатель3"/>
    <w:basedOn w:val="a3"/>
    <w:qFormat/>
    <w:rsid w:val="00DA48F7"/>
    <w:pPr>
      <w:suppressLineNumbers/>
      <w:tabs>
        <w:tab w:val="left" w:pos="708"/>
      </w:tabs>
      <w:suppressAutoHyphens/>
      <w:spacing w:after="200" w:line="276" w:lineRule="auto"/>
      <w:ind w:firstLine="0"/>
      <w:jc w:val="left"/>
    </w:pPr>
    <w:rPr>
      <w:rFonts w:ascii="PT Astra Serif" w:hAnsi="PT Astra Serif" w:cs="Noto Sans Devanagari"/>
      <w:color w:val="00000A"/>
      <w:sz w:val="22"/>
    </w:rPr>
  </w:style>
  <w:style w:type="character" w:customStyle="1" w:styleId="2ff5">
    <w:name w:val="Верхний колонтитул Знак2"/>
    <w:basedOn w:val="a4"/>
    <w:rsid w:val="00DA48F7"/>
    <w:rPr>
      <w:rFonts w:ascii="Calibri" w:eastAsia="SimSun" w:hAnsi="Calibri"/>
      <w:color w:val="00000A"/>
      <w:sz w:val="22"/>
      <w:szCs w:val="22"/>
      <w:lang w:eastAsia="en-US"/>
    </w:rPr>
  </w:style>
  <w:style w:type="paragraph" w:customStyle="1" w:styleId="1fff6">
    <w:name w:val="Текст выноски1"/>
    <w:basedOn w:val="a3"/>
    <w:qFormat/>
    <w:rsid w:val="00DA48F7"/>
    <w:pPr>
      <w:tabs>
        <w:tab w:val="left" w:pos="708"/>
      </w:tabs>
      <w:suppressAutoHyphens/>
      <w:spacing w:after="200" w:line="276" w:lineRule="auto"/>
      <w:ind w:firstLine="0"/>
      <w:jc w:val="left"/>
    </w:pPr>
    <w:rPr>
      <w:rFonts w:ascii="Tahoma" w:hAnsi="Tahoma" w:cs="Tahoma"/>
      <w:color w:val="00000A"/>
      <w:sz w:val="16"/>
      <w:szCs w:val="16"/>
    </w:rPr>
  </w:style>
  <w:style w:type="paragraph" w:customStyle="1" w:styleId="312">
    <w:name w:val="Основной текст 31"/>
    <w:basedOn w:val="a3"/>
    <w:qFormat/>
    <w:rsid w:val="00DA48F7"/>
    <w:pPr>
      <w:tabs>
        <w:tab w:val="left" w:pos="708"/>
      </w:tabs>
      <w:suppressAutoHyphens/>
      <w:spacing w:after="120" w:line="276" w:lineRule="auto"/>
      <w:ind w:firstLine="0"/>
      <w:jc w:val="left"/>
    </w:pPr>
    <w:rPr>
      <w:rFonts w:ascii="Calibri" w:hAnsi="Calibri" w:cs="Times New Roman"/>
      <w:color w:val="00000A"/>
      <w:sz w:val="16"/>
      <w:szCs w:val="16"/>
    </w:rPr>
  </w:style>
  <w:style w:type="paragraph" w:customStyle="1" w:styleId="1fff7">
    <w:name w:val="Основной текст с отступом1"/>
    <w:basedOn w:val="af7"/>
    <w:qFormat/>
    <w:rsid w:val="00DA48F7"/>
    <w:pPr>
      <w:tabs>
        <w:tab w:val="left" w:pos="708"/>
      </w:tabs>
      <w:spacing w:line="276" w:lineRule="auto"/>
      <w:ind w:firstLine="210"/>
    </w:pPr>
    <w:rPr>
      <w:rFonts w:ascii="Calibri" w:eastAsia="SimSun" w:hAnsi="Calibri"/>
      <w:color w:val="00000A"/>
      <w:lang w:eastAsia="en-US"/>
    </w:rPr>
  </w:style>
  <w:style w:type="character" w:customStyle="1" w:styleId="2ff6">
    <w:name w:val="Нижний колонтитул Знак2"/>
    <w:basedOn w:val="a4"/>
    <w:rsid w:val="00DA48F7"/>
    <w:rPr>
      <w:rFonts w:ascii="Calibri" w:eastAsia="SimSun" w:hAnsi="Calibri"/>
      <w:color w:val="00000A"/>
      <w:sz w:val="22"/>
      <w:szCs w:val="22"/>
      <w:lang w:eastAsia="en-US"/>
    </w:rPr>
  </w:style>
  <w:style w:type="paragraph" w:customStyle="1" w:styleId="215">
    <w:name w:val="Основной текст с отступом 21"/>
    <w:basedOn w:val="a3"/>
    <w:qFormat/>
    <w:rsid w:val="00DA48F7"/>
    <w:pPr>
      <w:tabs>
        <w:tab w:val="left" w:pos="708"/>
      </w:tabs>
      <w:suppressAutoHyphens/>
      <w:spacing w:after="120" w:line="480" w:lineRule="auto"/>
      <w:ind w:left="283" w:firstLine="0"/>
      <w:jc w:val="left"/>
    </w:pPr>
    <w:rPr>
      <w:rFonts w:ascii="Calibri" w:hAnsi="Calibri" w:cs="Times New Roman"/>
      <w:color w:val="00000A"/>
      <w:sz w:val="22"/>
    </w:rPr>
  </w:style>
  <w:style w:type="paragraph" w:customStyle="1" w:styleId="1fff8">
    <w:name w:val="Название объекта1"/>
    <w:basedOn w:val="a3"/>
    <w:next w:val="a3"/>
    <w:qFormat/>
    <w:rsid w:val="00DA48F7"/>
    <w:pPr>
      <w:tabs>
        <w:tab w:val="left" w:pos="708"/>
      </w:tabs>
      <w:suppressAutoHyphens/>
      <w:spacing w:after="200" w:line="276" w:lineRule="auto"/>
      <w:ind w:firstLine="0"/>
      <w:jc w:val="right"/>
    </w:pPr>
    <w:rPr>
      <w:rFonts w:ascii="Calibri" w:hAnsi="Calibri" w:cs="Times New Roman"/>
      <w:color w:val="00000A"/>
      <w:spacing w:val="2"/>
      <w:szCs w:val="20"/>
    </w:rPr>
  </w:style>
  <w:style w:type="paragraph" w:customStyle="1" w:styleId="HTML1">
    <w:name w:val="Стандартный HTML1"/>
    <w:basedOn w:val="a3"/>
    <w:qFormat/>
    <w:rsid w:val="00DA48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ind w:firstLine="0"/>
      <w:jc w:val="left"/>
    </w:pPr>
    <w:rPr>
      <w:rFonts w:ascii="Courier New" w:hAnsi="Courier New" w:cs="Courier New"/>
      <w:color w:val="00000A"/>
      <w:sz w:val="20"/>
      <w:szCs w:val="20"/>
    </w:rPr>
  </w:style>
  <w:style w:type="paragraph" w:customStyle="1" w:styleId="216">
    <w:name w:val="Красная строка 21"/>
    <w:basedOn w:val="afe"/>
    <w:qFormat/>
    <w:rsid w:val="00DA48F7"/>
    <w:pPr>
      <w:tabs>
        <w:tab w:val="left" w:pos="708"/>
      </w:tabs>
      <w:suppressAutoHyphens/>
      <w:spacing w:line="360" w:lineRule="auto"/>
      <w:ind w:firstLine="210"/>
      <w:jc w:val="both"/>
    </w:pPr>
    <w:rPr>
      <w:rFonts w:ascii="Calibri" w:eastAsia="SimSun" w:hAnsi="Calibri"/>
      <w:color w:val="00000A"/>
      <w:lang w:val="ru-RU" w:eastAsia="en-US"/>
    </w:rPr>
  </w:style>
  <w:style w:type="paragraph" w:customStyle="1" w:styleId="1fff9">
    <w:name w:val="Схема документа1"/>
    <w:basedOn w:val="a3"/>
    <w:qFormat/>
    <w:rsid w:val="00DA48F7"/>
    <w:pPr>
      <w:shd w:val="clear" w:color="auto" w:fill="000080"/>
      <w:tabs>
        <w:tab w:val="left" w:pos="708"/>
      </w:tabs>
      <w:suppressAutoHyphens/>
      <w:spacing w:after="200" w:line="276" w:lineRule="auto"/>
      <w:ind w:firstLine="0"/>
      <w:jc w:val="left"/>
    </w:pPr>
    <w:rPr>
      <w:rFonts w:ascii="Tahoma" w:hAnsi="Tahoma" w:cs="Times New Roman"/>
      <w:color w:val="00000A"/>
      <w:sz w:val="20"/>
      <w:szCs w:val="20"/>
    </w:rPr>
  </w:style>
  <w:style w:type="paragraph" w:customStyle="1" w:styleId="1fffa">
    <w:name w:val="Тема примечания1"/>
    <w:basedOn w:val="1fff"/>
    <w:next w:val="1fff"/>
    <w:qFormat/>
    <w:rsid w:val="00DA48F7"/>
    <w:pPr>
      <w:tabs>
        <w:tab w:val="left" w:pos="708"/>
      </w:tabs>
      <w:spacing w:after="200" w:line="276" w:lineRule="auto"/>
    </w:pPr>
    <w:rPr>
      <w:rFonts w:ascii="Calibri" w:eastAsia="SimSun" w:hAnsi="Calibri"/>
      <w:b/>
      <w:bCs/>
    </w:rPr>
  </w:style>
  <w:style w:type="paragraph" w:customStyle="1" w:styleId="LO-normal3">
    <w:name w:val="LO-normal3"/>
    <w:qFormat/>
    <w:rsid w:val="00DA48F7"/>
    <w:pPr>
      <w:widowControl w:val="0"/>
      <w:suppressAutoHyphens/>
      <w:spacing w:after="0" w:line="240" w:lineRule="auto"/>
    </w:pPr>
    <w:rPr>
      <w:rFonts w:ascii="Times New Roman" w:eastAsia="Times New Roman" w:hAnsi="Times New Roman" w:cs="Times New Roman"/>
      <w:color w:val="00000A"/>
      <w:sz w:val="28"/>
      <w:szCs w:val="28"/>
      <w:lang w:eastAsia="ru-RU"/>
    </w:rPr>
  </w:style>
  <w:style w:type="character" w:customStyle="1" w:styleId="1fffb">
    <w:name w:val="Красная строка Знак1"/>
    <w:basedOn w:val="3f3"/>
    <w:uiPriority w:val="99"/>
    <w:semiHidden/>
    <w:rsid w:val="00DA48F7"/>
    <w:rPr>
      <w:rFonts w:ascii="Calibri" w:eastAsia="SimSun" w:hAnsi="Calibri"/>
      <w:color w:val="00000A"/>
      <w:sz w:val="22"/>
      <w:szCs w:val="22"/>
      <w:lang w:eastAsia="en-US"/>
    </w:rPr>
  </w:style>
  <w:style w:type="character" w:customStyle="1" w:styleId="doctitle">
    <w:name w:val="doctitle"/>
    <w:basedOn w:val="a4"/>
    <w:qFormat/>
    <w:rsid w:val="00DA48F7"/>
  </w:style>
  <w:style w:type="character" w:customStyle="1" w:styleId="4c">
    <w:name w:val="Строгий4"/>
    <w:rsid w:val="00DA48F7"/>
    <w:rPr>
      <w:b/>
      <w:bCs/>
    </w:rPr>
  </w:style>
  <w:style w:type="paragraph" w:customStyle="1" w:styleId="Preformat">
    <w:name w:val="Preformat"/>
    <w:qFormat/>
    <w:rsid w:val="00BF6A30"/>
    <w:pPr>
      <w:spacing w:after="0" w:line="240" w:lineRule="auto"/>
    </w:pPr>
    <w:rPr>
      <w:rFonts w:ascii="Courier New" w:eastAsia="Times New Roman" w:hAnsi="Courier New" w:cs="Times New Roman"/>
      <w:snapToGrid w:val="0"/>
      <w:sz w:val="20"/>
      <w:szCs w:val="20"/>
      <w:lang w:eastAsia="ru-RU"/>
    </w:rPr>
  </w:style>
  <w:style w:type="paragraph" w:customStyle="1" w:styleId="66">
    <w:name w:val="Без интервала6"/>
    <w:qFormat/>
    <w:rsid w:val="00E57B5D"/>
    <w:pPr>
      <w:spacing w:after="0" w:line="240" w:lineRule="auto"/>
    </w:pPr>
    <w:rPr>
      <w:rFonts w:ascii="Angsana New" w:hAnsi="Angsana New" w:cs="Angsana New"/>
      <w:lang w:bidi="th-TH"/>
    </w:rPr>
  </w:style>
  <w:style w:type="paragraph" w:customStyle="1" w:styleId="160">
    <w:name w:val="Абзац списка16"/>
    <w:basedOn w:val="a3"/>
    <w:qFormat/>
    <w:rsid w:val="00A60D31"/>
    <w:pPr>
      <w:ind w:left="720" w:firstLine="0"/>
      <w:contextualSpacing/>
      <w:jc w:val="left"/>
    </w:pPr>
    <w:rPr>
      <w:rFonts w:ascii="PT Sans" w:eastAsia="Tahoma" w:hAnsi="PT Sans" w:cs="Mangal"/>
      <w:sz w:val="24"/>
      <w:szCs w:val="21"/>
      <w:lang w:eastAsia="zh-CN" w:bidi="hi-IN"/>
    </w:rPr>
  </w:style>
  <w:style w:type="numbering" w:customStyle="1" w:styleId="94">
    <w:name w:val="Нет списка9"/>
    <w:next w:val="a6"/>
    <w:uiPriority w:val="99"/>
    <w:semiHidden/>
    <w:unhideWhenUsed/>
    <w:rsid w:val="000B26F4"/>
  </w:style>
  <w:style w:type="table" w:customStyle="1" w:styleId="TableNormal2">
    <w:name w:val="Table Normal2"/>
    <w:rsid w:val="000B26F4"/>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fffff7">
    <w:name w:val="Колонтитулы"/>
    <w:rsid w:val="000B26F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lang w:eastAsia="ru-RU"/>
    </w:rPr>
  </w:style>
  <w:style w:type="table" w:customStyle="1" w:styleId="100">
    <w:name w:val="Сетка таблицы10"/>
    <w:basedOn w:val="a5"/>
    <w:next w:val="aff4"/>
    <w:uiPriority w:val="39"/>
    <w:rsid w:val="000B26F4"/>
    <w:pPr>
      <w:spacing w:after="0" w:line="240" w:lineRule="auto"/>
    </w:pPr>
    <w:rPr>
      <w:rFonts w:ascii="Times New Roman" w:eastAsia="Arial Unicode MS"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ff4"/>
    <w:uiPriority w:val="39"/>
    <w:rsid w:val="000B26F4"/>
    <w:pPr>
      <w:spacing w:after="0" w:line="240" w:lineRule="auto"/>
    </w:pPr>
    <w:rPr>
      <w:rFonts w:ascii="PT Astra Serif" w:eastAsia="Calibri" w:hAnsi="PT Astra Serif"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5"/>
    <w:next w:val="aff4"/>
    <w:uiPriority w:val="39"/>
    <w:rsid w:val="00B22D7D"/>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
    <w:name w:val="Нет списка10"/>
    <w:next w:val="a6"/>
    <w:uiPriority w:val="99"/>
    <w:semiHidden/>
    <w:unhideWhenUsed/>
    <w:rsid w:val="004B4863"/>
  </w:style>
  <w:style w:type="character" w:customStyle="1" w:styleId="2ff7">
    <w:name w:val="Заголовок Знак2"/>
    <w:basedOn w:val="a4"/>
    <w:rsid w:val="004B4863"/>
    <w:rPr>
      <w:rFonts w:asciiTheme="majorHAnsi" w:eastAsiaTheme="majorEastAsia" w:hAnsiTheme="majorHAnsi" w:cstheme="majorBidi"/>
      <w:spacing w:val="-10"/>
      <w:kern w:val="28"/>
      <w:sz w:val="56"/>
      <w:szCs w:val="56"/>
    </w:rPr>
  </w:style>
  <w:style w:type="character" w:customStyle="1" w:styleId="1fffc">
    <w:name w:val="Текст Знак1"/>
    <w:basedOn w:val="a4"/>
    <w:semiHidden/>
    <w:rsid w:val="004B4863"/>
    <w:rPr>
      <w:rFonts w:ascii="Consolas" w:hAnsi="Consolas" w:cs="Consolas"/>
      <w:sz w:val="21"/>
      <w:szCs w:val="21"/>
    </w:rPr>
  </w:style>
  <w:style w:type="character" w:customStyle="1" w:styleId="711">
    <w:name w:val="Заголовок 7 Знак1"/>
    <w:basedOn w:val="a4"/>
    <w:semiHidden/>
    <w:rsid w:val="004B4863"/>
    <w:rPr>
      <w:rFonts w:ascii="Century Gothic" w:eastAsia="Times New Roman" w:hAnsi="Century Gothic" w:cs="Times New Roman" w:hint="default"/>
      <w:i/>
      <w:iCs/>
      <w:color w:val="570A09" w:themeColor="accent1" w:themeShade="7F"/>
      <w:sz w:val="28"/>
      <w:szCs w:val="22"/>
    </w:rPr>
  </w:style>
  <w:style w:type="character" w:customStyle="1" w:styleId="811">
    <w:name w:val="Заголовок 8 Знак1"/>
    <w:basedOn w:val="a4"/>
    <w:uiPriority w:val="9"/>
    <w:semiHidden/>
    <w:rsid w:val="004B4863"/>
    <w:rPr>
      <w:rFonts w:ascii="Century Gothic" w:eastAsia="Times New Roman" w:hAnsi="Century Gothic" w:cs="Times New Roman" w:hint="default"/>
      <w:color w:val="272727" w:themeColor="text1" w:themeTint="D8"/>
      <w:sz w:val="21"/>
      <w:szCs w:val="21"/>
    </w:rPr>
  </w:style>
  <w:style w:type="character" w:customStyle="1" w:styleId="911">
    <w:name w:val="Заголовок 9 Знак1"/>
    <w:basedOn w:val="a4"/>
    <w:uiPriority w:val="9"/>
    <w:semiHidden/>
    <w:rsid w:val="004B4863"/>
    <w:rPr>
      <w:rFonts w:ascii="Century Gothic" w:eastAsia="Times New Roman" w:hAnsi="Century Gothic" w:cs="Times New Roman" w:hint="default"/>
      <w:i/>
      <w:iCs/>
      <w:color w:val="272727" w:themeColor="text1" w:themeTint="D8"/>
      <w:sz w:val="21"/>
      <w:szCs w:val="21"/>
    </w:rPr>
  </w:style>
  <w:style w:type="character" w:customStyle="1" w:styleId="217">
    <w:name w:val="Основной текст 2 Знак1"/>
    <w:basedOn w:val="a4"/>
    <w:semiHidden/>
    <w:rsid w:val="004B4863"/>
    <w:rPr>
      <w:rFonts w:ascii="Times New Roman" w:hAnsi="Times New Roman" w:cs="Times New Roman"/>
      <w:sz w:val="28"/>
    </w:rPr>
  </w:style>
  <w:style w:type="character" w:customStyle="1" w:styleId="313">
    <w:name w:val="Основной текст 3 Знак1"/>
    <w:basedOn w:val="a4"/>
    <w:uiPriority w:val="99"/>
    <w:semiHidden/>
    <w:rsid w:val="004B4863"/>
    <w:rPr>
      <w:rFonts w:ascii="Times New Roman" w:hAnsi="Times New Roman" w:cs="Times New Roman"/>
      <w:sz w:val="16"/>
      <w:szCs w:val="16"/>
    </w:rPr>
  </w:style>
  <w:style w:type="character" w:customStyle="1" w:styleId="314">
    <w:name w:val="Основной текст с отступом 3 Знак1"/>
    <w:basedOn w:val="a4"/>
    <w:uiPriority w:val="99"/>
    <w:semiHidden/>
    <w:rsid w:val="004B4863"/>
    <w:rPr>
      <w:rFonts w:ascii="Times New Roman" w:hAnsi="Times New Roman" w:cs="Times New Roman"/>
      <w:sz w:val="16"/>
      <w:szCs w:val="16"/>
    </w:rPr>
  </w:style>
  <w:style w:type="character" w:customStyle="1" w:styleId="1fffd">
    <w:name w:val="Подзаголовок Знак1"/>
    <w:basedOn w:val="a4"/>
    <w:uiPriority w:val="11"/>
    <w:rsid w:val="004B4863"/>
    <w:rPr>
      <w:rFonts w:eastAsiaTheme="minorEastAsia"/>
      <w:color w:val="5A5A5A" w:themeColor="text1" w:themeTint="A5"/>
      <w:spacing w:val="15"/>
    </w:rPr>
  </w:style>
  <w:style w:type="character" w:customStyle="1" w:styleId="218">
    <w:name w:val="Красная строка 2 Знак1"/>
    <w:basedOn w:val="1ff4"/>
    <w:semiHidden/>
    <w:rsid w:val="004B4863"/>
    <w:rPr>
      <w:rFonts w:ascii="Times New Roman" w:eastAsia="Calibri" w:hAnsi="Times New Roman" w:cs="Times New Roman"/>
      <w:sz w:val="28"/>
    </w:rPr>
  </w:style>
  <w:style w:type="character" w:customStyle="1" w:styleId="1fffe">
    <w:name w:val="Схема документа Знак1"/>
    <w:basedOn w:val="a4"/>
    <w:semiHidden/>
    <w:rsid w:val="004B4863"/>
    <w:rPr>
      <w:rFonts w:ascii="Segoe UI" w:hAnsi="Segoe UI" w:cs="Segoe UI"/>
      <w:sz w:val="16"/>
      <w:szCs w:val="16"/>
    </w:rPr>
  </w:style>
  <w:style w:type="character" w:customStyle="1" w:styleId="11pt0">
    <w:name w:val="Основной текст + 11 pt"/>
    <w:aliases w:val="Не полужирный"/>
    <w:basedOn w:val="aff7"/>
    <w:rsid w:val="004B4863"/>
    <w:rPr>
      <w:rFonts w:ascii="Times New Roman" w:eastAsia="Times New Roman" w:hAnsi="Times New Roman" w:cs="Times New Roman"/>
      <w:b/>
      <w:bCs/>
      <w:color w:val="000000"/>
      <w:spacing w:val="0"/>
      <w:w w:val="100"/>
      <w:position w:val="0"/>
      <w:sz w:val="22"/>
      <w:szCs w:val="22"/>
      <w:shd w:val="clear" w:color="auto" w:fill="FFFFFF"/>
      <w:lang w:val="ru-RU"/>
    </w:rPr>
  </w:style>
  <w:style w:type="character" w:customStyle="1" w:styleId="13pt0">
    <w:name w:val="Основной текст + 13 pt"/>
    <w:aliases w:val="Полужирный,Курсив"/>
    <w:basedOn w:val="2fb"/>
    <w:rsid w:val="004B4863"/>
    <w:rPr>
      <w:rFonts w:ascii="Times New Roman" w:eastAsia="Times New Roman" w:hAnsi="Times New Roman" w:cs="Times New Roman" w:hint="default"/>
      <w:b/>
      <w:bCs/>
      <w:i/>
      <w:iCs/>
      <w:caps w:val="0"/>
      <w:smallCaps w:val="0"/>
      <w:strike w:val="0"/>
      <w:dstrike w:val="0"/>
      <w:color w:val="000000"/>
      <w:spacing w:val="0"/>
      <w:w w:val="100"/>
      <w:position w:val="0"/>
      <w:sz w:val="26"/>
      <w:szCs w:val="26"/>
      <w:u w:val="none"/>
      <w:effect w:val="none"/>
      <w:shd w:val="clear" w:color="auto" w:fill="FFFFFF"/>
      <w:vertAlign w:val="baseline"/>
      <w:lang w:val="ru-RU"/>
    </w:rPr>
  </w:style>
  <w:style w:type="character" w:customStyle="1" w:styleId="Bodytext212pt">
    <w:name w:val="Body text (2) + 12 pt"/>
    <w:aliases w:val="Bold"/>
    <w:basedOn w:val="a4"/>
    <w:qFormat/>
    <w:rsid w:val="004B4863"/>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219">
    <w:name w:val="Цитата 2 Знак1"/>
    <w:basedOn w:val="a4"/>
    <w:uiPriority w:val="29"/>
    <w:rsid w:val="004B4863"/>
    <w:rPr>
      <w:rFonts w:ascii="Times New Roman" w:hAnsi="Times New Roman" w:cs="Times New Roman"/>
      <w:i/>
      <w:iCs/>
      <w:color w:val="404040" w:themeColor="text1" w:themeTint="BF"/>
      <w:sz w:val="28"/>
    </w:rPr>
  </w:style>
  <w:style w:type="character" w:customStyle="1" w:styleId="1ffff">
    <w:name w:val="Выделенная цитата Знак1"/>
    <w:basedOn w:val="a4"/>
    <w:uiPriority w:val="30"/>
    <w:rsid w:val="004B4863"/>
    <w:rPr>
      <w:rFonts w:ascii="Times New Roman" w:hAnsi="Times New Roman" w:cs="Times New Roman"/>
      <w:i/>
      <w:iCs/>
      <w:color w:val="B01513" w:themeColor="accent1"/>
      <w:sz w:val="28"/>
    </w:rPr>
  </w:style>
  <w:style w:type="character" w:customStyle="1" w:styleId="overflow-hidden">
    <w:name w:val="overflow-hidden"/>
    <w:basedOn w:val="a4"/>
    <w:rsid w:val="004B4863"/>
  </w:style>
  <w:style w:type="table" w:customStyle="1" w:styleId="150">
    <w:name w:val="Сетка таблицы15"/>
    <w:basedOn w:val="a5"/>
    <w:next w:val="aff4"/>
    <w:uiPriority w:val="39"/>
    <w:rsid w:val="004B4863"/>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8">
    <w:name w:val="Светлая заливка2"/>
    <w:basedOn w:val="a5"/>
    <w:next w:val="affffc"/>
    <w:uiPriority w:val="60"/>
    <w:semiHidden/>
    <w:unhideWhenUsed/>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
    <w:name w:val="Светлая заливка - Акцент 11"/>
    <w:basedOn w:val="a5"/>
    <w:next w:val="-1"/>
    <w:uiPriority w:val="60"/>
    <w:semiHidden/>
    <w:unhideWhenUsed/>
    <w:rsid w:val="004B4863"/>
    <w:pPr>
      <w:spacing w:after="0" w:line="240" w:lineRule="auto"/>
    </w:pPr>
    <w:rPr>
      <w:rFonts w:ascii="Century Gothic" w:hAnsi="Century Gothic" w:cs="Times New Roman"/>
      <w:color w:val="830F0E" w:themeColor="accent1" w:themeShade="BF"/>
    </w:rPr>
    <w:tblPr>
      <w:tblStyleRowBandSize w:val="1"/>
      <w:tblStyleColBandSize w:val="1"/>
      <w:tblInd w:w="0" w:type="nil"/>
      <w:tblBorders>
        <w:top w:val="single" w:sz="8" w:space="0" w:color="B01513" w:themeColor="accent1"/>
        <w:bottom w:val="single" w:sz="8" w:space="0" w:color="B01513" w:themeColor="accent1"/>
      </w:tblBorders>
    </w:tblPr>
    <w:tblStylePr w:type="firstRow">
      <w:pPr>
        <w:spacing w:beforeLines="0" w:before="0" w:beforeAutospacing="0" w:afterLines="0" w:after="0" w:afterAutospacing="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B9B8" w:themeFill="accent1" w:themeFillTint="3F"/>
      </w:tcPr>
    </w:tblStylePr>
    <w:tblStylePr w:type="band1Horz">
      <w:tblPr/>
      <w:tcPr>
        <w:tcBorders>
          <w:left w:val="nil"/>
          <w:right w:val="nil"/>
          <w:insideH w:val="nil"/>
          <w:insideV w:val="nil"/>
        </w:tcBorders>
        <w:shd w:val="clear" w:color="auto" w:fill="F7B9B8" w:themeFill="accent1" w:themeFillTint="3F"/>
      </w:tcPr>
    </w:tblStylePr>
  </w:style>
  <w:style w:type="table" w:customStyle="1" w:styleId="1-12">
    <w:name w:val="Средняя сетка 1 - Акцент 12"/>
    <w:basedOn w:val="a5"/>
    <w:next w:val="1-1"/>
    <w:uiPriority w:val="67"/>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22">
    <w:name w:val="Светлая заливка - Акцент 22"/>
    <w:basedOn w:val="a5"/>
    <w:next w:val="-20"/>
    <w:uiPriority w:val="60"/>
    <w:semiHidden/>
    <w:unhideWhenUsed/>
    <w:rsid w:val="004B4863"/>
    <w:pPr>
      <w:spacing w:after="0" w:line="240" w:lineRule="auto"/>
    </w:pPr>
    <w:rPr>
      <w:rFonts w:ascii="Calibri" w:eastAsia="Calibri" w:hAnsi="Calibri" w:cs="Times New Roman"/>
      <w:color w:val="943634"/>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20">
    <w:name w:val="Светлая сетка - Акцент 22"/>
    <w:basedOn w:val="a5"/>
    <w:next w:val="-2"/>
    <w:uiPriority w:val="62"/>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20">
    <w:name w:val="Средняя заливка 1 - Акцент 22"/>
    <w:basedOn w:val="a5"/>
    <w:next w:val="1-20"/>
    <w:uiPriority w:val="63"/>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211">
    <w:name w:val="Средний список 1 - Акцент 21"/>
    <w:basedOn w:val="a5"/>
    <w:next w:val="1-22"/>
    <w:uiPriority w:val="65"/>
    <w:semiHidden/>
    <w:unhideWhenUsed/>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8" w:space="0" w:color="C0504D"/>
        <w:bottom w:val="single" w:sz="8" w:space="0" w:color="C0504D"/>
      </w:tblBorders>
    </w:tblPr>
    <w:tblStylePr w:type="firstRow">
      <w:rPr>
        <w:rFonts w:ascii="DengXian" w:eastAsia="Times New Roman" w:hAnsi="DengXian" w:cs="Times New Roman" w:hint="eastAsia"/>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1-221">
    <w:name w:val="Средняя сетка 1 - Акцент 22"/>
    <w:basedOn w:val="a5"/>
    <w:next w:val="1-2"/>
    <w:uiPriority w:val="67"/>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3-22">
    <w:name w:val="Средняя сетка 3 - Акцент 22"/>
    <w:basedOn w:val="a5"/>
    <w:next w:val="3-2"/>
    <w:uiPriority w:val="69"/>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221">
    <w:name w:val="Цветная заливка - Акцент 22"/>
    <w:basedOn w:val="a5"/>
    <w:next w:val="-21"/>
    <w:uiPriority w:val="71"/>
    <w:semiHidden/>
    <w:unhideWhenUsed/>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42">
    <w:name w:val="Цветная сетка - Акцент 42"/>
    <w:basedOn w:val="a5"/>
    <w:next w:val="-4"/>
    <w:uiPriority w:val="73"/>
    <w:semiHidden/>
    <w:unhideWhenUsed/>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52">
    <w:name w:val="Средняя заливка 1 - Акцент 52"/>
    <w:basedOn w:val="a5"/>
    <w:next w:val="1-50"/>
    <w:uiPriority w:val="63"/>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0">
    <w:name w:val="Средняя сетка 1 - Акцент 52"/>
    <w:basedOn w:val="a5"/>
    <w:next w:val="1-5"/>
    <w:uiPriority w:val="67"/>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52">
    <w:name w:val="Цветная сетка - Акцент 52"/>
    <w:basedOn w:val="a5"/>
    <w:next w:val="-5"/>
    <w:uiPriority w:val="73"/>
    <w:semiHidden/>
    <w:unhideWhenUsed/>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62">
    <w:name w:val="Светлая сетка - Акцент 62"/>
    <w:basedOn w:val="a5"/>
    <w:next w:val="-6"/>
    <w:uiPriority w:val="62"/>
    <w:semiHidden/>
    <w:unhideWhenUsed/>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72">
    <w:name w:val="Список-таблица 7 цветная2"/>
    <w:basedOn w:val="a5"/>
    <w:next w:val="-7"/>
    <w:uiPriority w:val="52"/>
    <w:rsid w:val="004B4863"/>
    <w:pPr>
      <w:spacing w:after="0" w:line="240" w:lineRule="auto"/>
    </w:pPr>
    <w:rPr>
      <w:rFonts w:ascii="Calibri" w:eastAsia="Times New Roman" w:hAnsi="Calibri" w:cs="Times New Roman"/>
      <w:color w:val="000000"/>
    </w:rPr>
    <w:tblPr>
      <w:tblStyleRowBandSize w:val="1"/>
      <w:tblStyleColBandSize w:val="1"/>
      <w:tblInd w:w="0" w:type="nil"/>
    </w:tblPr>
    <w:tblStylePr w:type="firstRow">
      <w:rPr>
        <w:rFonts w:ascii="Cambria" w:eastAsia="Times New Roman" w:hAnsi="Cambria" w:cs="Times New Roman" w:hint="default"/>
        <w:i/>
        <w:iCs/>
        <w:sz w:val="26"/>
        <w:szCs w:val="26"/>
      </w:rPr>
      <w:tblPr/>
      <w:tcPr>
        <w:tcBorders>
          <w:bottom w:val="single" w:sz="4" w:space="0" w:color="000000"/>
        </w:tcBorders>
        <w:shd w:val="clear" w:color="auto" w:fill="FFFFFF"/>
      </w:tcPr>
    </w:tblStylePr>
    <w:tblStylePr w:type="lastRow">
      <w:rPr>
        <w:rFonts w:ascii="Cambria" w:eastAsia="Times New Roman" w:hAnsi="Cambria" w:cs="Times New Roman" w:hint="default"/>
        <w:i/>
        <w:iCs/>
        <w:sz w:val="26"/>
        <w:szCs w:val="26"/>
      </w:rPr>
      <w:tblPr/>
      <w:tcPr>
        <w:tcBorders>
          <w:top w:val="single" w:sz="4" w:space="0" w:color="000000"/>
        </w:tcBorders>
        <w:shd w:val="clear" w:color="auto" w:fill="FFFFFF"/>
      </w:tcPr>
    </w:tblStylePr>
    <w:tblStylePr w:type="firstCol">
      <w:pPr>
        <w:jc w:val="right"/>
      </w:pPr>
      <w:rPr>
        <w:rFonts w:ascii="Cambria" w:eastAsia="Times New Roman" w:hAnsi="Cambria" w:cs="Times New Roman" w:hint="default"/>
        <w:i/>
        <w:iCs/>
        <w:sz w:val="26"/>
        <w:szCs w:val="26"/>
      </w:rPr>
      <w:tblPr/>
      <w:tcPr>
        <w:tcBorders>
          <w:right w:val="single" w:sz="4" w:space="0" w:color="000000"/>
        </w:tcBorders>
        <w:shd w:val="clear" w:color="auto" w:fill="FFFFFF"/>
      </w:tcPr>
    </w:tblStylePr>
    <w:tblStylePr w:type="lastCol">
      <w:rPr>
        <w:rFonts w:ascii="Cambria" w:eastAsia="Times New Roman" w:hAnsi="Cambria" w:cs="Times New Roman" w:hint="default"/>
        <w:i/>
        <w:iCs/>
        <w:sz w:val="26"/>
        <w:szCs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0">
    <w:name w:val="Список-таблица 1 светлая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Normal3">
    <w:name w:val="Table Normal3"/>
    <w:rsid w:val="004B4863"/>
    <w:pPr>
      <w:spacing w:after="80" w:line="240" w:lineRule="auto"/>
    </w:pPr>
    <w:rPr>
      <w:rFonts w:ascii="Times New Roman" w:eastAsia="Arial Unicode MS" w:hAnsi="Times New Roman" w:cs="Times New Roman"/>
      <w:sz w:val="20"/>
      <w:szCs w:val="20"/>
    </w:rPr>
    <w:tblPr>
      <w:tblCellMar>
        <w:top w:w="0" w:type="dxa"/>
        <w:left w:w="0" w:type="dxa"/>
        <w:bottom w:w="0" w:type="dxa"/>
        <w:right w:w="0" w:type="dxa"/>
      </w:tblCellMar>
    </w:tblPr>
  </w:style>
  <w:style w:type="table" w:customStyle="1" w:styleId="161">
    <w:name w:val="Сетка таблицы16"/>
    <w:basedOn w:val="a5"/>
    <w:uiPriority w:val="3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5"/>
    <w:rsid w:val="004B4863"/>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етка таблицы31"/>
    <w:basedOn w:val="a5"/>
    <w:rsid w:val="004B486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
    <w:basedOn w:val="a5"/>
    <w:rsid w:val="004B486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5"/>
    <w:uiPriority w:val="3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5"/>
    <w:uiPriority w:val="39"/>
    <w:rsid w:val="004B4863"/>
    <w:pPr>
      <w:spacing w:after="0" w:line="240" w:lineRule="auto"/>
    </w:pPr>
    <w:rPr>
      <w:rFonts w:ascii="Century Gothic" w:hAnsi="Century Gothic"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5"/>
    <w:uiPriority w:val="59"/>
    <w:rsid w:val="004B4863"/>
    <w:pPr>
      <w:spacing w:after="0" w:line="240" w:lineRule="auto"/>
    </w:pPr>
    <w:rPr>
      <w:rFonts w:ascii="Century Gothic" w:eastAsia="Calibri" w:hAnsi="Century Gothic"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5"/>
    <w:uiPriority w:val="59"/>
    <w:rsid w:val="004B4863"/>
    <w:pPr>
      <w:spacing w:after="0" w:line="240" w:lineRule="auto"/>
    </w:pPr>
    <w:rPr>
      <w:rFonts w:ascii="Century Gothic" w:eastAsia="Times New Roman" w:hAnsi="Century Gothic"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5"/>
    <w:uiPriority w:val="39"/>
    <w:rsid w:val="004B4863"/>
    <w:pPr>
      <w:spacing w:after="0" w:line="240" w:lineRule="auto"/>
    </w:pPr>
    <w:rPr>
      <w:rFonts w:ascii="Century Gothic" w:eastAsia="Calibri" w:hAnsi="Century Gothic"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uiPriority w:val="59"/>
    <w:rsid w:val="004B4863"/>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ветлая сетка - Акцент 211"/>
    <w:basedOn w:val="a5"/>
    <w:uiPriority w:val="62"/>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11">
    <w:name w:val="Средняя сетка 3 - Акцент 211"/>
    <w:basedOn w:val="a5"/>
    <w:uiPriority w:val="69"/>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110">
    <w:name w:val="Средняя сетка 1 - Акцент 211"/>
    <w:basedOn w:val="a5"/>
    <w:uiPriority w:val="67"/>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1">
    <w:name w:val="Средняя сетка 1 - Акцент 111"/>
    <w:basedOn w:val="a5"/>
    <w:uiPriority w:val="67"/>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11">
    <w:name w:val="Средняя сетка 1 - Акцент 511"/>
    <w:basedOn w:val="a5"/>
    <w:uiPriority w:val="67"/>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110">
    <w:name w:val="Средняя заливка 1 - Акцент 511"/>
    <w:basedOn w:val="a5"/>
    <w:uiPriority w:val="63"/>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110">
    <w:name w:val="Светлая сетка - Акцент 611"/>
    <w:basedOn w:val="a5"/>
    <w:uiPriority w:val="62"/>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DengXian" w:eastAsia="Times New Roman" w:hAnsi="DengXian" w:cs="Times New Roman" w:hint="eastAsia"/>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DengXian" w:eastAsia="Times New Roman" w:hAnsi="DengXian" w:cs="Times New Roman" w:hint="eastAsia"/>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11">
    <w:name w:val="Светлая заливка - Акцент 211"/>
    <w:basedOn w:val="a5"/>
    <w:uiPriority w:val="60"/>
    <w:rsid w:val="004B4863"/>
    <w:pPr>
      <w:spacing w:after="0" w:line="240" w:lineRule="auto"/>
    </w:pPr>
    <w:rPr>
      <w:rFonts w:ascii="Calibri" w:eastAsia="Calibri" w:hAnsi="Calibri" w:cs="Times New Roman"/>
      <w:color w:val="943634"/>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112">
    <w:name w:val="Цветная заливка - Акцент 211"/>
    <w:basedOn w:val="a5"/>
    <w:uiPriority w:val="71"/>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110">
    <w:name w:val="Цветная сетка - Акцент 511"/>
    <w:basedOn w:val="a5"/>
    <w:uiPriority w:val="73"/>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111">
    <w:name w:val="Сетка таблицы1111"/>
    <w:basedOn w:val="a5"/>
    <w:uiPriority w:val="5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Цветная сетка - Акцент 411"/>
    <w:basedOn w:val="a5"/>
    <w:uiPriority w:val="73"/>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18">
    <w:name w:val="Светлая заливка11"/>
    <w:basedOn w:val="a5"/>
    <w:uiPriority w:val="60"/>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яя заливка 1 - Акцент 211"/>
    <w:basedOn w:val="a5"/>
    <w:uiPriority w:val="63"/>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5110">
    <w:name w:val="Сетка таблицы511"/>
    <w:basedOn w:val="a5"/>
    <w:uiPriority w:val="3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5"/>
    <w:uiPriority w:val="59"/>
    <w:rsid w:val="004B4863"/>
    <w:pPr>
      <w:spacing w:after="0" w:line="240" w:lineRule="auto"/>
    </w:pPr>
    <w:rPr>
      <w:rFonts w:ascii="Times New Roman" w:eastAsia="Calibri"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5"/>
    <w:uiPriority w:val="39"/>
    <w:rsid w:val="004B4863"/>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5"/>
    <w:uiPriority w:val="5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5"/>
    <w:uiPriority w:val="59"/>
    <w:rsid w:val="004B4863"/>
    <w:pPr>
      <w:spacing w:after="0" w:line="240" w:lineRule="auto"/>
    </w:pPr>
    <w:rPr>
      <w:rFonts w:ascii="Century Gothic" w:hAnsi="Century Gothic" w:cs="Times New Roman"/>
    </w:rPr>
    <w:tblPr>
      <w:tblInd w:w="0" w:type="nil"/>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12">
    <w:name w:val="Таблица простая 111"/>
    <w:basedOn w:val="a5"/>
    <w:uiPriority w:val="59"/>
    <w:rsid w:val="004B4863"/>
    <w:pPr>
      <w:spacing w:after="0" w:line="240" w:lineRule="auto"/>
    </w:pPr>
    <w:rPr>
      <w:rFonts w:ascii="Century Gothic" w:hAnsi="Century Gothic" w:cs="Times New Roman"/>
    </w:rPr>
    <w:tblPr>
      <w:tblInd w:w="0" w:type="nil"/>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2112">
    <w:name w:val="Таблица простая 211"/>
    <w:basedOn w:val="a5"/>
    <w:uiPriority w:val="59"/>
    <w:rsid w:val="004B4863"/>
    <w:pPr>
      <w:spacing w:after="0" w:line="240" w:lineRule="auto"/>
    </w:pPr>
    <w:rPr>
      <w:rFonts w:ascii="Century Gothic" w:hAnsi="Century Gothic" w:cs="Times New Roman"/>
    </w:rPr>
    <w:tblPr>
      <w:tblInd w:w="0" w:type="nil"/>
      <w:tblBorders>
        <w:top w:val="single" w:sz="4" w:space="0" w:color="000000" w:themeColor="text1"/>
        <w:bottom w:val="single" w:sz="4" w:space="0" w:color="000000" w:themeColor="text1"/>
      </w:tblBorders>
    </w:tblPr>
    <w:tblStylePr w:type="firstRow">
      <w:rPr>
        <w:rFonts w:ascii="Arial" w:hAnsi="Arial" w:cs="Arial" w:hint="default"/>
        <w:b/>
        <w:color w:val="404040"/>
        <w:sz w:val="22"/>
        <w:szCs w:val="22"/>
      </w:rPr>
      <w:tblPr/>
      <w:tcPr>
        <w:tcBorders>
          <w:top w:val="single" w:sz="4" w:space="0" w:color="000000" w:themeColor="text1"/>
          <w:bottom w:val="single" w:sz="4" w:space="0" w:color="000000" w:themeColor="text1"/>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10">
    <w:name w:val="Таблица простая 3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4110">
    <w:name w:val="Таблица простая 4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5111">
    <w:name w:val="Таблица простая 5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1111">
    <w:name w:val="Таблица-сетка 1 светл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b/>
        <w:color w:val="404040"/>
      </w:rPr>
      <w:tblPr/>
      <w:tcPr>
        <w:tcBorders>
          <w:bottom w:val="single" w:sz="12" w:space="0" w:color="ED5A5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GridTable1Light-Accent21">
    <w:name w:val="Grid Table 1 Light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b/>
        <w:color w:val="404040"/>
      </w:rPr>
      <w:tblPr/>
      <w:tcPr>
        <w:tcBorders>
          <w:bottom w:val="single" w:sz="12" w:space="0" w:color="F4A272"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GridTable1Light-Accent31">
    <w:name w:val="Grid Table 1 Light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b/>
        <w:color w:val="404040"/>
      </w:rPr>
      <w:tblPr/>
      <w:tcPr>
        <w:tcBorders>
          <w:bottom w:val="single" w:sz="12" w:space="0" w:color="F0D481"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GridTable1Light-Accent41">
    <w:name w:val="Grid Table 1 Light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b/>
        <w:color w:val="404040"/>
      </w:rPr>
      <w:tblPr/>
      <w:tcPr>
        <w:tcBorders>
          <w:bottom w:val="single" w:sz="12" w:space="0" w:color="A7CEBD"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GridTable1Light-Accent51">
    <w:name w:val="Grid Table 1 Light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b/>
        <w:color w:val="404040"/>
      </w:rPr>
      <w:tblPr/>
      <w:tcPr>
        <w:tcBorders>
          <w:bottom w:val="single" w:sz="12" w:space="0" w:color="98B8C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GridTable1Light-Accent61">
    <w:name w:val="Grid Table 1 Light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b/>
        <w:color w:val="404040"/>
      </w:rPr>
      <w:tblPr/>
      <w:tcPr>
        <w:tcBorders>
          <w:bottom w:val="single" w:sz="12" w:space="0" w:color="C6A0C4"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2113">
    <w:name w:val="Таблица-сетка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single" w:sz="12" w:space="0" w:color="6A6A6A" w:themeColor="text1" w:themeTint="95"/>
          <w:right w:val="none" w:sz="0" w:space="0" w:color="auto"/>
        </w:tcBorders>
        <w:shd w:val="clear" w:color="auto" w:fill="auto"/>
      </w:tcPr>
    </w:tblStylePr>
    <w:tblStylePr w:type="lastRow">
      <w:rPr>
        <w:b/>
        <w:color w:val="404040"/>
      </w:rPr>
      <w:tblPr/>
      <w:tcPr>
        <w:tcBorders>
          <w:top w:val="single" w:sz="4" w:space="0" w:color="6A6A6A" w:themeColor="text1" w:themeTint="9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GridTable2-Accent11">
    <w:name w:val="Grid Table 2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0" w:space="0" w:color="auto"/>
          <w:left w:val="none" w:sz="0" w:space="0" w:color="auto"/>
          <w:bottom w:val="single" w:sz="12" w:space="0" w:color="C71715" w:themeColor="accent1" w:themeTint="EA"/>
          <w:right w:val="none" w:sz="0" w:space="0" w:color="auto"/>
        </w:tcBorders>
        <w:shd w:val="clear" w:color="auto" w:fill="auto"/>
      </w:tcPr>
    </w:tblStylePr>
    <w:tblStylePr w:type="lastRow">
      <w:rPr>
        <w:b/>
        <w:color w:val="404040"/>
      </w:rPr>
      <w:tblPr/>
      <w:tcPr>
        <w:tcBorders>
          <w:top w:val="single" w:sz="4" w:space="0" w:color="C71715" w:themeColor="accent1" w:themeTint="E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8C5C4" w:themeFill="accent1" w:themeFillTint="34"/>
      </w:tcPr>
    </w:tblStylePr>
    <w:tblStylePr w:type="band1Horz">
      <w:rPr>
        <w:rFonts w:ascii="Arial" w:hAnsi="Arial" w:cs="Arial" w:hint="default"/>
        <w:color w:val="404040"/>
        <w:sz w:val="22"/>
        <w:szCs w:val="22"/>
      </w:rPr>
      <w:tblPr/>
      <w:tcPr>
        <w:shd w:val="clear" w:color="auto" w:fill="F8C5C4" w:themeFill="accent1" w:themeFillTint="34"/>
      </w:tcPr>
    </w:tblStylePr>
  </w:style>
  <w:style w:type="table" w:customStyle="1" w:styleId="GridTable2-Accent21">
    <w:name w:val="Grid Table 2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0" w:space="0" w:color="auto"/>
          <w:left w:val="none" w:sz="0" w:space="0" w:color="auto"/>
          <w:bottom w:val="single" w:sz="12" w:space="0" w:color="F4A170" w:themeColor="accent2" w:themeTint="97"/>
          <w:right w:val="none" w:sz="0" w:space="0" w:color="auto"/>
        </w:tcBorders>
        <w:shd w:val="clear" w:color="auto" w:fill="auto"/>
      </w:tcPr>
    </w:tblStylePr>
    <w:tblStylePr w:type="lastRow">
      <w:rPr>
        <w:b/>
        <w:color w:val="404040"/>
      </w:rPr>
      <w:tblPr/>
      <w:tcPr>
        <w:tcBorders>
          <w:top w:val="single" w:sz="4" w:space="0" w:color="F4A170" w:themeColor="accent2" w:themeTint="9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Pr/>
      <w:tcPr>
        <w:shd w:val="clear" w:color="auto" w:fill="FBE0CF" w:themeFill="accent2" w:themeFillTint="32"/>
      </w:tcPr>
    </w:tblStylePr>
  </w:style>
  <w:style w:type="table" w:customStyle="1" w:styleId="GridTable2-Accent31">
    <w:name w:val="Grid Table 2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0" w:space="0" w:color="auto"/>
          <w:left w:val="none" w:sz="0" w:space="0" w:color="auto"/>
          <w:bottom w:val="single" w:sz="12" w:space="0" w:color="E6B629" w:themeColor="accent3" w:themeTint="FE"/>
          <w:right w:val="none" w:sz="0" w:space="0" w:color="auto"/>
        </w:tcBorders>
        <w:shd w:val="clear" w:color="auto" w:fill="auto"/>
      </w:tcPr>
    </w:tblStylePr>
    <w:tblStylePr w:type="lastRow">
      <w:rPr>
        <w:b/>
        <w:color w:val="404040"/>
      </w:rPr>
      <w:tblPr/>
      <w:tcPr>
        <w:tcBorders>
          <w:top w:val="single" w:sz="4" w:space="0" w:color="E6B629" w:themeColor="accent3" w:themeTint="FE"/>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Pr/>
      <w:tcPr>
        <w:shd w:val="clear" w:color="auto" w:fill="FAF0D3" w:themeFill="accent3" w:themeFillTint="34"/>
      </w:tcPr>
    </w:tblStylePr>
  </w:style>
  <w:style w:type="table" w:customStyle="1" w:styleId="GridTable2-Accent41">
    <w:name w:val="Grid Table 2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0" w:space="0" w:color="auto"/>
          <w:left w:val="none" w:sz="0" w:space="0" w:color="auto"/>
          <w:bottom w:val="single" w:sz="12" w:space="0" w:color="A4CCBB" w:themeColor="accent4" w:themeTint="9A"/>
          <w:right w:val="none" w:sz="0" w:space="0" w:color="auto"/>
        </w:tcBorders>
        <w:shd w:val="clear" w:color="auto" w:fill="auto"/>
      </w:tcPr>
    </w:tblStylePr>
    <w:tblStylePr w:type="lastRow">
      <w:rPr>
        <w:b/>
        <w:color w:val="404040"/>
      </w:rPr>
      <w:tblPr/>
      <w:tcPr>
        <w:tcBorders>
          <w:top w:val="single" w:sz="4" w:space="0" w:color="A4CCBB" w:themeColor="accent4" w:themeTint="9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Pr/>
      <w:tcPr>
        <w:shd w:val="clear" w:color="auto" w:fill="E0EEE8" w:themeFill="accent4" w:themeFillTint="34"/>
      </w:tcPr>
    </w:tblStylePr>
  </w:style>
  <w:style w:type="table" w:customStyle="1" w:styleId="GridTable2-Accent51">
    <w:name w:val="Grid Table 2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0" w:space="0" w:color="auto"/>
          <w:left w:val="none" w:sz="0" w:space="0" w:color="auto"/>
          <w:bottom w:val="single" w:sz="12" w:space="0" w:color="54849A" w:themeColor="accent5"/>
          <w:right w:val="none" w:sz="0" w:space="0" w:color="auto"/>
        </w:tcBorders>
        <w:shd w:val="clear" w:color="auto" w:fill="auto"/>
      </w:tcPr>
    </w:tblStylePr>
    <w:tblStylePr w:type="lastRow">
      <w:rPr>
        <w:b/>
        <w:color w:val="404040"/>
      </w:rPr>
      <w:tblPr/>
      <w:tcPr>
        <w:tcBorders>
          <w:top w:val="single" w:sz="4" w:space="0" w:color="54849A" w:themeColor="accent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Pr/>
      <w:tcPr>
        <w:shd w:val="clear" w:color="auto" w:fill="DAE6EB" w:themeFill="accent5" w:themeFillTint="34"/>
      </w:tcPr>
    </w:tblStylePr>
  </w:style>
  <w:style w:type="table" w:customStyle="1" w:styleId="GridTable2-Accent61">
    <w:name w:val="Grid Table 2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0" w:space="0" w:color="auto"/>
          <w:left w:val="none" w:sz="0" w:space="0" w:color="auto"/>
          <w:bottom w:val="single" w:sz="12" w:space="0" w:color="9E5E9B" w:themeColor="accent6"/>
          <w:right w:val="none" w:sz="0" w:space="0" w:color="auto"/>
        </w:tcBorders>
        <w:shd w:val="clear" w:color="auto" w:fill="auto"/>
      </w:tcPr>
    </w:tblStylePr>
    <w:tblStylePr w:type="lastRow">
      <w:rPr>
        <w:b/>
        <w:color w:val="404040"/>
      </w:rPr>
      <w:tblPr/>
      <w:tcPr>
        <w:tcBorders>
          <w:top w:val="single" w:sz="4" w:space="0" w:color="9E5E9B" w:themeColor="accent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Pr/>
      <w:tcPr>
        <w:shd w:val="clear" w:color="auto" w:fill="EBDDEA" w:themeFill="accent6" w:themeFillTint="34"/>
      </w:tcPr>
    </w:tblStylePr>
  </w:style>
  <w:style w:type="table" w:customStyle="1" w:styleId="-311">
    <w:name w:val="Таблица-сетка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GridTable3-Accent11">
    <w:name w:val="Grid Table 3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8C5C4" w:themeFill="accent1" w:themeFillTint="34"/>
      </w:tcPr>
    </w:tblStylePr>
    <w:tblStylePr w:type="band1Horz">
      <w:rPr>
        <w:rFonts w:ascii="Arial" w:hAnsi="Arial" w:cs="Arial" w:hint="default"/>
        <w:color w:val="404040"/>
        <w:sz w:val="22"/>
        <w:szCs w:val="22"/>
      </w:rPr>
      <w:tblPr/>
      <w:tcPr>
        <w:shd w:val="clear" w:color="auto" w:fill="F8C5C4" w:themeFill="accent1" w:themeFillTint="34"/>
      </w:tcPr>
    </w:tblStylePr>
  </w:style>
  <w:style w:type="table" w:customStyle="1" w:styleId="GridTable3-Accent21">
    <w:name w:val="Grid Table 3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Pr/>
      <w:tcPr>
        <w:shd w:val="clear" w:color="auto" w:fill="FBE0CF" w:themeFill="accent2" w:themeFillTint="32"/>
      </w:tcPr>
    </w:tblStylePr>
  </w:style>
  <w:style w:type="table" w:customStyle="1" w:styleId="GridTable3-Accent31">
    <w:name w:val="Grid Table 3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Pr/>
      <w:tcPr>
        <w:shd w:val="clear" w:color="auto" w:fill="FAF0D3" w:themeFill="accent3" w:themeFillTint="34"/>
      </w:tcPr>
    </w:tblStylePr>
  </w:style>
  <w:style w:type="table" w:customStyle="1" w:styleId="GridTable3-Accent41">
    <w:name w:val="Grid Table 3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Pr/>
      <w:tcPr>
        <w:shd w:val="clear" w:color="auto" w:fill="E0EEE8" w:themeFill="accent4" w:themeFillTint="34"/>
      </w:tcPr>
    </w:tblStylePr>
  </w:style>
  <w:style w:type="table" w:customStyle="1" w:styleId="GridTable3-Accent51">
    <w:name w:val="Grid Table 3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Pr/>
      <w:tcPr>
        <w:shd w:val="clear" w:color="auto" w:fill="DAE6EB" w:themeFill="accent5" w:themeFillTint="34"/>
      </w:tcPr>
    </w:tblStylePr>
  </w:style>
  <w:style w:type="table" w:customStyle="1" w:styleId="GridTable3-Accent61">
    <w:name w:val="Grid Table 3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Pr/>
      <w:tcPr>
        <w:shd w:val="clear" w:color="auto" w:fill="EBDDEA" w:themeFill="accent6" w:themeFillTint="34"/>
      </w:tcPr>
    </w:tblStylePr>
  </w:style>
  <w:style w:type="table" w:customStyle="1" w:styleId="-4111">
    <w:name w:val="Таблица-сетка 41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cs="Arial" w:hint="default"/>
        <w:b/>
        <w:color w:val="FFFFFF"/>
        <w:sz w:val="22"/>
        <w:szCs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GridTable4-Accent11">
    <w:name w:val="Grid Table 4 - Accent 1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insideV w:val="single" w:sz="4" w:space="0" w:color="ED605E" w:themeColor="accent1" w:themeTint="90"/>
      </w:tblBorders>
    </w:tblPr>
    <w:tblStylePr w:type="firstRow">
      <w:rPr>
        <w:rFonts w:ascii="Arial" w:hAnsi="Arial" w:cs="Arial" w:hint="default"/>
        <w:b/>
        <w:color w:val="FFFFFF"/>
        <w:sz w:val="22"/>
        <w:szCs w:val="22"/>
      </w:rPr>
      <w:tblPr/>
      <w:tcPr>
        <w:tcBorders>
          <w:top w:val="single" w:sz="4" w:space="0" w:color="C71715" w:themeColor="accent1" w:themeTint="EA"/>
          <w:left w:val="single" w:sz="4" w:space="0" w:color="C71715" w:themeColor="accent1" w:themeTint="EA"/>
          <w:bottom w:val="single" w:sz="4" w:space="0" w:color="C71715" w:themeColor="accent1" w:themeTint="EA"/>
          <w:right w:val="single" w:sz="4" w:space="0" w:color="C71715" w:themeColor="accent1" w:themeTint="EA"/>
        </w:tcBorders>
        <w:shd w:val="clear" w:color="auto" w:fill="C71715" w:themeFill="accent1" w:themeFillTint="EA"/>
      </w:tcPr>
    </w:tblStylePr>
    <w:tblStylePr w:type="lastRow">
      <w:rPr>
        <w:b/>
        <w:color w:val="404040"/>
      </w:rPr>
      <w:tblPr/>
      <w:tcPr>
        <w:tcBorders>
          <w:top w:val="single" w:sz="4" w:space="0" w:color="C71715" w:themeColor="accent1" w:themeTint="EA"/>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9C7C7" w:themeFill="accent1" w:themeFillTint="32"/>
      </w:tcPr>
    </w:tblStylePr>
    <w:tblStylePr w:type="band1Horz">
      <w:rPr>
        <w:rFonts w:ascii="Arial" w:hAnsi="Arial" w:cs="Arial" w:hint="default"/>
        <w:color w:val="404040"/>
        <w:sz w:val="22"/>
        <w:szCs w:val="22"/>
      </w:rPr>
      <w:tblPr/>
      <w:tcPr>
        <w:shd w:val="clear" w:color="auto" w:fill="F9C7C7" w:themeFill="accent1" w:themeFillTint="32"/>
      </w:tcPr>
    </w:tblStylePr>
  </w:style>
  <w:style w:type="table" w:customStyle="1" w:styleId="GridTable4-Accent21">
    <w:name w:val="Grid Table 4 - Accent 2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insideV w:val="single" w:sz="4" w:space="0" w:color="F4A677" w:themeColor="accent2" w:themeTint="90"/>
      </w:tblBorders>
    </w:tblPr>
    <w:tblStylePr w:type="firstRow">
      <w:rPr>
        <w:rFonts w:ascii="Arial" w:hAnsi="Arial" w:cs="Arial" w:hint="default"/>
        <w:b/>
        <w:color w:val="FFFFFF"/>
        <w:sz w:val="22"/>
        <w:szCs w:val="22"/>
      </w:rPr>
      <w:tblPr/>
      <w:tcPr>
        <w:tc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cBorders>
        <w:shd w:val="clear" w:color="auto" w:fill="F4A170" w:themeFill="accent2" w:themeFillTint="97"/>
      </w:tcPr>
    </w:tblStylePr>
    <w:tblStylePr w:type="lastRow">
      <w:rPr>
        <w:b/>
        <w:color w:val="404040"/>
      </w:rPr>
      <w:tblPr/>
      <w:tcPr>
        <w:tcBorders>
          <w:top w:val="single" w:sz="4" w:space="0" w:color="F4A170" w:themeColor="accent2" w:themeTint="97"/>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Pr/>
      <w:tcPr>
        <w:shd w:val="clear" w:color="auto" w:fill="FBE0CF" w:themeFill="accent2" w:themeFillTint="32"/>
      </w:tcPr>
    </w:tblStylePr>
  </w:style>
  <w:style w:type="table" w:customStyle="1" w:styleId="GridTable4-Accent31">
    <w:name w:val="Grid Table 4 - Accent 3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insideV w:val="single" w:sz="4" w:space="0" w:color="F1D686" w:themeColor="accent3" w:themeTint="90"/>
      </w:tblBorders>
    </w:tblPr>
    <w:tblStylePr w:type="firstRow">
      <w:rPr>
        <w:rFonts w:ascii="Arial" w:hAnsi="Arial" w:cs="Arial" w:hint="default"/>
        <w:b/>
        <w:color w:val="FFFFFF"/>
        <w:sz w:val="22"/>
        <w:szCs w:val="22"/>
      </w:rPr>
      <w:tblPr/>
      <w:tcPr>
        <w:tc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tcBorders>
        <w:shd w:val="clear" w:color="auto" w:fill="E6B629" w:themeFill="accent3" w:themeFillTint="FE"/>
      </w:tcPr>
    </w:tblStylePr>
    <w:tblStylePr w:type="lastRow">
      <w:rPr>
        <w:b/>
        <w:color w:val="404040"/>
      </w:rPr>
      <w:tblPr/>
      <w:tcPr>
        <w:tcBorders>
          <w:top w:val="single" w:sz="4" w:space="0" w:color="E6B629" w:themeColor="accent3" w:themeTint="FE"/>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Pr/>
      <w:tcPr>
        <w:shd w:val="clear" w:color="auto" w:fill="FAF0D3" w:themeFill="accent3" w:themeFillTint="34"/>
      </w:tcPr>
    </w:tblStylePr>
  </w:style>
  <w:style w:type="table" w:customStyle="1" w:styleId="GridTable4-Accent41">
    <w:name w:val="Grid Table 4 - Accent 4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insideV w:val="single" w:sz="4" w:space="0" w:color="AAD0C0" w:themeColor="accent4" w:themeTint="90"/>
      </w:tblBorders>
    </w:tblPr>
    <w:tblStylePr w:type="firstRow">
      <w:rPr>
        <w:rFonts w:ascii="Arial" w:hAnsi="Arial" w:cs="Arial" w:hint="default"/>
        <w:b/>
        <w:color w:val="FFFFFF"/>
        <w:sz w:val="22"/>
        <w:szCs w:val="22"/>
      </w:rPr>
      <w:tblPr/>
      <w:tcPr>
        <w:tc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cBorders>
        <w:shd w:val="clear" w:color="auto" w:fill="A4CCBB" w:themeFill="accent4" w:themeFillTint="9A"/>
      </w:tcPr>
    </w:tblStylePr>
    <w:tblStylePr w:type="lastRow">
      <w:rPr>
        <w:b/>
        <w:color w:val="404040"/>
      </w:rPr>
      <w:tblPr/>
      <w:tcPr>
        <w:tcBorders>
          <w:top w:val="single" w:sz="4" w:space="0" w:color="A4CCBB" w:themeColor="accent4" w:themeTint="9A"/>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Pr/>
      <w:tcPr>
        <w:shd w:val="clear" w:color="auto" w:fill="E0EEE8" w:themeFill="accent4" w:themeFillTint="34"/>
      </w:tcPr>
    </w:tblStylePr>
  </w:style>
  <w:style w:type="table" w:customStyle="1" w:styleId="GridTable4-Accent51">
    <w:name w:val="Grid Table 4 - Accent 5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cs="Arial" w:hint="default"/>
        <w:b/>
        <w:color w:val="FFFFFF"/>
        <w:sz w:val="22"/>
        <w:szCs w:val="22"/>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tcBorders>
        <w:shd w:val="clear" w:color="auto" w:fill="54849A" w:themeFill="accent5"/>
      </w:tcPr>
    </w:tblStylePr>
    <w:tblStylePr w:type="lastRow">
      <w:rPr>
        <w:b/>
        <w:color w:val="404040"/>
      </w:rPr>
      <w:tblPr/>
      <w:tcPr>
        <w:tcBorders>
          <w:top w:val="single" w:sz="4" w:space="0" w:color="54849A" w:themeColor="accent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Pr/>
      <w:tcPr>
        <w:shd w:val="clear" w:color="auto" w:fill="DAE6EB" w:themeFill="accent5" w:themeFillTint="34"/>
      </w:tcPr>
    </w:tblStylePr>
  </w:style>
  <w:style w:type="table" w:customStyle="1" w:styleId="GridTable4-Accent61">
    <w:name w:val="Grid Table 4 - Accent 61"/>
    <w:basedOn w:val="a5"/>
    <w:uiPriority w:val="5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cs="Arial" w:hint="default"/>
        <w:b/>
        <w:color w:val="FFFFFF"/>
        <w:sz w:val="22"/>
        <w:szCs w:val="22"/>
      </w:rPr>
      <w:tblPr/>
      <w:tcPr>
        <w:tcBorders>
          <w:top w:val="single" w:sz="4" w:space="0" w:color="9E5E9B" w:themeColor="accent6"/>
          <w:left w:val="single" w:sz="4" w:space="0" w:color="9E5E9B" w:themeColor="accent6"/>
          <w:bottom w:val="single" w:sz="4" w:space="0" w:color="9E5E9B" w:themeColor="accent6"/>
          <w:right w:val="single" w:sz="4" w:space="0" w:color="9E5E9B" w:themeColor="accent6"/>
        </w:tcBorders>
        <w:shd w:val="clear" w:color="auto" w:fill="9E5E9B" w:themeFill="accent6"/>
      </w:tcPr>
    </w:tblStylePr>
    <w:tblStylePr w:type="lastRow">
      <w:rPr>
        <w:b/>
        <w:color w:val="404040"/>
      </w:rPr>
      <w:tblPr/>
      <w:tcPr>
        <w:tcBorders>
          <w:top w:val="single" w:sz="4" w:space="0" w:color="9E5E9B" w:themeColor="accent6"/>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Pr/>
      <w:tcPr>
        <w:shd w:val="clear" w:color="auto" w:fill="EBDDEA" w:themeFill="accent6" w:themeFillTint="34"/>
      </w:tcPr>
    </w:tblStylePr>
  </w:style>
  <w:style w:type="table" w:customStyle="1" w:styleId="-5111">
    <w:name w:val="Таблица-сетка 5 тем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cs="Arial" w:hint="default"/>
        <w:b/>
        <w:color w:val="FFFFFF"/>
        <w:sz w:val="22"/>
        <w:szCs w:val="22"/>
      </w:rPr>
      <w:tblPr/>
      <w:tcPr>
        <w:shd w:val="clear" w:color="auto" w:fill="000000" w:themeFill="text1"/>
      </w:tcPr>
    </w:tblStylePr>
    <w:tblStylePr w:type="lastRow">
      <w:rPr>
        <w:rFonts w:ascii="Arial" w:hAnsi="Arial" w:cs="Arial" w:hint="default"/>
        <w:b/>
        <w:color w:val="FFFFFF"/>
        <w:sz w:val="22"/>
        <w:szCs w:val="22"/>
      </w:rPr>
      <w:tblPr/>
      <w:tcPr>
        <w:tcBorders>
          <w:top w:val="single" w:sz="4" w:space="0" w:color="FFFFFF" w:themeColor="light1"/>
        </w:tcBorders>
        <w:shd w:val="clear" w:color="auto" w:fill="000000" w:themeFill="text1"/>
      </w:tcPr>
    </w:tblStylePr>
    <w:tblStylePr w:type="firstCol">
      <w:rPr>
        <w:rFonts w:ascii="Arial" w:hAnsi="Arial" w:cs="Arial" w:hint="default"/>
        <w:b/>
        <w:color w:val="FFFFFF"/>
        <w:sz w:val="22"/>
        <w:szCs w:val="22"/>
      </w:rPr>
      <w:tblPr/>
      <w:tcPr>
        <w:shd w:val="clear" w:color="auto" w:fill="000000" w:themeFill="text1"/>
      </w:tcPr>
    </w:tblStylePr>
    <w:tblStylePr w:type="lastCol">
      <w:rPr>
        <w:rFonts w:ascii="Arial" w:hAnsi="Arial" w:cs="Arial" w:hint="default"/>
        <w:b/>
        <w:color w:val="FFFFFF"/>
        <w:sz w:val="22"/>
        <w:szCs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8C5C4" w:themeFill="accent1" w:themeFillTint="34"/>
    </w:tblPr>
    <w:tblStylePr w:type="firstRow">
      <w:rPr>
        <w:rFonts w:ascii="Arial" w:hAnsi="Arial" w:cs="Arial" w:hint="default"/>
        <w:b/>
        <w:color w:val="FFFFFF"/>
        <w:sz w:val="22"/>
        <w:szCs w:val="22"/>
      </w:rPr>
      <w:tblPr/>
      <w:tcPr>
        <w:shd w:val="clear" w:color="auto" w:fill="B01513" w:themeFill="accent1"/>
      </w:tcPr>
    </w:tblStylePr>
    <w:tblStylePr w:type="lastRow">
      <w:rPr>
        <w:rFonts w:ascii="Arial" w:hAnsi="Arial" w:cs="Arial" w:hint="default"/>
        <w:b/>
        <w:color w:val="FFFFFF"/>
        <w:sz w:val="22"/>
        <w:szCs w:val="22"/>
      </w:rPr>
      <w:tblPr/>
      <w:tcPr>
        <w:tcBorders>
          <w:top w:val="single" w:sz="4" w:space="0" w:color="FFFFFF" w:themeColor="light1"/>
        </w:tcBorders>
        <w:shd w:val="clear" w:color="auto" w:fill="B01513" w:themeFill="accent1"/>
      </w:tcPr>
    </w:tblStylePr>
    <w:tblStylePr w:type="firstCol">
      <w:rPr>
        <w:rFonts w:ascii="Arial" w:hAnsi="Arial" w:cs="Arial" w:hint="default"/>
        <w:b/>
        <w:color w:val="FFFFFF"/>
        <w:sz w:val="22"/>
        <w:szCs w:val="22"/>
      </w:rPr>
      <w:tblPr/>
      <w:tcPr>
        <w:shd w:val="clear" w:color="auto" w:fill="B01513" w:themeFill="accent1"/>
      </w:tcPr>
    </w:tblStylePr>
    <w:tblStylePr w:type="lastCol">
      <w:rPr>
        <w:rFonts w:ascii="Arial" w:hAnsi="Arial" w:cs="Arial" w:hint="default"/>
        <w:b/>
        <w:color w:val="FFFFFF"/>
        <w:sz w:val="22"/>
        <w:szCs w:val="22"/>
      </w:rPr>
      <w:tblPr/>
      <w:tcPr>
        <w:shd w:val="clear" w:color="auto" w:fill="B01513" w:themeFill="accent1"/>
      </w:tcPr>
    </w:tblStylePr>
    <w:tblStylePr w:type="band1Vert">
      <w:tblPr/>
      <w:tcPr>
        <w:shd w:val="clear" w:color="auto" w:fill="F17D7C" w:themeFill="accent1" w:themeFillTint="75"/>
      </w:tcPr>
    </w:tblStylePr>
    <w:tblStylePr w:type="band1Horz">
      <w:tblPr/>
      <w:tcPr>
        <w:shd w:val="clear" w:color="auto" w:fill="F17D7C" w:themeFill="accent1" w:themeFillTint="75"/>
      </w:tcPr>
    </w:tblStylePr>
  </w:style>
  <w:style w:type="table" w:customStyle="1" w:styleId="GridTable5Dark-Accent21">
    <w:name w:val="Grid Table 5 Dark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0CF" w:themeFill="accent2" w:themeFillTint="32"/>
    </w:tblPr>
    <w:tblStylePr w:type="firstRow">
      <w:rPr>
        <w:rFonts w:ascii="Arial" w:hAnsi="Arial" w:cs="Arial" w:hint="default"/>
        <w:b/>
        <w:color w:val="FFFFFF"/>
        <w:sz w:val="22"/>
        <w:szCs w:val="22"/>
      </w:rPr>
      <w:tblPr/>
      <w:tcPr>
        <w:shd w:val="clear" w:color="auto" w:fill="EA6312" w:themeFill="accent2"/>
      </w:tcPr>
    </w:tblStylePr>
    <w:tblStylePr w:type="lastRow">
      <w:rPr>
        <w:rFonts w:ascii="Arial" w:hAnsi="Arial" w:cs="Arial" w:hint="default"/>
        <w:b/>
        <w:color w:val="FFFFFF"/>
        <w:sz w:val="22"/>
        <w:szCs w:val="22"/>
      </w:rPr>
      <w:tblPr/>
      <w:tcPr>
        <w:tcBorders>
          <w:top w:val="single" w:sz="4" w:space="0" w:color="FFFFFF" w:themeColor="light1"/>
        </w:tcBorders>
        <w:shd w:val="clear" w:color="auto" w:fill="EA6312" w:themeFill="accent2"/>
      </w:tcPr>
    </w:tblStylePr>
    <w:tblStylePr w:type="firstCol">
      <w:rPr>
        <w:rFonts w:ascii="Arial" w:hAnsi="Arial" w:cs="Arial" w:hint="default"/>
        <w:b/>
        <w:color w:val="FFFFFF"/>
        <w:sz w:val="22"/>
        <w:szCs w:val="22"/>
      </w:rPr>
      <w:tblPr/>
      <w:tcPr>
        <w:shd w:val="clear" w:color="auto" w:fill="EA6312" w:themeFill="accent2"/>
      </w:tcPr>
    </w:tblStylePr>
    <w:tblStylePr w:type="lastCol">
      <w:rPr>
        <w:rFonts w:ascii="Arial" w:hAnsi="Arial" w:cs="Arial" w:hint="default"/>
        <w:b/>
        <w:color w:val="FFFFFF"/>
        <w:sz w:val="22"/>
        <w:szCs w:val="22"/>
      </w:rPr>
      <w:tblPr/>
      <w:tcPr>
        <w:shd w:val="clear" w:color="auto" w:fill="EA6312" w:themeFill="accent2"/>
      </w:tcPr>
    </w:tblStylePr>
    <w:tblStylePr w:type="band1Vert">
      <w:tblPr/>
      <w:tcPr>
        <w:shd w:val="clear" w:color="auto" w:fill="F6B690" w:themeFill="accent2" w:themeFillTint="75"/>
      </w:tcPr>
    </w:tblStylePr>
    <w:tblStylePr w:type="band1Horz">
      <w:tblPr/>
      <w:tcPr>
        <w:shd w:val="clear" w:color="auto" w:fill="F6B690" w:themeFill="accent2" w:themeFillTint="75"/>
      </w:tcPr>
    </w:tblStylePr>
  </w:style>
  <w:style w:type="table" w:customStyle="1" w:styleId="GridTable5Dark-Accent31">
    <w:name w:val="Grid Table 5 Dark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AF0D3" w:themeFill="accent3" w:themeFillTint="34"/>
    </w:tblPr>
    <w:tblStylePr w:type="firstRow">
      <w:rPr>
        <w:rFonts w:ascii="Arial" w:hAnsi="Arial" w:cs="Arial" w:hint="default"/>
        <w:b/>
        <w:color w:val="FFFFFF"/>
        <w:sz w:val="22"/>
        <w:szCs w:val="22"/>
      </w:rPr>
      <w:tblPr/>
      <w:tcPr>
        <w:shd w:val="clear" w:color="auto" w:fill="E6B729" w:themeFill="accent3"/>
      </w:tcPr>
    </w:tblStylePr>
    <w:tblStylePr w:type="lastRow">
      <w:rPr>
        <w:rFonts w:ascii="Arial" w:hAnsi="Arial" w:cs="Arial" w:hint="default"/>
        <w:b/>
        <w:color w:val="FFFFFF"/>
        <w:sz w:val="22"/>
        <w:szCs w:val="22"/>
      </w:rPr>
      <w:tblPr/>
      <w:tcPr>
        <w:tcBorders>
          <w:top w:val="single" w:sz="4" w:space="0" w:color="FFFFFF" w:themeColor="light1"/>
        </w:tcBorders>
        <w:shd w:val="clear" w:color="auto" w:fill="E6B729" w:themeFill="accent3"/>
      </w:tcPr>
    </w:tblStylePr>
    <w:tblStylePr w:type="firstCol">
      <w:rPr>
        <w:rFonts w:ascii="Arial" w:hAnsi="Arial" w:cs="Arial" w:hint="default"/>
        <w:b/>
        <w:color w:val="FFFFFF"/>
        <w:sz w:val="22"/>
        <w:szCs w:val="22"/>
      </w:rPr>
      <w:tblPr/>
      <w:tcPr>
        <w:shd w:val="clear" w:color="auto" w:fill="E6B729" w:themeFill="accent3"/>
      </w:tcPr>
    </w:tblStylePr>
    <w:tblStylePr w:type="lastCol">
      <w:rPr>
        <w:rFonts w:ascii="Arial" w:hAnsi="Arial" w:cs="Arial" w:hint="default"/>
        <w:b/>
        <w:color w:val="FFFFFF"/>
        <w:sz w:val="22"/>
        <w:szCs w:val="22"/>
      </w:rPr>
      <w:tblPr/>
      <w:tcPr>
        <w:shd w:val="clear" w:color="auto" w:fill="E6B729" w:themeFill="accent3"/>
      </w:tcPr>
    </w:tblStylePr>
    <w:tblStylePr w:type="band1Vert">
      <w:tblPr/>
      <w:tcPr>
        <w:shd w:val="clear" w:color="auto" w:fill="F3DD9C" w:themeFill="accent3" w:themeFillTint="75"/>
      </w:tcPr>
    </w:tblStylePr>
    <w:tblStylePr w:type="band1Horz">
      <w:tblPr/>
      <w:tcPr>
        <w:shd w:val="clear" w:color="auto" w:fill="F3DD9C" w:themeFill="accent3" w:themeFillTint="75"/>
      </w:tcPr>
    </w:tblStylePr>
  </w:style>
  <w:style w:type="table" w:customStyle="1" w:styleId="GridTable5Dark-Accent41">
    <w:name w:val="Grid Table 5 Dark-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0EEE8" w:themeFill="accent4" w:themeFillTint="34"/>
    </w:tblPr>
    <w:tblStylePr w:type="firstRow">
      <w:rPr>
        <w:rFonts w:ascii="Arial" w:hAnsi="Arial" w:cs="Arial" w:hint="default"/>
        <w:b/>
        <w:color w:val="FFFFFF"/>
        <w:sz w:val="22"/>
        <w:szCs w:val="22"/>
      </w:rPr>
      <w:tblPr/>
      <w:tcPr>
        <w:shd w:val="clear" w:color="auto" w:fill="6AAC90" w:themeFill="accent4"/>
      </w:tcPr>
    </w:tblStylePr>
    <w:tblStylePr w:type="lastRow">
      <w:rPr>
        <w:rFonts w:ascii="Arial" w:hAnsi="Arial" w:cs="Arial" w:hint="default"/>
        <w:b/>
        <w:color w:val="FFFFFF"/>
        <w:sz w:val="22"/>
        <w:szCs w:val="22"/>
      </w:rPr>
      <w:tblPr/>
      <w:tcPr>
        <w:tcBorders>
          <w:top w:val="single" w:sz="4" w:space="0" w:color="FFFFFF" w:themeColor="light1"/>
        </w:tcBorders>
        <w:shd w:val="clear" w:color="auto" w:fill="6AAC90" w:themeFill="accent4"/>
      </w:tcPr>
    </w:tblStylePr>
    <w:tblStylePr w:type="firstCol">
      <w:rPr>
        <w:rFonts w:ascii="Arial" w:hAnsi="Arial" w:cs="Arial" w:hint="default"/>
        <w:b/>
        <w:color w:val="FFFFFF"/>
        <w:sz w:val="22"/>
        <w:szCs w:val="22"/>
      </w:rPr>
      <w:tblPr/>
      <w:tcPr>
        <w:shd w:val="clear" w:color="auto" w:fill="6AAC90" w:themeFill="accent4"/>
      </w:tcPr>
    </w:tblStylePr>
    <w:tblStylePr w:type="lastCol">
      <w:rPr>
        <w:rFonts w:ascii="Arial" w:hAnsi="Arial" w:cs="Arial" w:hint="default"/>
        <w:b/>
        <w:color w:val="FFFFFF"/>
        <w:sz w:val="22"/>
        <w:szCs w:val="22"/>
      </w:rPr>
      <w:tblPr/>
      <w:tcPr>
        <w:shd w:val="clear" w:color="auto" w:fill="6AAC90" w:themeFill="accent4"/>
      </w:tcPr>
    </w:tblStylePr>
    <w:tblStylePr w:type="band1Vert">
      <w:tblPr/>
      <w:tcPr>
        <w:shd w:val="clear" w:color="auto" w:fill="BAD8CB" w:themeFill="accent4" w:themeFillTint="75"/>
      </w:tcPr>
    </w:tblStylePr>
    <w:tblStylePr w:type="band1Horz">
      <w:tblPr/>
      <w:tcPr>
        <w:shd w:val="clear" w:color="auto" w:fill="BAD8CB" w:themeFill="accent4" w:themeFillTint="75"/>
      </w:tcPr>
    </w:tblStylePr>
  </w:style>
  <w:style w:type="table" w:customStyle="1" w:styleId="GridTable5Dark-Accent51">
    <w:name w:val="Grid Table 5 Dark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6EB" w:themeFill="accent5" w:themeFillTint="34"/>
    </w:tblPr>
    <w:tblStylePr w:type="firstRow">
      <w:rPr>
        <w:rFonts w:ascii="Arial" w:hAnsi="Arial" w:cs="Arial" w:hint="default"/>
        <w:b/>
        <w:color w:val="FFFFFF"/>
        <w:sz w:val="22"/>
        <w:szCs w:val="22"/>
      </w:rPr>
      <w:tblPr/>
      <w:tcPr>
        <w:shd w:val="clear" w:color="auto" w:fill="54849A" w:themeFill="accent5"/>
      </w:tcPr>
    </w:tblStylePr>
    <w:tblStylePr w:type="lastRow">
      <w:rPr>
        <w:rFonts w:ascii="Arial" w:hAnsi="Arial" w:cs="Arial" w:hint="default"/>
        <w:b/>
        <w:color w:val="FFFFFF"/>
        <w:sz w:val="22"/>
        <w:szCs w:val="22"/>
      </w:rPr>
      <w:tblPr/>
      <w:tcPr>
        <w:tcBorders>
          <w:top w:val="single" w:sz="4" w:space="0" w:color="FFFFFF" w:themeColor="light1"/>
        </w:tcBorders>
        <w:shd w:val="clear" w:color="auto" w:fill="54849A" w:themeFill="accent5"/>
      </w:tcPr>
    </w:tblStylePr>
    <w:tblStylePr w:type="firstCol">
      <w:rPr>
        <w:rFonts w:ascii="Arial" w:hAnsi="Arial" w:cs="Arial" w:hint="default"/>
        <w:b/>
        <w:color w:val="FFFFFF"/>
        <w:sz w:val="22"/>
        <w:szCs w:val="22"/>
      </w:rPr>
      <w:tblPr/>
      <w:tcPr>
        <w:shd w:val="clear" w:color="auto" w:fill="54849A" w:themeFill="accent5"/>
      </w:tcPr>
    </w:tblStylePr>
    <w:tblStylePr w:type="lastCol">
      <w:rPr>
        <w:rFonts w:ascii="Arial" w:hAnsi="Arial" w:cs="Arial" w:hint="default"/>
        <w:b/>
        <w:color w:val="FFFFFF"/>
        <w:sz w:val="22"/>
        <w:szCs w:val="22"/>
      </w:rPr>
      <w:tblPr/>
      <w:tcPr>
        <w:shd w:val="clear" w:color="auto" w:fill="54849A" w:themeFill="accent5"/>
      </w:tcPr>
    </w:tblStylePr>
    <w:tblStylePr w:type="band1Vert">
      <w:tblPr/>
      <w:tcPr>
        <w:shd w:val="clear" w:color="auto" w:fill="AEC7D3" w:themeFill="accent5" w:themeFillTint="75"/>
      </w:tcPr>
    </w:tblStylePr>
    <w:tblStylePr w:type="band1Horz">
      <w:tblPr/>
      <w:tcPr>
        <w:shd w:val="clear" w:color="auto" w:fill="AEC7D3" w:themeFill="accent5" w:themeFillTint="75"/>
      </w:tcPr>
    </w:tblStylePr>
  </w:style>
  <w:style w:type="table" w:customStyle="1" w:styleId="GridTable5Dark-Accent61">
    <w:name w:val="Grid Table 5 Dark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BDDEA" w:themeFill="accent6" w:themeFillTint="34"/>
    </w:tblPr>
    <w:tblStylePr w:type="firstRow">
      <w:rPr>
        <w:rFonts w:ascii="Arial" w:hAnsi="Arial" w:cs="Arial" w:hint="default"/>
        <w:b/>
        <w:color w:val="FFFFFF"/>
        <w:sz w:val="22"/>
        <w:szCs w:val="22"/>
      </w:rPr>
      <w:tblPr/>
      <w:tcPr>
        <w:shd w:val="clear" w:color="auto" w:fill="9E5E9B" w:themeFill="accent6"/>
      </w:tcPr>
    </w:tblStylePr>
    <w:tblStylePr w:type="lastRow">
      <w:rPr>
        <w:rFonts w:ascii="Arial" w:hAnsi="Arial" w:cs="Arial" w:hint="default"/>
        <w:b/>
        <w:color w:val="FFFFFF"/>
        <w:sz w:val="22"/>
        <w:szCs w:val="22"/>
      </w:rPr>
      <w:tblPr/>
      <w:tcPr>
        <w:tcBorders>
          <w:top w:val="single" w:sz="4" w:space="0" w:color="FFFFFF" w:themeColor="light1"/>
        </w:tcBorders>
        <w:shd w:val="clear" w:color="auto" w:fill="9E5E9B" w:themeFill="accent6"/>
      </w:tcPr>
    </w:tblStylePr>
    <w:tblStylePr w:type="firstCol">
      <w:rPr>
        <w:rFonts w:ascii="Arial" w:hAnsi="Arial" w:cs="Arial" w:hint="default"/>
        <w:b/>
        <w:color w:val="FFFFFF"/>
        <w:sz w:val="22"/>
        <w:szCs w:val="22"/>
      </w:rPr>
      <w:tblPr/>
      <w:tcPr>
        <w:shd w:val="clear" w:color="auto" w:fill="9E5E9B" w:themeFill="accent6"/>
      </w:tcPr>
    </w:tblStylePr>
    <w:tblStylePr w:type="lastCol">
      <w:rPr>
        <w:rFonts w:ascii="Arial" w:hAnsi="Arial" w:cs="Arial" w:hint="default"/>
        <w:b/>
        <w:color w:val="FFFFFF"/>
        <w:sz w:val="22"/>
        <w:szCs w:val="22"/>
      </w:rPr>
      <w:tblPr/>
      <w:tcPr>
        <w:shd w:val="clear" w:color="auto" w:fill="9E5E9B" w:themeFill="accent6"/>
      </w:tcPr>
    </w:tblStylePr>
    <w:tblStylePr w:type="band1Vert">
      <w:tblPr/>
      <w:tcPr>
        <w:shd w:val="clear" w:color="auto" w:fill="D2B4D1" w:themeFill="accent6" w:themeFillTint="75"/>
      </w:tcPr>
    </w:tblStylePr>
    <w:tblStylePr w:type="band1Horz">
      <w:tblPr/>
      <w:tcPr>
        <w:shd w:val="clear" w:color="auto" w:fill="D2B4D1" w:themeFill="accent6" w:themeFillTint="75"/>
      </w:tcPr>
    </w:tblStylePr>
  </w:style>
  <w:style w:type="table" w:customStyle="1" w:styleId="-6111">
    <w:name w:val="Таблица-сетка 6 цвет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s="Arial" w:hint="default"/>
        <w:color w:val="7F7F7F" w:themeColor="text1" w:themeTint="80" w:themeShade="95"/>
        <w:sz w:val="22"/>
        <w:szCs w:val="22"/>
      </w:rPr>
      <w:tblPr/>
      <w:tcPr>
        <w:shd w:val="clear" w:color="auto" w:fill="CBCBCB" w:themeFill="text1" w:themeFillTint="34"/>
      </w:tcPr>
    </w:tblStylePr>
    <w:tblStylePr w:type="band2Horz">
      <w:rPr>
        <w:rFonts w:ascii="Arial" w:hAnsi="Arial" w:cs="Arial" w:hint="default"/>
        <w:color w:val="7F7F7F" w:themeColor="text1" w:themeTint="80" w:themeShade="95"/>
        <w:sz w:val="22"/>
        <w:szCs w:val="22"/>
      </w:rPr>
    </w:tblStylePr>
  </w:style>
  <w:style w:type="table" w:customStyle="1" w:styleId="GridTable6Colorful-Accent11">
    <w:name w:val="Grid Table 6 Colorful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EF7170" w:themeColor="accent1" w:themeTint="80"/>
        <w:left w:val="single" w:sz="4" w:space="0" w:color="EF7170" w:themeColor="accent1" w:themeTint="80"/>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b/>
        <w:color w:val="EF7170" w:themeColor="accent1" w:themeTint="80" w:themeShade="95"/>
      </w:rPr>
      <w:tblPr/>
      <w:tcPr>
        <w:tcBorders>
          <w:bottom w:val="single" w:sz="12" w:space="0" w:color="EF7170" w:themeColor="accent1" w:themeTint="80"/>
        </w:tcBorders>
      </w:tcPr>
    </w:tblStylePr>
    <w:tblStylePr w:type="lastRow">
      <w:rPr>
        <w:b/>
        <w:color w:val="EF7170" w:themeColor="accent1" w:themeTint="80" w:themeShade="95"/>
      </w:rPr>
    </w:tblStylePr>
    <w:tblStylePr w:type="firstCol">
      <w:rPr>
        <w:b/>
        <w:color w:val="EF7170" w:themeColor="accent1" w:themeTint="80" w:themeShade="95"/>
      </w:rPr>
    </w:tblStylePr>
    <w:tblStylePr w:type="lastCol">
      <w:rPr>
        <w:b/>
        <w:color w:val="EF7170" w:themeColor="accent1" w:themeTint="80" w:themeShade="95"/>
      </w:rPr>
    </w:tblStylePr>
    <w:tblStylePr w:type="band1Vert">
      <w:tblPr/>
      <w:tcPr>
        <w:shd w:val="clear" w:color="auto" w:fill="F8C5C4" w:themeFill="accent1" w:themeFillTint="34"/>
      </w:tcPr>
    </w:tblStylePr>
    <w:tblStylePr w:type="band1Horz">
      <w:rPr>
        <w:rFonts w:ascii="Arial" w:hAnsi="Arial" w:cs="Arial" w:hint="default"/>
        <w:color w:val="EF7170" w:themeColor="accent1" w:themeTint="80" w:themeShade="95"/>
        <w:sz w:val="22"/>
        <w:szCs w:val="22"/>
      </w:rPr>
      <w:tblPr/>
      <w:tcPr>
        <w:shd w:val="clear" w:color="auto" w:fill="F8C5C4" w:themeFill="accent1" w:themeFillTint="34"/>
      </w:tcPr>
    </w:tblStylePr>
    <w:tblStylePr w:type="band2Horz">
      <w:rPr>
        <w:rFonts w:ascii="Arial" w:hAnsi="Arial" w:cs="Arial" w:hint="default"/>
        <w:color w:val="EF7170" w:themeColor="accent1" w:themeTint="80" w:themeShade="95"/>
        <w:sz w:val="22"/>
        <w:szCs w:val="22"/>
      </w:rPr>
    </w:tblStylePr>
  </w:style>
  <w:style w:type="table" w:customStyle="1" w:styleId="GridTable6Colorful-Accent21">
    <w:name w:val="Grid Table 6 Colorful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F4A170" w:themeColor="accent2" w:themeTint="97" w:themeShade="95"/>
      </w:rPr>
      <w:tblPr/>
      <w:tcPr>
        <w:tcBorders>
          <w:bottom w:val="single" w:sz="12" w:space="0" w:color="F4A170" w:themeColor="accent2" w:themeTint="97"/>
        </w:tcBorders>
      </w:tcPr>
    </w:tblStylePr>
    <w:tblStylePr w:type="lastRow">
      <w:rPr>
        <w:b/>
        <w:color w:val="F4A170" w:themeColor="accent2" w:themeTint="97" w:themeShade="95"/>
      </w:r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auto" w:fill="FBE0CF" w:themeFill="accent2" w:themeFillTint="32"/>
      </w:tcPr>
    </w:tblStylePr>
    <w:tblStylePr w:type="band1Horz">
      <w:rPr>
        <w:rFonts w:ascii="Arial" w:hAnsi="Arial" w:cs="Arial" w:hint="default"/>
        <w:color w:val="F4A170" w:themeColor="accent2" w:themeTint="97" w:themeShade="95"/>
        <w:sz w:val="22"/>
        <w:szCs w:val="22"/>
      </w:rPr>
      <w:tblPr/>
      <w:tcPr>
        <w:shd w:val="clear" w:color="auto" w:fill="FBE0CF" w:themeFill="accent2" w:themeFillTint="32"/>
      </w:tcPr>
    </w:tblStylePr>
    <w:tblStylePr w:type="band2Horz">
      <w:rPr>
        <w:rFonts w:ascii="Arial" w:hAnsi="Arial" w:cs="Arial" w:hint="default"/>
        <w:color w:val="F4A170" w:themeColor="accent2" w:themeTint="97" w:themeShade="95"/>
        <w:sz w:val="22"/>
        <w:szCs w:val="22"/>
      </w:rPr>
    </w:tblStylePr>
  </w:style>
  <w:style w:type="table" w:customStyle="1" w:styleId="GridTable6Colorful-Accent31">
    <w:name w:val="Grid Table 6 Colorful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E6B629" w:themeColor="accent3" w:themeTint="FE" w:themeShade="95"/>
      </w:rPr>
      <w:tblPr/>
      <w:tcPr>
        <w:tcBorders>
          <w:bottom w:val="single" w:sz="12" w:space="0" w:color="E6B629" w:themeColor="accent3" w:themeTint="FE"/>
        </w:tcBorders>
      </w:tcPr>
    </w:tblStylePr>
    <w:tblStylePr w:type="lastRow">
      <w:rPr>
        <w:b/>
        <w:color w:val="E6B629" w:themeColor="accent3" w:themeTint="FE" w:themeShade="95"/>
      </w:rPr>
    </w:tblStylePr>
    <w:tblStylePr w:type="firstCol">
      <w:rPr>
        <w:b/>
        <w:color w:val="E6B629" w:themeColor="accent3" w:themeTint="FE" w:themeShade="95"/>
      </w:rPr>
    </w:tblStylePr>
    <w:tblStylePr w:type="lastCol">
      <w:rPr>
        <w:b/>
        <w:color w:val="E6B629" w:themeColor="accent3" w:themeTint="FE" w:themeShade="95"/>
      </w:rPr>
    </w:tblStylePr>
    <w:tblStylePr w:type="band1Vert">
      <w:tblPr/>
      <w:tcPr>
        <w:shd w:val="clear" w:color="auto" w:fill="FAF0D3" w:themeFill="accent3" w:themeFillTint="34"/>
      </w:tcPr>
    </w:tblStylePr>
    <w:tblStylePr w:type="band1Horz">
      <w:rPr>
        <w:rFonts w:ascii="Arial" w:hAnsi="Arial" w:cs="Arial" w:hint="default"/>
        <w:color w:val="E6B629" w:themeColor="accent3" w:themeTint="FE" w:themeShade="95"/>
        <w:sz w:val="22"/>
        <w:szCs w:val="22"/>
      </w:rPr>
      <w:tblPr/>
      <w:tcPr>
        <w:shd w:val="clear" w:color="auto" w:fill="FAF0D3" w:themeFill="accent3" w:themeFillTint="34"/>
      </w:tcPr>
    </w:tblStylePr>
    <w:tblStylePr w:type="band2Horz">
      <w:rPr>
        <w:rFonts w:ascii="Arial" w:hAnsi="Arial" w:cs="Arial" w:hint="default"/>
        <w:color w:val="E6B629" w:themeColor="accent3" w:themeTint="FE" w:themeShade="95"/>
        <w:sz w:val="22"/>
        <w:szCs w:val="22"/>
      </w:rPr>
    </w:tblStylePr>
  </w:style>
  <w:style w:type="table" w:customStyle="1" w:styleId="GridTable6Colorful-Accent41">
    <w:name w:val="Grid Table 6 Colorful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A4CCBB" w:themeColor="accent4" w:themeTint="9A" w:themeShade="95"/>
      </w:rPr>
      <w:tblPr/>
      <w:tcPr>
        <w:tcBorders>
          <w:bottom w:val="single" w:sz="12" w:space="0" w:color="A4CCBB" w:themeColor="accent4" w:themeTint="9A"/>
        </w:tcBorders>
      </w:tcPr>
    </w:tblStylePr>
    <w:tblStylePr w:type="lastRow">
      <w:rPr>
        <w:b/>
        <w:color w:val="A4CCBB" w:themeColor="accent4" w:themeTint="9A" w:themeShade="95"/>
      </w:r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auto" w:fill="E0EEE8" w:themeFill="accent4" w:themeFillTint="34"/>
      </w:tcPr>
    </w:tblStylePr>
    <w:tblStylePr w:type="band1Horz">
      <w:rPr>
        <w:rFonts w:ascii="Arial" w:hAnsi="Arial" w:cs="Arial" w:hint="default"/>
        <w:color w:val="A4CCBB" w:themeColor="accent4" w:themeTint="9A" w:themeShade="95"/>
        <w:sz w:val="22"/>
        <w:szCs w:val="22"/>
      </w:rPr>
      <w:tblPr/>
      <w:tcPr>
        <w:shd w:val="clear" w:color="auto" w:fill="E0EEE8" w:themeFill="accent4" w:themeFillTint="34"/>
      </w:tcPr>
    </w:tblStylePr>
    <w:tblStylePr w:type="band2Horz">
      <w:rPr>
        <w:rFonts w:ascii="Arial" w:hAnsi="Arial" w:cs="Arial" w:hint="default"/>
        <w:color w:val="A4CCBB" w:themeColor="accent4" w:themeTint="9A" w:themeShade="95"/>
        <w:sz w:val="22"/>
        <w:szCs w:val="22"/>
      </w:rPr>
    </w:tblStylePr>
  </w:style>
  <w:style w:type="table" w:customStyle="1" w:styleId="GridTable6Colorful-Accent51">
    <w:name w:val="Grid Table 6 Colorful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54849A" w:themeColor="accent5"/>
        <w:left w:val="single" w:sz="4" w:space="0" w:color="54849A" w:themeColor="accent5"/>
        <w:bottom w:val="single" w:sz="4" w:space="0" w:color="54849A" w:themeColor="accent5"/>
        <w:right w:val="single" w:sz="4" w:space="0" w:color="54849A" w:themeColor="accent5"/>
        <w:insideH w:val="single" w:sz="4" w:space="0" w:color="54849A" w:themeColor="accent5"/>
        <w:insideV w:val="single" w:sz="4" w:space="0" w:color="54849A" w:themeColor="accent5"/>
      </w:tblBorders>
    </w:tblPr>
    <w:tblStylePr w:type="firstRow">
      <w:rPr>
        <w:b/>
        <w:color w:val="314C59" w:themeColor="accent5" w:themeShade="95"/>
      </w:rPr>
      <w:tblPr/>
      <w:tcPr>
        <w:tcBorders>
          <w:bottom w:val="single" w:sz="12" w:space="0" w:color="54849A" w:themeColor="accent5"/>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auto" w:fill="DAE6EB" w:themeFill="accent5" w:themeFillTint="34"/>
      </w:tcPr>
    </w:tblStylePr>
    <w:tblStylePr w:type="band1Horz">
      <w:rPr>
        <w:rFonts w:ascii="Arial" w:hAnsi="Arial" w:cs="Arial" w:hint="default"/>
        <w:color w:val="314C59" w:themeColor="accent5" w:themeShade="95"/>
        <w:sz w:val="22"/>
        <w:szCs w:val="22"/>
      </w:rPr>
      <w:tblPr/>
      <w:tcPr>
        <w:shd w:val="clear" w:color="auto" w:fill="DAE6EB" w:themeFill="accent5" w:themeFillTint="34"/>
      </w:tcPr>
    </w:tblStylePr>
    <w:tblStylePr w:type="band2Horz">
      <w:rPr>
        <w:rFonts w:ascii="Arial" w:hAnsi="Arial" w:cs="Arial" w:hint="default"/>
        <w:color w:val="314C59" w:themeColor="accent5" w:themeShade="95"/>
        <w:sz w:val="22"/>
        <w:szCs w:val="22"/>
      </w:rPr>
    </w:tblStylePr>
  </w:style>
  <w:style w:type="table" w:customStyle="1" w:styleId="GridTable6Colorful-Accent61">
    <w:name w:val="Grid Table 6 Colorful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E5E9B" w:themeColor="accent6"/>
        <w:left w:val="single" w:sz="4" w:space="0" w:color="9E5E9B" w:themeColor="accent6"/>
        <w:bottom w:val="single" w:sz="4" w:space="0" w:color="9E5E9B" w:themeColor="accent6"/>
        <w:right w:val="single" w:sz="4" w:space="0" w:color="9E5E9B" w:themeColor="accent6"/>
        <w:insideH w:val="single" w:sz="4" w:space="0" w:color="9E5E9B" w:themeColor="accent6"/>
        <w:insideV w:val="single" w:sz="4" w:space="0" w:color="9E5E9B" w:themeColor="accent6"/>
      </w:tblBorders>
    </w:tblPr>
    <w:tblStylePr w:type="firstRow">
      <w:rPr>
        <w:b/>
        <w:color w:val="314C59" w:themeColor="accent5" w:themeShade="95"/>
      </w:rPr>
      <w:tblPr/>
      <w:tcPr>
        <w:tcBorders>
          <w:bottom w:val="single" w:sz="12" w:space="0" w:color="9E5E9B" w:themeColor="accent6"/>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auto" w:fill="EBDDEA" w:themeFill="accent6" w:themeFillTint="34"/>
      </w:tcPr>
    </w:tblStylePr>
    <w:tblStylePr w:type="band1Horz">
      <w:rPr>
        <w:rFonts w:ascii="Arial" w:hAnsi="Arial" w:cs="Arial" w:hint="default"/>
        <w:color w:val="314C59" w:themeColor="accent5" w:themeShade="95"/>
        <w:sz w:val="22"/>
        <w:szCs w:val="22"/>
      </w:rPr>
      <w:tblPr/>
      <w:tcPr>
        <w:shd w:val="clear" w:color="auto" w:fill="EBDDEA" w:themeFill="accent6" w:themeFillTint="34"/>
      </w:tcPr>
    </w:tblStylePr>
    <w:tblStylePr w:type="band2Horz">
      <w:rPr>
        <w:rFonts w:ascii="Arial" w:hAnsi="Arial" w:cs="Arial" w:hint="default"/>
        <w:color w:val="314C59" w:themeColor="accent5" w:themeShade="95"/>
        <w:sz w:val="22"/>
        <w:szCs w:val="22"/>
      </w:rPr>
    </w:tblStylePr>
  </w:style>
  <w:style w:type="table" w:customStyle="1" w:styleId="-711">
    <w:name w:val="Таблица-сетка 7 цвет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cs="Arial" w:hint="default"/>
        <w:b/>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b/>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F2F2F2" w:themeFill="text1" w:themeFillTint="0D"/>
      </w:tcPr>
    </w:tblStylePr>
    <w:tblStylePr w:type="band1Horz">
      <w:rPr>
        <w:rFonts w:ascii="Arial" w:hAnsi="Arial" w:cs="Arial" w:hint="default"/>
        <w:color w:val="7F7F7F" w:themeColor="text1" w:themeTint="80" w:themeShade="95"/>
        <w:sz w:val="22"/>
        <w:szCs w:val="22"/>
      </w:rPr>
      <w:tblPr/>
      <w:tcPr>
        <w:shd w:val="clear" w:color="auto" w:fill="F2F2F2" w:themeFill="text1" w:themeFillTint="0D"/>
      </w:tcPr>
    </w:tblStylePr>
    <w:tblStylePr w:type="band2Horz">
      <w:rPr>
        <w:rFonts w:ascii="Arial" w:hAnsi="Arial" w:cs="Arial" w:hint="default"/>
        <w:color w:val="7F7F7F" w:themeColor="text1" w:themeTint="80" w:themeShade="95"/>
        <w:sz w:val="22"/>
        <w:szCs w:val="22"/>
      </w:rPr>
    </w:tblStylePr>
  </w:style>
  <w:style w:type="table" w:customStyle="1" w:styleId="GridTable7Colorful-Accent11">
    <w:name w:val="Grid Table 7 Colorful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cs="Arial" w:hint="default"/>
        <w:b/>
        <w:color w:val="EF7170" w:themeColor="accent1" w:themeTint="80" w:themeShade="95"/>
        <w:sz w:val="22"/>
        <w:szCs w:val="22"/>
      </w:rPr>
      <w:tblPr/>
      <w:tcPr>
        <w:tcBorders>
          <w:top w:val="none" w:sz="0" w:space="0" w:color="auto"/>
          <w:left w:val="none" w:sz="0" w:space="0" w:color="auto"/>
          <w:bottom w:val="single" w:sz="4" w:space="0" w:color="EF7170" w:themeColor="accent1" w:themeTint="80"/>
          <w:right w:val="none" w:sz="0" w:space="0" w:color="auto"/>
        </w:tcBorders>
        <w:shd w:val="clear" w:color="auto" w:fill="FFFFFF" w:themeFill="light1"/>
      </w:tcPr>
    </w:tblStylePr>
    <w:tblStylePr w:type="lastRow">
      <w:rPr>
        <w:rFonts w:ascii="Arial" w:hAnsi="Arial" w:cs="Arial" w:hint="default"/>
        <w:b/>
        <w:color w:val="EF7170" w:themeColor="accent1" w:themeTint="80" w:themeShade="95"/>
        <w:sz w:val="22"/>
        <w:szCs w:val="22"/>
      </w:rPr>
      <w:tblPr/>
      <w:tcPr>
        <w:tcBorders>
          <w:top w:val="single" w:sz="4" w:space="0" w:color="EF7170"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EF7170" w:themeColor="accent1" w:themeTint="80" w:themeShade="95"/>
        <w:sz w:val="22"/>
        <w:szCs w:val="22"/>
      </w:rPr>
      <w:tblPr/>
      <w:tcPr>
        <w:tcBorders>
          <w:top w:val="none" w:sz="0" w:space="0" w:color="auto"/>
          <w:left w:val="none" w:sz="0" w:space="0" w:color="auto"/>
          <w:bottom w:val="none" w:sz="0" w:space="0" w:color="auto"/>
          <w:right w:val="single" w:sz="4" w:space="0" w:color="EF7170" w:themeColor="accent1" w:themeTint="80"/>
        </w:tcBorders>
        <w:shd w:val="clear" w:color="auto" w:fill="auto"/>
      </w:tcPr>
    </w:tblStylePr>
    <w:tblStylePr w:type="lastCol">
      <w:rPr>
        <w:rFonts w:ascii="Arial" w:hAnsi="Arial" w:cs="Arial" w:hint="default"/>
        <w:i/>
        <w:color w:val="EF7170" w:themeColor="accent1" w:themeTint="80" w:themeShade="95"/>
        <w:sz w:val="22"/>
        <w:szCs w:val="22"/>
      </w:rPr>
      <w:tblPr/>
      <w:tcPr>
        <w:tcBorders>
          <w:top w:val="none" w:sz="0" w:space="0" w:color="auto"/>
          <w:left w:val="single" w:sz="4" w:space="0" w:color="EF7170" w:themeColor="accent1" w:themeTint="80"/>
          <w:bottom w:val="none" w:sz="0" w:space="0" w:color="auto"/>
          <w:right w:val="none" w:sz="0" w:space="0" w:color="auto"/>
        </w:tcBorders>
        <w:shd w:val="clear" w:color="auto" w:fill="auto"/>
      </w:tcPr>
    </w:tblStylePr>
    <w:tblStylePr w:type="band1Vert">
      <w:tblPr/>
      <w:tcPr>
        <w:shd w:val="clear" w:color="auto" w:fill="F8C5C4" w:themeFill="accent1" w:themeFillTint="34"/>
      </w:tcPr>
    </w:tblStylePr>
    <w:tblStylePr w:type="band1Horz">
      <w:rPr>
        <w:rFonts w:ascii="Arial" w:hAnsi="Arial" w:cs="Arial" w:hint="default"/>
        <w:color w:val="EF7170" w:themeColor="accent1" w:themeTint="80" w:themeShade="95"/>
        <w:sz w:val="22"/>
        <w:szCs w:val="22"/>
      </w:rPr>
      <w:tblPr/>
      <w:tcPr>
        <w:shd w:val="clear" w:color="auto" w:fill="F8C5C4" w:themeFill="accent1" w:themeFillTint="34"/>
      </w:tcPr>
    </w:tblStylePr>
    <w:tblStylePr w:type="band2Horz">
      <w:rPr>
        <w:rFonts w:ascii="Arial" w:hAnsi="Arial" w:cs="Arial" w:hint="default"/>
        <w:color w:val="EF7170" w:themeColor="accent1" w:themeTint="80" w:themeShade="95"/>
        <w:sz w:val="22"/>
        <w:szCs w:val="22"/>
      </w:rPr>
    </w:tblStylePr>
  </w:style>
  <w:style w:type="table" w:customStyle="1" w:styleId="GridTable7Colorful-Accent21">
    <w:name w:val="Grid Table 7 Colorful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cs="Arial" w:hint="default"/>
        <w:b/>
        <w:color w:val="F4A170" w:themeColor="accent2" w:themeTint="97" w:themeShade="95"/>
        <w:sz w:val="22"/>
        <w:szCs w:val="22"/>
      </w:rPr>
      <w:tblPr/>
      <w:tcPr>
        <w:tcBorders>
          <w:top w:val="none" w:sz="0" w:space="0" w:color="auto"/>
          <w:left w:val="none" w:sz="0" w:space="0" w:color="auto"/>
          <w:bottom w:val="single" w:sz="4" w:space="0" w:color="F4A170" w:themeColor="accent2" w:themeTint="97"/>
          <w:right w:val="none" w:sz="0" w:space="0" w:color="auto"/>
        </w:tcBorders>
        <w:shd w:val="clear" w:color="auto" w:fill="FFFFFF" w:themeFill="light1"/>
      </w:tcPr>
    </w:tblStylePr>
    <w:tblStylePr w:type="lastRow">
      <w:rPr>
        <w:rFonts w:ascii="Arial" w:hAnsi="Arial" w:cs="Arial" w:hint="default"/>
        <w:b/>
        <w:color w:val="F4A170" w:themeColor="accent2" w:themeTint="97" w:themeShade="95"/>
        <w:sz w:val="22"/>
        <w:szCs w:val="22"/>
      </w:rPr>
      <w:tblPr/>
      <w:tcPr>
        <w:tcBorders>
          <w:top w:val="single" w:sz="4" w:space="0" w:color="F4A170"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4A170" w:themeColor="accent2" w:themeTint="97" w:themeShade="95"/>
        <w:sz w:val="22"/>
        <w:szCs w:val="22"/>
      </w:rPr>
      <w:tblPr/>
      <w:tcPr>
        <w:tcBorders>
          <w:top w:val="none" w:sz="0" w:space="0" w:color="auto"/>
          <w:left w:val="none" w:sz="0" w:space="0" w:color="auto"/>
          <w:bottom w:val="none" w:sz="0" w:space="0" w:color="auto"/>
          <w:right w:val="single" w:sz="4" w:space="0" w:color="F4A170" w:themeColor="accent2" w:themeTint="97"/>
        </w:tcBorders>
        <w:shd w:val="clear" w:color="auto" w:fill="auto"/>
      </w:tcPr>
    </w:tblStylePr>
    <w:tblStylePr w:type="lastCol">
      <w:rPr>
        <w:rFonts w:ascii="Arial" w:hAnsi="Arial" w:cs="Arial" w:hint="default"/>
        <w:i/>
        <w:color w:val="F4A170" w:themeColor="accent2" w:themeTint="97" w:themeShade="95"/>
        <w:sz w:val="22"/>
        <w:szCs w:val="22"/>
      </w:rPr>
      <w:tblPr/>
      <w:tcPr>
        <w:tcBorders>
          <w:top w:val="none" w:sz="0" w:space="0" w:color="auto"/>
          <w:left w:val="single" w:sz="4" w:space="0" w:color="F4A170" w:themeColor="accent2" w:themeTint="97"/>
          <w:bottom w:val="none" w:sz="0" w:space="0" w:color="auto"/>
          <w:right w:val="none" w:sz="0" w:space="0" w:color="auto"/>
        </w:tcBorders>
        <w:shd w:val="clear" w:color="auto" w:fill="auto"/>
      </w:tcPr>
    </w:tblStylePr>
    <w:tblStylePr w:type="band1Vert">
      <w:tblPr/>
      <w:tcPr>
        <w:shd w:val="clear" w:color="auto" w:fill="FBE0CF" w:themeFill="accent2" w:themeFillTint="32"/>
      </w:tcPr>
    </w:tblStylePr>
    <w:tblStylePr w:type="band1Horz">
      <w:rPr>
        <w:rFonts w:ascii="Arial" w:hAnsi="Arial" w:cs="Arial" w:hint="default"/>
        <w:color w:val="F4A170" w:themeColor="accent2" w:themeTint="97" w:themeShade="95"/>
        <w:sz w:val="22"/>
        <w:szCs w:val="22"/>
      </w:rPr>
      <w:tblPr/>
      <w:tcPr>
        <w:shd w:val="clear" w:color="auto" w:fill="FBE0CF" w:themeFill="accent2" w:themeFillTint="32"/>
      </w:tcPr>
    </w:tblStylePr>
    <w:tblStylePr w:type="band2Horz">
      <w:rPr>
        <w:rFonts w:ascii="Arial" w:hAnsi="Arial" w:cs="Arial" w:hint="default"/>
        <w:color w:val="F4A170" w:themeColor="accent2" w:themeTint="97" w:themeShade="95"/>
        <w:sz w:val="22"/>
        <w:szCs w:val="22"/>
      </w:rPr>
    </w:tblStylePr>
  </w:style>
  <w:style w:type="table" w:customStyle="1" w:styleId="GridTable7Colorful-Accent31">
    <w:name w:val="Grid Table 7 Colorful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cs="Arial" w:hint="default"/>
        <w:b/>
        <w:color w:val="E6B629" w:themeColor="accent3" w:themeTint="FE" w:themeShade="95"/>
        <w:sz w:val="22"/>
        <w:szCs w:val="22"/>
      </w:rPr>
      <w:tblPr/>
      <w:tcPr>
        <w:tcBorders>
          <w:top w:val="none" w:sz="0" w:space="0" w:color="auto"/>
          <w:left w:val="none" w:sz="0" w:space="0" w:color="auto"/>
          <w:bottom w:val="single" w:sz="4" w:space="0" w:color="E6B629" w:themeColor="accent3" w:themeTint="FE"/>
          <w:right w:val="none" w:sz="0" w:space="0" w:color="auto"/>
        </w:tcBorders>
        <w:shd w:val="clear" w:color="auto" w:fill="FFFFFF" w:themeFill="light1"/>
      </w:tcPr>
    </w:tblStylePr>
    <w:tblStylePr w:type="lastRow">
      <w:rPr>
        <w:rFonts w:ascii="Arial" w:hAnsi="Arial" w:cs="Arial" w:hint="default"/>
        <w:b/>
        <w:color w:val="E6B629" w:themeColor="accent3" w:themeTint="FE" w:themeShade="95"/>
        <w:sz w:val="22"/>
        <w:szCs w:val="22"/>
      </w:rPr>
      <w:tblPr/>
      <w:tcPr>
        <w:tcBorders>
          <w:top w:val="single" w:sz="4" w:space="0" w:color="E6B629"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E6B629" w:themeColor="accent3" w:themeTint="FE" w:themeShade="95"/>
        <w:sz w:val="22"/>
        <w:szCs w:val="22"/>
      </w:rPr>
      <w:tblPr/>
      <w:tcPr>
        <w:tcBorders>
          <w:top w:val="none" w:sz="0" w:space="0" w:color="auto"/>
          <w:left w:val="none" w:sz="0" w:space="0" w:color="auto"/>
          <w:bottom w:val="none" w:sz="0" w:space="0" w:color="auto"/>
          <w:right w:val="single" w:sz="4" w:space="0" w:color="E6B629" w:themeColor="accent3" w:themeTint="FE"/>
        </w:tcBorders>
        <w:shd w:val="clear" w:color="auto" w:fill="auto"/>
      </w:tcPr>
    </w:tblStylePr>
    <w:tblStylePr w:type="lastCol">
      <w:rPr>
        <w:rFonts w:ascii="Arial" w:hAnsi="Arial" w:cs="Arial" w:hint="default"/>
        <w:i/>
        <w:color w:val="E6B629" w:themeColor="accent3" w:themeTint="FE" w:themeShade="95"/>
        <w:sz w:val="22"/>
        <w:szCs w:val="22"/>
      </w:rPr>
      <w:tblPr/>
      <w:tcPr>
        <w:tcBorders>
          <w:top w:val="none" w:sz="0" w:space="0" w:color="auto"/>
          <w:left w:val="single" w:sz="4" w:space="0" w:color="E6B629" w:themeColor="accent3" w:themeTint="FE"/>
          <w:bottom w:val="none" w:sz="0" w:space="0" w:color="auto"/>
          <w:right w:val="none" w:sz="0" w:space="0" w:color="auto"/>
        </w:tcBorders>
        <w:shd w:val="clear" w:color="auto" w:fill="auto"/>
      </w:tcPr>
    </w:tblStylePr>
    <w:tblStylePr w:type="band1Vert">
      <w:tblPr/>
      <w:tcPr>
        <w:shd w:val="clear" w:color="auto" w:fill="FAF0D3" w:themeFill="accent3" w:themeFillTint="34"/>
      </w:tcPr>
    </w:tblStylePr>
    <w:tblStylePr w:type="band1Horz">
      <w:rPr>
        <w:rFonts w:ascii="Arial" w:hAnsi="Arial" w:cs="Arial" w:hint="default"/>
        <w:color w:val="E6B629" w:themeColor="accent3" w:themeTint="FE" w:themeShade="95"/>
        <w:sz w:val="22"/>
        <w:szCs w:val="22"/>
      </w:rPr>
      <w:tblPr/>
      <w:tcPr>
        <w:shd w:val="clear" w:color="auto" w:fill="FAF0D3" w:themeFill="accent3" w:themeFillTint="34"/>
      </w:tcPr>
    </w:tblStylePr>
    <w:tblStylePr w:type="band2Horz">
      <w:rPr>
        <w:rFonts w:ascii="Arial" w:hAnsi="Arial" w:cs="Arial" w:hint="default"/>
        <w:color w:val="E6B629" w:themeColor="accent3" w:themeTint="FE" w:themeShade="95"/>
        <w:sz w:val="22"/>
        <w:szCs w:val="22"/>
      </w:rPr>
    </w:tblStylePr>
  </w:style>
  <w:style w:type="table" w:customStyle="1" w:styleId="GridTable7Colorful-Accent41">
    <w:name w:val="Grid Table 7 Colorful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cs="Arial" w:hint="default"/>
        <w:b/>
        <w:color w:val="A4CCBB" w:themeColor="accent4" w:themeTint="9A" w:themeShade="95"/>
        <w:sz w:val="22"/>
        <w:szCs w:val="22"/>
      </w:rPr>
      <w:tblPr/>
      <w:tcPr>
        <w:tcBorders>
          <w:top w:val="none" w:sz="0" w:space="0" w:color="auto"/>
          <w:left w:val="none" w:sz="0" w:space="0" w:color="auto"/>
          <w:bottom w:val="single" w:sz="4" w:space="0" w:color="A4CCBB" w:themeColor="accent4" w:themeTint="9A"/>
          <w:right w:val="none" w:sz="0" w:space="0" w:color="auto"/>
        </w:tcBorders>
        <w:shd w:val="clear" w:color="auto" w:fill="FFFFFF" w:themeFill="light1"/>
      </w:tcPr>
    </w:tblStylePr>
    <w:tblStylePr w:type="lastRow">
      <w:rPr>
        <w:rFonts w:ascii="Arial" w:hAnsi="Arial" w:cs="Arial" w:hint="default"/>
        <w:b/>
        <w:color w:val="A4CCBB" w:themeColor="accent4" w:themeTint="9A" w:themeShade="95"/>
        <w:sz w:val="22"/>
        <w:szCs w:val="22"/>
      </w:rPr>
      <w:tblPr/>
      <w:tcPr>
        <w:tcBorders>
          <w:top w:val="single" w:sz="4" w:space="0" w:color="A4CCBB"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A4CCBB" w:themeColor="accent4" w:themeTint="9A" w:themeShade="95"/>
        <w:sz w:val="22"/>
        <w:szCs w:val="22"/>
      </w:rPr>
      <w:tblPr/>
      <w:tcPr>
        <w:tcBorders>
          <w:top w:val="none" w:sz="0" w:space="0" w:color="auto"/>
          <w:left w:val="none" w:sz="0" w:space="0" w:color="auto"/>
          <w:bottom w:val="none" w:sz="0" w:space="0" w:color="auto"/>
          <w:right w:val="single" w:sz="4" w:space="0" w:color="A4CCBB" w:themeColor="accent4" w:themeTint="9A"/>
        </w:tcBorders>
        <w:shd w:val="clear" w:color="auto" w:fill="auto"/>
      </w:tcPr>
    </w:tblStylePr>
    <w:tblStylePr w:type="lastCol">
      <w:rPr>
        <w:rFonts w:ascii="Arial" w:hAnsi="Arial" w:cs="Arial" w:hint="default"/>
        <w:i/>
        <w:color w:val="A4CCBB" w:themeColor="accent4" w:themeTint="9A" w:themeShade="95"/>
        <w:sz w:val="22"/>
        <w:szCs w:val="22"/>
      </w:rPr>
      <w:tblPr/>
      <w:tcPr>
        <w:tcBorders>
          <w:top w:val="none" w:sz="0" w:space="0" w:color="auto"/>
          <w:left w:val="single" w:sz="4" w:space="0" w:color="A4CCBB" w:themeColor="accent4" w:themeTint="9A"/>
          <w:bottom w:val="none" w:sz="0" w:space="0" w:color="auto"/>
          <w:right w:val="none" w:sz="0" w:space="0" w:color="auto"/>
        </w:tcBorders>
        <w:shd w:val="clear" w:color="auto" w:fill="auto"/>
      </w:tcPr>
    </w:tblStylePr>
    <w:tblStylePr w:type="band1Vert">
      <w:tblPr/>
      <w:tcPr>
        <w:shd w:val="clear" w:color="auto" w:fill="E0EEE8" w:themeFill="accent4" w:themeFillTint="34"/>
      </w:tcPr>
    </w:tblStylePr>
    <w:tblStylePr w:type="band1Horz">
      <w:rPr>
        <w:rFonts w:ascii="Arial" w:hAnsi="Arial" w:cs="Arial" w:hint="default"/>
        <w:color w:val="A4CCBB" w:themeColor="accent4" w:themeTint="9A" w:themeShade="95"/>
        <w:sz w:val="22"/>
        <w:szCs w:val="22"/>
      </w:rPr>
      <w:tblPr/>
      <w:tcPr>
        <w:shd w:val="clear" w:color="auto" w:fill="E0EEE8" w:themeFill="accent4" w:themeFillTint="34"/>
      </w:tcPr>
    </w:tblStylePr>
    <w:tblStylePr w:type="band2Horz">
      <w:rPr>
        <w:rFonts w:ascii="Arial" w:hAnsi="Arial" w:cs="Arial" w:hint="default"/>
        <w:color w:val="A4CCBB" w:themeColor="accent4" w:themeTint="9A" w:themeShade="95"/>
        <w:sz w:val="22"/>
        <w:szCs w:val="22"/>
      </w:rPr>
    </w:tblStylePr>
  </w:style>
  <w:style w:type="table" w:customStyle="1" w:styleId="GridTable7Colorful-Accent51">
    <w:name w:val="Grid Table 7 Colorful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cs="Arial" w:hint="default"/>
        <w:b/>
        <w:color w:val="314C59" w:themeColor="accent5" w:themeShade="95"/>
        <w:sz w:val="22"/>
        <w:szCs w:val="22"/>
      </w:rPr>
      <w:tblPr/>
      <w:tcPr>
        <w:tcBorders>
          <w:top w:val="none" w:sz="0" w:space="0" w:color="auto"/>
          <w:left w:val="none" w:sz="0" w:space="0" w:color="auto"/>
          <w:bottom w:val="single" w:sz="4" w:space="0" w:color="9BBAC8" w:themeColor="accent5" w:themeTint="90"/>
          <w:right w:val="none" w:sz="0" w:space="0" w:color="auto"/>
        </w:tcBorders>
        <w:shd w:val="clear" w:color="auto" w:fill="FFFFFF" w:themeFill="light1"/>
      </w:tcPr>
    </w:tblStylePr>
    <w:tblStylePr w:type="lastRow">
      <w:rPr>
        <w:rFonts w:ascii="Arial" w:hAnsi="Arial" w:cs="Arial" w:hint="default"/>
        <w:b/>
        <w:color w:val="314C59" w:themeColor="accent5" w:themeShade="95"/>
        <w:sz w:val="22"/>
        <w:szCs w:val="22"/>
      </w:rPr>
      <w:tblPr/>
      <w:tcPr>
        <w:tcBorders>
          <w:top w:val="single" w:sz="4" w:space="0" w:color="9BBAC8"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314C59" w:themeColor="accent5" w:themeShade="95"/>
        <w:sz w:val="22"/>
        <w:szCs w:val="22"/>
      </w:rPr>
      <w:tblPr/>
      <w:tcPr>
        <w:tcBorders>
          <w:top w:val="none" w:sz="0" w:space="0" w:color="auto"/>
          <w:left w:val="none" w:sz="0" w:space="0" w:color="auto"/>
          <w:bottom w:val="none" w:sz="0" w:space="0" w:color="auto"/>
          <w:right w:val="single" w:sz="4" w:space="0" w:color="9BBAC8" w:themeColor="accent5" w:themeTint="90"/>
        </w:tcBorders>
        <w:shd w:val="clear" w:color="auto" w:fill="auto"/>
      </w:tcPr>
    </w:tblStylePr>
    <w:tblStylePr w:type="lastCol">
      <w:rPr>
        <w:rFonts w:ascii="Arial" w:hAnsi="Arial" w:cs="Arial" w:hint="default"/>
        <w:i/>
        <w:color w:val="314C59" w:themeColor="accent5" w:themeShade="95"/>
        <w:sz w:val="22"/>
        <w:szCs w:val="22"/>
      </w:rPr>
      <w:tblPr/>
      <w:tcPr>
        <w:tcBorders>
          <w:top w:val="none" w:sz="0" w:space="0" w:color="auto"/>
          <w:left w:val="single" w:sz="4" w:space="0" w:color="9BBAC8" w:themeColor="accent5" w:themeTint="90"/>
          <w:bottom w:val="none" w:sz="0" w:space="0" w:color="auto"/>
          <w:right w:val="none" w:sz="0" w:space="0" w:color="auto"/>
        </w:tcBorders>
        <w:shd w:val="clear" w:color="auto" w:fill="auto"/>
      </w:tcPr>
    </w:tblStylePr>
    <w:tblStylePr w:type="band1Vert">
      <w:tblPr/>
      <w:tcPr>
        <w:shd w:val="clear" w:color="auto" w:fill="DAE6EB" w:themeFill="accent5" w:themeFillTint="34"/>
      </w:tcPr>
    </w:tblStylePr>
    <w:tblStylePr w:type="band1Horz">
      <w:rPr>
        <w:rFonts w:ascii="Arial" w:hAnsi="Arial" w:cs="Arial" w:hint="default"/>
        <w:color w:val="314C59" w:themeColor="accent5" w:themeShade="95"/>
        <w:sz w:val="22"/>
        <w:szCs w:val="22"/>
      </w:rPr>
      <w:tblPr/>
      <w:tcPr>
        <w:shd w:val="clear" w:color="auto" w:fill="DAE6EB" w:themeFill="accent5" w:themeFillTint="34"/>
      </w:tcPr>
    </w:tblStylePr>
    <w:tblStylePr w:type="band2Horz">
      <w:rPr>
        <w:rFonts w:ascii="Arial" w:hAnsi="Arial" w:cs="Arial" w:hint="default"/>
        <w:color w:val="314C59" w:themeColor="accent5" w:themeShade="95"/>
        <w:sz w:val="22"/>
        <w:szCs w:val="22"/>
      </w:rPr>
    </w:tblStylePr>
  </w:style>
  <w:style w:type="table" w:customStyle="1" w:styleId="GridTable7Colorful-Accent61">
    <w:name w:val="Grid Table 7 Colorful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cs="Arial" w:hint="default"/>
        <w:b/>
        <w:color w:val="5C375A" w:themeColor="accent6" w:themeShade="95"/>
        <w:sz w:val="22"/>
        <w:szCs w:val="22"/>
      </w:rPr>
      <w:tblPr/>
      <w:tcPr>
        <w:tcBorders>
          <w:top w:val="none" w:sz="0" w:space="0" w:color="auto"/>
          <w:left w:val="none" w:sz="0" w:space="0" w:color="auto"/>
          <w:bottom w:val="single" w:sz="4" w:space="0" w:color="C8A3C6" w:themeColor="accent6" w:themeTint="90"/>
          <w:right w:val="none" w:sz="0" w:space="0" w:color="auto"/>
        </w:tcBorders>
        <w:shd w:val="clear" w:color="auto" w:fill="FFFFFF" w:themeFill="light1"/>
      </w:tcPr>
    </w:tblStylePr>
    <w:tblStylePr w:type="lastRow">
      <w:rPr>
        <w:rFonts w:ascii="Arial" w:hAnsi="Arial" w:cs="Arial" w:hint="default"/>
        <w:b/>
        <w:color w:val="5C375A" w:themeColor="accent6" w:themeShade="95"/>
        <w:sz w:val="22"/>
        <w:szCs w:val="22"/>
      </w:rPr>
      <w:tblPr/>
      <w:tcPr>
        <w:tcBorders>
          <w:top w:val="single" w:sz="4" w:space="0" w:color="C8A3C6"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5C375A" w:themeColor="accent6" w:themeShade="95"/>
        <w:sz w:val="22"/>
        <w:szCs w:val="22"/>
      </w:rPr>
      <w:tblPr/>
      <w:tcPr>
        <w:tcBorders>
          <w:top w:val="none" w:sz="0" w:space="0" w:color="auto"/>
          <w:left w:val="none" w:sz="0" w:space="0" w:color="auto"/>
          <w:bottom w:val="none" w:sz="0" w:space="0" w:color="auto"/>
          <w:right w:val="single" w:sz="4" w:space="0" w:color="C8A3C6" w:themeColor="accent6" w:themeTint="90"/>
        </w:tcBorders>
        <w:shd w:val="clear" w:color="auto" w:fill="auto"/>
      </w:tcPr>
    </w:tblStylePr>
    <w:tblStylePr w:type="lastCol">
      <w:rPr>
        <w:rFonts w:ascii="Arial" w:hAnsi="Arial" w:cs="Arial" w:hint="default"/>
        <w:i/>
        <w:color w:val="5C375A" w:themeColor="accent6" w:themeShade="95"/>
        <w:sz w:val="22"/>
        <w:szCs w:val="22"/>
      </w:rPr>
      <w:tblPr/>
      <w:tcPr>
        <w:tcBorders>
          <w:top w:val="none" w:sz="0" w:space="0" w:color="auto"/>
          <w:left w:val="single" w:sz="4" w:space="0" w:color="C8A3C6" w:themeColor="accent6" w:themeTint="90"/>
          <w:bottom w:val="none" w:sz="0" w:space="0" w:color="auto"/>
          <w:right w:val="none" w:sz="0" w:space="0" w:color="auto"/>
        </w:tcBorders>
        <w:shd w:val="clear" w:color="auto" w:fill="auto"/>
      </w:tcPr>
    </w:tblStylePr>
    <w:tblStylePr w:type="band1Vert">
      <w:tblPr/>
      <w:tcPr>
        <w:shd w:val="clear" w:color="auto" w:fill="EBDDEA" w:themeFill="accent6" w:themeFillTint="34"/>
      </w:tcPr>
    </w:tblStylePr>
    <w:tblStylePr w:type="band1Horz">
      <w:rPr>
        <w:rFonts w:ascii="Arial" w:hAnsi="Arial" w:cs="Arial" w:hint="default"/>
        <w:color w:val="5C375A" w:themeColor="accent6" w:themeShade="95"/>
        <w:sz w:val="22"/>
        <w:szCs w:val="22"/>
      </w:rPr>
      <w:tblPr/>
      <w:tcPr>
        <w:shd w:val="clear" w:color="auto" w:fill="EBDDEA" w:themeFill="accent6" w:themeFillTint="34"/>
      </w:tcPr>
    </w:tblStylePr>
    <w:tblStylePr w:type="band2Horz">
      <w:rPr>
        <w:rFonts w:ascii="Arial" w:hAnsi="Arial" w:cs="Arial" w:hint="default"/>
        <w:color w:val="5C375A" w:themeColor="accent6" w:themeShade="95"/>
        <w:sz w:val="22"/>
        <w:szCs w:val="22"/>
      </w:rPr>
    </w:tblStylePr>
  </w:style>
  <w:style w:type="table" w:customStyle="1" w:styleId="ListTable1Light-Accent11">
    <w:name w:val="List Table 1 Light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B01513" w:themeColor="accent1"/>
          <w:right w:val="none" w:sz="0" w:space="0" w:color="auto"/>
        </w:tcBorders>
      </w:tcPr>
    </w:tblStylePr>
    <w:tblStylePr w:type="lastRow">
      <w:rPr>
        <w:b/>
        <w:color w:val="404040"/>
      </w:rPr>
      <w:tblPr/>
      <w:tcPr>
        <w:tcBorders>
          <w:top w:val="single" w:sz="4" w:space="0" w:color="B01513" w:themeColor="accent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7B8B7" w:themeFill="accent1" w:themeFillTint="40"/>
      </w:tcPr>
    </w:tblStylePr>
    <w:tblStylePr w:type="band1Horz">
      <w:tblPr/>
      <w:tcPr>
        <w:shd w:val="clear" w:color="auto" w:fill="F7B8B7" w:themeFill="accent1" w:themeFillTint="40"/>
      </w:tcPr>
    </w:tblStylePr>
  </w:style>
  <w:style w:type="table" w:customStyle="1" w:styleId="ListTable1Light-Accent21">
    <w:name w:val="List Table 1 Light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EA6312" w:themeColor="accent2"/>
          <w:right w:val="none" w:sz="0" w:space="0" w:color="auto"/>
        </w:tcBorders>
      </w:tcPr>
    </w:tblStylePr>
    <w:tblStylePr w:type="lastRow">
      <w:rPr>
        <w:b/>
        <w:color w:val="404040"/>
      </w:rPr>
      <w:tblPr/>
      <w:tcPr>
        <w:tcBorders>
          <w:top w:val="single" w:sz="4" w:space="0" w:color="EA6312" w:themeColor="accent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7C2" w:themeFill="accent2" w:themeFillTint="40"/>
      </w:tcPr>
    </w:tblStylePr>
    <w:tblStylePr w:type="band1Horz">
      <w:tblPr/>
      <w:tcPr>
        <w:shd w:val="clear" w:color="auto" w:fill="FAD7C2" w:themeFill="accent2" w:themeFillTint="40"/>
      </w:tcPr>
    </w:tblStylePr>
  </w:style>
  <w:style w:type="table" w:customStyle="1" w:styleId="ListTable1Light-Accent31">
    <w:name w:val="List Table 1 Light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E6B729" w:themeColor="accent3"/>
          <w:right w:val="none" w:sz="0" w:space="0" w:color="auto"/>
        </w:tcBorders>
      </w:tcPr>
    </w:tblStylePr>
    <w:tblStylePr w:type="lastRow">
      <w:rPr>
        <w:b/>
        <w:color w:val="404040"/>
      </w:rPr>
      <w:tblPr/>
      <w:tcPr>
        <w:tcBorders>
          <w:top w:val="single" w:sz="4" w:space="0" w:color="E6B729" w:themeColor="accent3"/>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8ECC9" w:themeFill="accent3" w:themeFillTint="40"/>
      </w:tcPr>
    </w:tblStylePr>
    <w:tblStylePr w:type="band1Horz">
      <w:tblPr/>
      <w:tcPr>
        <w:shd w:val="clear" w:color="auto" w:fill="F8ECC9" w:themeFill="accent3" w:themeFillTint="40"/>
      </w:tcPr>
    </w:tblStylePr>
  </w:style>
  <w:style w:type="table" w:customStyle="1" w:styleId="ListTable1Light-Accent41">
    <w:name w:val="List Table 1 Light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6AAC90" w:themeColor="accent4"/>
          <w:right w:val="none" w:sz="0" w:space="0" w:color="auto"/>
        </w:tcBorders>
      </w:tcPr>
    </w:tblStylePr>
    <w:tblStylePr w:type="lastRow">
      <w:rPr>
        <w:b/>
        <w:color w:val="404040"/>
      </w:rPr>
      <w:tblPr/>
      <w:tcPr>
        <w:tcBorders>
          <w:top w:val="single" w:sz="4" w:space="0" w:color="6AAC90" w:themeColor="accent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9EAE3" w:themeFill="accent4" w:themeFillTint="40"/>
      </w:tcPr>
    </w:tblStylePr>
    <w:tblStylePr w:type="band1Horz">
      <w:tblPr/>
      <w:tcPr>
        <w:shd w:val="clear" w:color="auto" w:fill="D9EAE3" w:themeFill="accent4" w:themeFillTint="40"/>
      </w:tcPr>
    </w:tblStylePr>
  </w:style>
  <w:style w:type="table" w:customStyle="1" w:styleId="ListTable1Light-Accent51">
    <w:name w:val="List Table 1 Light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54849A" w:themeColor="accent5"/>
          <w:right w:val="none" w:sz="0" w:space="0" w:color="auto"/>
        </w:tcBorders>
      </w:tcPr>
    </w:tblStylePr>
    <w:tblStylePr w:type="lastRow">
      <w:rPr>
        <w:b/>
        <w:color w:val="404040"/>
      </w:rPr>
      <w:tblPr/>
      <w:tcPr>
        <w:tcBorders>
          <w:top w:val="single" w:sz="4" w:space="0" w:color="54849A" w:themeColor="accent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E0E7" w:themeFill="accent5" w:themeFillTint="40"/>
      </w:tcPr>
    </w:tblStylePr>
    <w:tblStylePr w:type="band1Horz">
      <w:tblPr/>
      <w:tcPr>
        <w:shd w:val="clear" w:color="auto" w:fill="D2E0E7" w:themeFill="accent5" w:themeFillTint="40"/>
      </w:tcPr>
    </w:tblStylePr>
  </w:style>
  <w:style w:type="table" w:customStyle="1" w:styleId="ListTable1Light-Accent61">
    <w:name w:val="List Table 1 Light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b/>
        <w:color w:val="404040"/>
      </w:rPr>
      <w:tblPr/>
      <w:tcPr>
        <w:tcBorders>
          <w:top w:val="none" w:sz="0" w:space="0" w:color="auto"/>
          <w:left w:val="none" w:sz="0" w:space="0" w:color="auto"/>
          <w:bottom w:val="single" w:sz="4" w:space="0" w:color="9E5E9B" w:themeColor="accent6"/>
          <w:right w:val="none" w:sz="0" w:space="0" w:color="auto"/>
        </w:tcBorders>
      </w:tcPr>
    </w:tblStylePr>
    <w:tblStylePr w:type="lastRow">
      <w:rPr>
        <w:b/>
        <w:color w:val="404040"/>
      </w:rPr>
      <w:tblPr/>
      <w:tcPr>
        <w:tcBorders>
          <w:top w:val="single" w:sz="4" w:space="0" w:color="9E5E9B" w:themeColor="accent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6D6E6" w:themeFill="accent6" w:themeFillTint="40"/>
      </w:tcPr>
    </w:tblStylePr>
    <w:tblStylePr w:type="band1Horz">
      <w:tblPr/>
      <w:tcPr>
        <w:shd w:val="clear" w:color="auto" w:fill="E6D6E6" w:themeFill="accent6" w:themeFillTint="40"/>
      </w:tcPr>
    </w:tblStylePr>
  </w:style>
  <w:style w:type="table" w:customStyle="1" w:styleId="-2114">
    <w:name w:val="Список-таблица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la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ListTable2-Accent11">
    <w:name w:val="List Table 2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ED605E" w:themeColor="accent1" w:themeTint="90"/>
        <w:bottom w:val="single" w:sz="4" w:space="0" w:color="ED605E" w:themeColor="accent1" w:themeTint="90"/>
        <w:insideH w:val="single" w:sz="4" w:space="0" w:color="ED605E" w:themeColor="accent1" w:themeTint="90"/>
      </w:tblBorders>
    </w:tblPr>
    <w:tblStylePr w:type="firstRow">
      <w:rPr>
        <w:rFonts w:ascii="Arial" w:hAnsi="Arial" w:cs="Arial" w:hint="default"/>
        <w:b/>
        <w:color w:val="404040"/>
        <w:sz w:val="22"/>
        <w:szCs w:val="22"/>
      </w:rPr>
      <w:tblPr/>
      <w:tcPr>
        <w:tcBorders>
          <w:top w:val="single" w:sz="4" w:space="0" w:color="ED605E" w:themeColor="accent1" w:themeTint="90"/>
          <w:left w:val="none" w:sz="0" w:space="0" w:color="auto"/>
          <w:bottom w:val="single" w:sz="4" w:space="0" w:color="ED605E" w:themeColor="accent1" w:themeTint="90"/>
          <w:right w:val="none" w:sz="0" w:space="0" w:color="auto"/>
        </w:tcBorders>
      </w:tcPr>
    </w:tblStylePr>
    <w:tblStylePr w:type="lastRow">
      <w:rPr>
        <w:rFonts w:ascii="Arial" w:hAnsi="Arial" w:cs="Arial" w:hint="default"/>
        <w:b/>
        <w:color w:val="404040"/>
        <w:sz w:val="22"/>
        <w:szCs w:val="22"/>
      </w:rPr>
      <w:tblPr/>
      <w:tcPr>
        <w:tcBorders>
          <w:top w:val="single" w:sz="4" w:space="0" w:color="ED605E" w:themeColor="accent1" w:themeTint="90"/>
          <w:left w:val="none" w:sz="0" w:space="0" w:color="auto"/>
          <w:bottom w:val="single" w:sz="4" w:space="0" w:color="ED605E" w:themeColor="accent1"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7B8B7" w:themeFill="accent1" w:themeFillTint="40"/>
      </w:tcPr>
    </w:tblStylePr>
    <w:tblStylePr w:type="band1Horz">
      <w:rPr>
        <w:rFonts w:ascii="Arial" w:hAnsi="Arial" w:cs="Arial" w:hint="default"/>
        <w:color w:val="404040"/>
        <w:sz w:val="22"/>
        <w:szCs w:val="22"/>
      </w:rPr>
      <w:tblPr/>
      <w:tcPr>
        <w:shd w:val="clear" w:color="auto" w:fill="F7B8B7" w:themeFill="accent1" w:themeFillTint="40"/>
      </w:tcPr>
    </w:tblStylePr>
  </w:style>
  <w:style w:type="table" w:customStyle="1" w:styleId="ListTable2-Accent21">
    <w:name w:val="List Table 2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677" w:themeColor="accent2" w:themeTint="90"/>
        <w:bottom w:val="single" w:sz="4" w:space="0" w:color="F4A677" w:themeColor="accent2" w:themeTint="90"/>
        <w:insideH w:val="single" w:sz="4" w:space="0" w:color="F4A677" w:themeColor="accent2" w:themeTint="90"/>
      </w:tblBorders>
    </w:tblPr>
    <w:tblStylePr w:type="firstRow">
      <w:rPr>
        <w:rFonts w:ascii="Arial" w:hAnsi="Arial" w:cs="Arial" w:hint="default"/>
        <w:b/>
        <w:color w:val="404040"/>
        <w:sz w:val="22"/>
        <w:szCs w:val="22"/>
      </w:rPr>
      <w:tblPr/>
      <w:tcPr>
        <w:tcBorders>
          <w:top w:val="single" w:sz="4" w:space="0" w:color="F4A677" w:themeColor="accent2" w:themeTint="90"/>
          <w:left w:val="none" w:sz="0" w:space="0" w:color="auto"/>
          <w:bottom w:val="single" w:sz="4" w:space="0" w:color="F4A677" w:themeColor="accent2" w:themeTint="90"/>
          <w:right w:val="none" w:sz="0" w:space="0" w:color="auto"/>
        </w:tcBorders>
      </w:tcPr>
    </w:tblStylePr>
    <w:tblStylePr w:type="lastRow">
      <w:rPr>
        <w:rFonts w:ascii="Arial" w:hAnsi="Arial" w:cs="Arial" w:hint="default"/>
        <w:b/>
        <w:color w:val="404040"/>
        <w:sz w:val="22"/>
        <w:szCs w:val="22"/>
      </w:rPr>
      <w:tblPr/>
      <w:tcPr>
        <w:tcBorders>
          <w:top w:val="single" w:sz="4" w:space="0" w:color="F4A677" w:themeColor="accent2" w:themeTint="90"/>
          <w:left w:val="none" w:sz="0" w:space="0" w:color="auto"/>
          <w:bottom w:val="single" w:sz="4" w:space="0" w:color="F4A677" w:themeColor="accent2"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AD7C2" w:themeFill="accent2" w:themeFillTint="40"/>
      </w:tcPr>
    </w:tblStylePr>
    <w:tblStylePr w:type="band1Horz">
      <w:rPr>
        <w:rFonts w:ascii="Arial" w:hAnsi="Arial" w:cs="Arial" w:hint="default"/>
        <w:color w:val="404040"/>
        <w:sz w:val="22"/>
        <w:szCs w:val="22"/>
      </w:rPr>
      <w:tblPr/>
      <w:tcPr>
        <w:shd w:val="clear" w:color="auto" w:fill="FAD7C2" w:themeFill="accent2" w:themeFillTint="40"/>
      </w:tcPr>
    </w:tblStylePr>
  </w:style>
  <w:style w:type="table" w:customStyle="1" w:styleId="ListTable2-Accent31">
    <w:name w:val="List Table 2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1D686" w:themeColor="accent3" w:themeTint="90"/>
        <w:bottom w:val="single" w:sz="4" w:space="0" w:color="F1D686" w:themeColor="accent3" w:themeTint="90"/>
        <w:insideH w:val="single" w:sz="4" w:space="0" w:color="F1D686" w:themeColor="accent3" w:themeTint="90"/>
      </w:tblBorders>
    </w:tblPr>
    <w:tblStylePr w:type="firstRow">
      <w:rPr>
        <w:rFonts w:ascii="Arial" w:hAnsi="Arial" w:cs="Arial" w:hint="default"/>
        <w:b/>
        <w:color w:val="404040"/>
        <w:sz w:val="22"/>
        <w:szCs w:val="22"/>
      </w:rPr>
      <w:tblPr/>
      <w:tcPr>
        <w:tcBorders>
          <w:top w:val="single" w:sz="4" w:space="0" w:color="F1D686" w:themeColor="accent3" w:themeTint="90"/>
          <w:left w:val="none" w:sz="0" w:space="0" w:color="auto"/>
          <w:bottom w:val="single" w:sz="4" w:space="0" w:color="F1D686" w:themeColor="accent3" w:themeTint="90"/>
          <w:right w:val="none" w:sz="0" w:space="0" w:color="auto"/>
        </w:tcBorders>
      </w:tcPr>
    </w:tblStylePr>
    <w:tblStylePr w:type="lastRow">
      <w:rPr>
        <w:rFonts w:ascii="Arial" w:hAnsi="Arial" w:cs="Arial" w:hint="default"/>
        <w:b/>
        <w:color w:val="404040"/>
        <w:sz w:val="22"/>
        <w:szCs w:val="22"/>
      </w:rPr>
      <w:tblPr/>
      <w:tcPr>
        <w:tcBorders>
          <w:top w:val="single" w:sz="4" w:space="0" w:color="F1D686" w:themeColor="accent3" w:themeTint="90"/>
          <w:left w:val="none" w:sz="0" w:space="0" w:color="auto"/>
          <w:bottom w:val="single" w:sz="4" w:space="0" w:color="F1D686" w:themeColor="accent3"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8ECC9" w:themeFill="accent3" w:themeFillTint="40"/>
      </w:tcPr>
    </w:tblStylePr>
    <w:tblStylePr w:type="band1Horz">
      <w:rPr>
        <w:rFonts w:ascii="Arial" w:hAnsi="Arial" w:cs="Arial" w:hint="default"/>
        <w:color w:val="404040"/>
        <w:sz w:val="22"/>
        <w:szCs w:val="22"/>
      </w:rPr>
      <w:tblPr/>
      <w:tcPr>
        <w:shd w:val="clear" w:color="auto" w:fill="F8ECC9" w:themeFill="accent3" w:themeFillTint="40"/>
      </w:tcPr>
    </w:tblStylePr>
  </w:style>
  <w:style w:type="table" w:customStyle="1" w:styleId="ListTable2-Accent41">
    <w:name w:val="List Table 2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AD0C0" w:themeColor="accent4" w:themeTint="90"/>
        <w:bottom w:val="single" w:sz="4" w:space="0" w:color="AAD0C0" w:themeColor="accent4" w:themeTint="90"/>
        <w:insideH w:val="single" w:sz="4" w:space="0" w:color="AAD0C0" w:themeColor="accent4" w:themeTint="90"/>
      </w:tblBorders>
    </w:tblPr>
    <w:tblStylePr w:type="firstRow">
      <w:rPr>
        <w:rFonts w:ascii="Arial" w:hAnsi="Arial" w:cs="Arial" w:hint="default"/>
        <w:b/>
        <w:color w:val="404040"/>
        <w:sz w:val="22"/>
        <w:szCs w:val="22"/>
      </w:rPr>
      <w:tblPr/>
      <w:tcPr>
        <w:tcBorders>
          <w:top w:val="single" w:sz="4" w:space="0" w:color="AAD0C0" w:themeColor="accent4" w:themeTint="90"/>
          <w:left w:val="none" w:sz="0" w:space="0" w:color="auto"/>
          <w:bottom w:val="single" w:sz="4" w:space="0" w:color="AAD0C0" w:themeColor="accent4" w:themeTint="90"/>
          <w:right w:val="none" w:sz="0" w:space="0" w:color="auto"/>
        </w:tcBorders>
      </w:tcPr>
    </w:tblStylePr>
    <w:tblStylePr w:type="lastRow">
      <w:rPr>
        <w:rFonts w:ascii="Arial" w:hAnsi="Arial" w:cs="Arial" w:hint="default"/>
        <w:b/>
        <w:color w:val="404040"/>
        <w:sz w:val="22"/>
        <w:szCs w:val="22"/>
      </w:rPr>
      <w:tblPr/>
      <w:tcPr>
        <w:tcBorders>
          <w:top w:val="single" w:sz="4" w:space="0" w:color="AAD0C0" w:themeColor="accent4" w:themeTint="90"/>
          <w:left w:val="none" w:sz="0" w:space="0" w:color="auto"/>
          <w:bottom w:val="single" w:sz="4" w:space="0" w:color="AAD0C0" w:themeColor="accent4"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9EAE3" w:themeFill="accent4" w:themeFillTint="40"/>
      </w:tcPr>
    </w:tblStylePr>
    <w:tblStylePr w:type="band1Horz">
      <w:rPr>
        <w:rFonts w:ascii="Arial" w:hAnsi="Arial" w:cs="Arial" w:hint="default"/>
        <w:color w:val="404040"/>
        <w:sz w:val="22"/>
        <w:szCs w:val="22"/>
      </w:rPr>
      <w:tblPr/>
      <w:tcPr>
        <w:shd w:val="clear" w:color="auto" w:fill="D9EAE3" w:themeFill="accent4" w:themeFillTint="40"/>
      </w:tcPr>
    </w:tblStylePr>
  </w:style>
  <w:style w:type="table" w:customStyle="1" w:styleId="ListTable2-Accent51">
    <w:name w:val="List Table 2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BBAC8" w:themeColor="accent5" w:themeTint="90"/>
        <w:bottom w:val="single" w:sz="4" w:space="0" w:color="9BBAC8" w:themeColor="accent5" w:themeTint="90"/>
        <w:insideH w:val="single" w:sz="4" w:space="0" w:color="9BBAC8" w:themeColor="accent5" w:themeTint="90"/>
      </w:tblBorders>
    </w:tblPr>
    <w:tblStylePr w:type="firstRow">
      <w:rPr>
        <w:rFonts w:ascii="Arial" w:hAnsi="Arial" w:cs="Arial" w:hint="default"/>
        <w:b/>
        <w:color w:val="404040"/>
        <w:sz w:val="22"/>
        <w:szCs w:val="22"/>
      </w:rPr>
      <w:tblPr/>
      <w:tcPr>
        <w:tcBorders>
          <w:top w:val="single" w:sz="4" w:space="0" w:color="9BBAC8" w:themeColor="accent5" w:themeTint="90"/>
          <w:left w:val="none" w:sz="0" w:space="0" w:color="auto"/>
          <w:bottom w:val="single" w:sz="4" w:space="0" w:color="9BBAC8" w:themeColor="accent5" w:themeTint="90"/>
          <w:right w:val="none" w:sz="0" w:space="0" w:color="auto"/>
        </w:tcBorders>
      </w:tcPr>
    </w:tblStylePr>
    <w:tblStylePr w:type="lastRow">
      <w:rPr>
        <w:rFonts w:ascii="Arial" w:hAnsi="Arial" w:cs="Arial" w:hint="default"/>
        <w:b/>
        <w:color w:val="404040"/>
        <w:sz w:val="22"/>
        <w:szCs w:val="22"/>
      </w:rPr>
      <w:tblPr/>
      <w:tcPr>
        <w:tcBorders>
          <w:top w:val="single" w:sz="4" w:space="0" w:color="9BBAC8" w:themeColor="accent5" w:themeTint="90"/>
          <w:left w:val="none" w:sz="0" w:space="0" w:color="auto"/>
          <w:bottom w:val="single" w:sz="4" w:space="0" w:color="9BBAC8" w:themeColor="accent5"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2E0E7" w:themeFill="accent5" w:themeFillTint="40"/>
      </w:tcPr>
    </w:tblStylePr>
    <w:tblStylePr w:type="band1Horz">
      <w:rPr>
        <w:rFonts w:ascii="Arial" w:hAnsi="Arial" w:cs="Arial" w:hint="default"/>
        <w:color w:val="404040"/>
        <w:sz w:val="22"/>
        <w:szCs w:val="22"/>
      </w:rPr>
      <w:tblPr/>
      <w:tcPr>
        <w:shd w:val="clear" w:color="auto" w:fill="D2E0E7" w:themeFill="accent5" w:themeFillTint="40"/>
      </w:tcPr>
    </w:tblStylePr>
  </w:style>
  <w:style w:type="table" w:customStyle="1" w:styleId="ListTable2-Accent61">
    <w:name w:val="List Table 2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8A3C6" w:themeColor="accent6" w:themeTint="90"/>
        <w:bottom w:val="single" w:sz="4" w:space="0" w:color="C8A3C6" w:themeColor="accent6" w:themeTint="90"/>
        <w:insideH w:val="single" w:sz="4" w:space="0" w:color="C8A3C6" w:themeColor="accent6" w:themeTint="90"/>
      </w:tblBorders>
    </w:tblPr>
    <w:tblStylePr w:type="firstRow">
      <w:rPr>
        <w:rFonts w:ascii="Arial" w:hAnsi="Arial" w:cs="Arial" w:hint="default"/>
        <w:b/>
        <w:color w:val="404040"/>
        <w:sz w:val="22"/>
        <w:szCs w:val="22"/>
      </w:rPr>
      <w:tblPr/>
      <w:tcPr>
        <w:tcBorders>
          <w:top w:val="single" w:sz="4" w:space="0" w:color="C8A3C6" w:themeColor="accent6" w:themeTint="90"/>
          <w:left w:val="none" w:sz="0" w:space="0" w:color="auto"/>
          <w:bottom w:val="single" w:sz="4" w:space="0" w:color="C8A3C6" w:themeColor="accent6" w:themeTint="90"/>
          <w:right w:val="none" w:sz="0" w:space="0" w:color="auto"/>
        </w:tcBorders>
      </w:tcPr>
    </w:tblStylePr>
    <w:tblStylePr w:type="lastRow">
      <w:rPr>
        <w:rFonts w:ascii="Arial" w:hAnsi="Arial" w:cs="Arial" w:hint="default"/>
        <w:b/>
        <w:color w:val="404040"/>
        <w:sz w:val="22"/>
        <w:szCs w:val="22"/>
      </w:rPr>
      <w:tblPr/>
      <w:tcPr>
        <w:tcBorders>
          <w:top w:val="single" w:sz="4" w:space="0" w:color="C8A3C6" w:themeColor="accent6" w:themeTint="90"/>
          <w:left w:val="none" w:sz="0" w:space="0" w:color="auto"/>
          <w:bottom w:val="single" w:sz="4" w:space="0" w:color="C8A3C6" w:themeColor="accent6"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E6D6E6" w:themeFill="accent6" w:themeFillTint="40"/>
      </w:tcPr>
    </w:tblStylePr>
    <w:tblStylePr w:type="band1Horz">
      <w:rPr>
        <w:rFonts w:ascii="Arial" w:hAnsi="Arial" w:cs="Arial" w:hint="default"/>
        <w:color w:val="404040"/>
        <w:sz w:val="22"/>
        <w:szCs w:val="22"/>
      </w:rPr>
      <w:tblPr/>
      <w:tcPr>
        <w:shd w:val="clear" w:color="auto" w:fill="E6D6E6" w:themeFill="accent6" w:themeFillTint="40"/>
      </w:tcPr>
    </w:tblStylePr>
  </w:style>
  <w:style w:type="table" w:customStyle="1" w:styleId="-3110">
    <w:name w:val="Список-таблица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themeColor="text1"/>
          <w:right w:val="single" w:sz="4" w:space="0" w:color="000000" w:themeColor="text1"/>
        </w:tcBorders>
      </w:tcPr>
    </w:tblStylePr>
    <w:tblStylePr w:type="band1Horz">
      <w:rPr>
        <w:rFonts w:ascii="Arial" w:hAnsi="Arial" w:cs="Arial" w:hint="default"/>
        <w:color w:val="404040"/>
        <w:sz w:val="22"/>
        <w:szCs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B01513" w:themeColor="accent1"/>
        <w:left w:val="single" w:sz="4" w:space="0" w:color="B01513" w:themeColor="accent1"/>
        <w:bottom w:val="single" w:sz="4" w:space="0" w:color="B01513" w:themeColor="accent1"/>
        <w:right w:val="single" w:sz="4" w:space="0" w:color="B01513" w:themeColor="accent1"/>
      </w:tblBorders>
    </w:tblPr>
    <w:tblStylePr w:type="firstRow">
      <w:rPr>
        <w:rFonts w:ascii="Arial" w:hAnsi="Arial" w:cs="Arial" w:hint="default"/>
        <w:b/>
        <w:color w:val="FFFFFF"/>
        <w:sz w:val="22"/>
        <w:szCs w:val="22"/>
      </w:rPr>
      <w:tblPr/>
      <w:tcPr>
        <w:shd w:val="clear" w:color="auto"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B01513" w:themeColor="accent1"/>
          <w:right w:val="single" w:sz="4" w:space="0" w:color="B01513" w:themeColor="accent1"/>
        </w:tcBorders>
      </w:tcPr>
    </w:tblStylePr>
    <w:tblStylePr w:type="band1Horz">
      <w:rPr>
        <w:rFonts w:ascii="Arial" w:hAnsi="Arial" w:cs="Arial" w:hint="default"/>
        <w:color w:val="404040"/>
        <w:sz w:val="22"/>
        <w:szCs w:val="22"/>
      </w:rPr>
      <w:tblPr/>
      <w:tcPr>
        <w:tcBorders>
          <w:top w:val="single" w:sz="4" w:space="0" w:color="B01513" w:themeColor="accent1"/>
          <w:bottom w:val="single" w:sz="4" w:space="0" w:color="B01513" w:themeColor="accent1"/>
        </w:tcBorders>
      </w:tcPr>
    </w:tblStylePr>
  </w:style>
  <w:style w:type="table" w:customStyle="1" w:styleId="ListTable3-Accent21">
    <w:name w:val="List Table 3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blBorders>
    </w:tblPr>
    <w:tblStylePr w:type="firstRow">
      <w:rPr>
        <w:rFonts w:ascii="Arial" w:hAnsi="Arial" w:cs="Arial" w:hint="default"/>
        <w:b/>
        <w:color w:val="FFFFFF"/>
        <w:sz w:val="22"/>
        <w:szCs w:val="22"/>
      </w:rPr>
      <w:tblPr/>
      <w:tcPr>
        <w:shd w:val="clear" w:color="auto" w:fill="F4A17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4A170" w:themeColor="accent2" w:themeTint="97"/>
          <w:right w:val="single" w:sz="4" w:space="0" w:color="F4A170" w:themeColor="accent2" w:themeTint="97"/>
        </w:tcBorders>
      </w:tcPr>
    </w:tblStylePr>
    <w:tblStylePr w:type="band1Horz">
      <w:rPr>
        <w:rFonts w:ascii="Arial" w:hAnsi="Arial" w:cs="Arial" w:hint="default"/>
        <w:color w:val="404040"/>
        <w:sz w:val="22"/>
        <w:szCs w:val="22"/>
      </w:rPr>
      <w:tblPr/>
      <w:tcPr>
        <w:tcBorders>
          <w:top w:val="single" w:sz="4" w:space="0" w:color="F4A170" w:themeColor="accent2" w:themeTint="97"/>
          <w:bottom w:val="single" w:sz="4" w:space="0" w:color="F4A170" w:themeColor="accent2" w:themeTint="97"/>
        </w:tcBorders>
      </w:tcPr>
    </w:tblStylePr>
  </w:style>
  <w:style w:type="table" w:customStyle="1" w:styleId="ListTable3-Accent31">
    <w:name w:val="List Table 3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0D37F" w:themeColor="accent3" w:themeTint="98"/>
        <w:left w:val="single" w:sz="4" w:space="0" w:color="F0D37F" w:themeColor="accent3" w:themeTint="98"/>
        <w:bottom w:val="single" w:sz="4" w:space="0" w:color="F0D37F" w:themeColor="accent3" w:themeTint="98"/>
        <w:right w:val="single" w:sz="4" w:space="0" w:color="F0D37F" w:themeColor="accent3" w:themeTint="98"/>
      </w:tblBorders>
    </w:tblPr>
    <w:tblStylePr w:type="firstRow">
      <w:rPr>
        <w:rFonts w:ascii="Arial" w:hAnsi="Arial" w:cs="Arial" w:hint="default"/>
        <w:b/>
        <w:color w:val="FFFFFF"/>
        <w:sz w:val="22"/>
        <w:szCs w:val="22"/>
      </w:rPr>
      <w:tblPr/>
      <w:tcPr>
        <w:shd w:val="clear" w:color="auto" w:fill="F0D37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0D37F" w:themeColor="accent3" w:themeTint="98"/>
          <w:right w:val="single" w:sz="4" w:space="0" w:color="F0D37F" w:themeColor="accent3" w:themeTint="98"/>
        </w:tcBorders>
      </w:tcPr>
    </w:tblStylePr>
    <w:tblStylePr w:type="band1Horz">
      <w:rPr>
        <w:rFonts w:ascii="Arial" w:hAnsi="Arial" w:cs="Arial" w:hint="default"/>
        <w:color w:val="404040"/>
        <w:sz w:val="22"/>
        <w:szCs w:val="22"/>
      </w:rPr>
      <w:tblPr/>
      <w:tcPr>
        <w:tcBorders>
          <w:top w:val="single" w:sz="4" w:space="0" w:color="F0D37F" w:themeColor="accent3" w:themeTint="98"/>
          <w:bottom w:val="single" w:sz="4" w:space="0" w:color="F0D37F" w:themeColor="accent3" w:themeTint="98"/>
        </w:tcBorders>
      </w:tcPr>
    </w:tblStylePr>
  </w:style>
  <w:style w:type="table" w:customStyle="1" w:styleId="ListTable3-Accent41">
    <w:name w:val="List Table 3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blBorders>
    </w:tblPr>
    <w:tblStylePr w:type="firstRow">
      <w:rPr>
        <w:rFonts w:ascii="Arial" w:hAnsi="Arial" w:cs="Arial" w:hint="default"/>
        <w:b/>
        <w:color w:val="FFFFFF"/>
        <w:sz w:val="22"/>
        <w:szCs w:val="22"/>
      </w:rPr>
      <w:tblPr/>
      <w:tcPr>
        <w:shd w:val="clear" w:color="auto" w:fill="A4CCB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A4CCBB" w:themeColor="accent4" w:themeTint="9A"/>
          <w:right w:val="single" w:sz="4" w:space="0" w:color="A4CCBB" w:themeColor="accent4" w:themeTint="9A"/>
        </w:tcBorders>
      </w:tcPr>
    </w:tblStylePr>
    <w:tblStylePr w:type="band1Horz">
      <w:rPr>
        <w:rFonts w:ascii="Arial" w:hAnsi="Arial" w:cs="Arial" w:hint="default"/>
        <w:color w:val="404040"/>
        <w:sz w:val="22"/>
        <w:szCs w:val="22"/>
      </w:rPr>
      <w:tblPr/>
      <w:tcPr>
        <w:tcBorders>
          <w:top w:val="single" w:sz="4" w:space="0" w:color="A4CCBB" w:themeColor="accent4" w:themeTint="9A"/>
          <w:bottom w:val="single" w:sz="4" w:space="0" w:color="A4CCBB" w:themeColor="accent4" w:themeTint="9A"/>
        </w:tcBorders>
      </w:tcPr>
    </w:tblStylePr>
  </w:style>
  <w:style w:type="table" w:customStyle="1" w:styleId="ListTable3-Accent51">
    <w:name w:val="List Table 3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4B5C5" w:themeColor="accent5" w:themeTint="9A"/>
        <w:left w:val="single" w:sz="4" w:space="0" w:color="94B5C5" w:themeColor="accent5" w:themeTint="9A"/>
        <w:bottom w:val="single" w:sz="4" w:space="0" w:color="94B5C5" w:themeColor="accent5" w:themeTint="9A"/>
        <w:right w:val="single" w:sz="4" w:space="0" w:color="94B5C5" w:themeColor="accent5" w:themeTint="9A"/>
      </w:tblBorders>
    </w:tblPr>
    <w:tblStylePr w:type="firstRow">
      <w:rPr>
        <w:rFonts w:ascii="Arial" w:hAnsi="Arial" w:cs="Arial" w:hint="default"/>
        <w:b/>
        <w:color w:val="FFFFFF"/>
        <w:sz w:val="22"/>
        <w:szCs w:val="22"/>
      </w:rPr>
      <w:tblPr/>
      <w:tcPr>
        <w:shd w:val="clear" w:color="auto" w:fill="94B5C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94B5C5" w:themeColor="accent5" w:themeTint="9A"/>
          <w:right w:val="single" w:sz="4" w:space="0" w:color="94B5C5" w:themeColor="accent5" w:themeTint="9A"/>
        </w:tcBorders>
      </w:tcPr>
    </w:tblStylePr>
    <w:tblStylePr w:type="band1Horz">
      <w:rPr>
        <w:rFonts w:ascii="Arial" w:hAnsi="Arial" w:cs="Arial" w:hint="default"/>
        <w:color w:val="404040"/>
        <w:sz w:val="22"/>
        <w:szCs w:val="22"/>
      </w:rPr>
      <w:tblPr/>
      <w:tcPr>
        <w:tcBorders>
          <w:top w:val="single" w:sz="4" w:space="0" w:color="94B5C5" w:themeColor="accent5" w:themeTint="9A"/>
          <w:bottom w:val="single" w:sz="4" w:space="0" w:color="94B5C5" w:themeColor="accent5" w:themeTint="9A"/>
        </w:tcBorders>
      </w:tcPr>
    </w:tblStylePr>
  </w:style>
  <w:style w:type="table" w:customStyle="1" w:styleId="ListTable3-Accent61">
    <w:name w:val="List Table 3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59EC3" w:themeColor="accent6" w:themeTint="98"/>
        <w:left w:val="single" w:sz="4" w:space="0" w:color="C59EC3" w:themeColor="accent6" w:themeTint="98"/>
        <w:bottom w:val="single" w:sz="4" w:space="0" w:color="C59EC3" w:themeColor="accent6" w:themeTint="98"/>
        <w:right w:val="single" w:sz="4" w:space="0" w:color="C59EC3" w:themeColor="accent6" w:themeTint="98"/>
      </w:tblBorders>
    </w:tblPr>
    <w:tblStylePr w:type="firstRow">
      <w:rPr>
        <w:rFonts w:ascii="Arial" w:hAnsi="Arial" w:cs="Arial" w:hint="default"/>
        <w:b/>
        <w:color w:val="FFFFFF"/>
        <w:sz w:val="22"/>
        <w:szCs w:val="22"/>
      </w:rPr>
      <w:tblPr/>
      <w:tcPr>
        <w:shd w:val="clear" w:color="auto" w:fill="C59EC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C59EC3" w:themeColor="accent6" w:themeTint="98"/>
          <w:right w:val="single" w:sz="4" w:space="0" w:color="C59EC3" w:themeColor="accent6" w:themeTint="98"/>
        </w:tcBorders>
      </w:tcPr>
    </w:tblStylePr>
    <w:tblStylePr w:type="band1Horz">
      <w:rPr>
        <w:rFonts w:ascii="Arial" w:hAnsi="Arial" w:cs="Arial" w:hint="default"/>
        <w:color w:val="404040"/>
        <w:sz w:val="22"/>
        <w:szCs w:val="22"/>
      </w:rPr>
      <w:tblPr/>
      <w:tcPr>
        <w:tcBorders>
          <w:top w:val="single" w:sz="4" w:space="0" w:color="C59EC3" w:themeColor="accent6" w:themeTint="98"/>
          <w:bottom w:val="single" w:sz="4" w:space="0" w:color="C59EC3" w:themeColor="accent6" w:themeTint="98"/>
        </w:tcBorders>
      </w:tcPr>
    </w:tblStylePr>
  </w:style>
  <w:style w:type="table" w:customStyle="1" w:styleId="-4112">
    <w:name w:val="Список-таблица 4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ListTable4-Accent11">
    <w:name w:val="List Table 4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tblBorders>
    </w:tblPr>
    <w:tblStylePr w:type="firstRow">
      <w:rPr>
        <w:rFonts w:ascii="Arial" w:hAnsi="Arial" w:cs="Arial" w:hint="default"/>
        <w:b/>
        <w:color w:val="FFFFFF"/>
        <w:sz w:val="22"/>
        <w:szCs w:val="22"/>
      </w:rPr>
      <w:tblPr/>
      <w:tcPr>
        <w:shd w:val="clear" w:color="auto"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7B8B7" w:themeFill="accent1" w:themeFillTint="40"/>
      </w:tcPr>
    </w:tblStylePr>
    <w:tblStylePr w:type="band1Horz">
      <w:rPr>
        <w:rFonts w:ascii="Arial" w:hAnsi="Arial" w:cs="Arial" w:hint="default"/>
        <w:color w:val="404040"/>
        <w:sz w:val="22"/>
        <w:szCs w:val="22"/>
      </w:rPr>
      <w:tblPr/>
      <w:tcPr>
        <w:shd w:val="clear" w:color="auto" w:fill="F7B8B7" w:themeFill="accent1" w:themeFillTint="40"/>
      </w:tcPr>
    </w:tblStylePr>
  </w:style>
  <w:style w:type="table" w:customStyle="1" w:styleId="ListTable4-Accent21">
    <w:name w:val="List Table 4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tblBorders>
    </w:tblPr>
    <w:tblStylePr w:type="firstRow">
      <w:rPr>
        <w:rFonts w:ascii="Arial" w:hAnsi="Arial" w:cs="Arial" w:hint="default"/>
        <w:b/>
        <w:color w:val="FFFFFF"/>
        <w:sz w:val="22"/>
        <w:szCs w:val="22"/>
      </w:rPr>
      <w:tblPr/>
      <w:tcPr>
        <w:shd w:val="clear" w:color="auto" w:fill="EA631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D7C2" w:themeFill="accent2" w:themeFillTint="40"/>
      </w:tcPr>
    </w:tblStylePr>
    <w:tblStylePr w:type="band1Horz">
      <w:rPr>
        <w:rFonts w:ascii="Arial" w:hAnsi="Arial" w:cs="Arial" w:hint="default"/>
        <w:color w:val="404040"/>
        <w:sz w:val="22"/>
        <w:szCs w:val="22"/>
      </w:rPr>
      <w:tblPr/>
      <w:tcPr>
        <w:shd w:val="clear" w:color="auto" w:fill="FAD7C2" w:themeFill="accent2" w:themeFillTint="40"/>
      </w:tcPr>
    </w:tblStylePr>
  </w:style>
  <w:style w:type="table" w:customStyle="1" w:styleId="ListTable4-Accent31">
    <w:name w:val="List Table 4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tblBorders>
    </w:tblPr>
    <w:tblStylePr w:type="firstRow">
      <w:rPr>
        <w:rFonts w:ascii="Arial" w:hAnsi="Arial" w:cs="Arial" w:hint="default"/>
        <w:b/>
        <w:color w:val="FFFFFF"/>
        <w:sz w:val="22"/>
        <w:szCs w:val="22"/>
      </w:rPr>
      <w:tblPr/>
      <w:tcPr>
        <w:shd w:val="clear" w:color="auto" w:fill="E6B72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8ECC9" w:themeFill="accent3" w:themeFillTint="40"/>
      </w:tcPr>
    </w:tblStylePr>
    <w:tblStylePr w:type="band1Horz">
      <w:rPr>
        <w:rFonts w:ascii="Arial" w:hAnsi="Arial" w:cs="Arial" w:hint="default"/>
        <w:color w:val="404040"/>
        <w:sz w:val="22"/>
        <w:szCs w:val="22"/>
      </w:rPr>
      <w:tblPr/>
      <w:tcPr>
        <w:shd w:val="clear" w:color="auto" w:fill="F8ECC9" w:themeFill="accent3" w:themeFillTint="40"/>
      </w:tcPr>
    </w:tblStylePr>
  </w:style>
  <w:style w:type="table" w:customStyle="1" w:styleId="ListTable4-Accent41">
    <w:name w:val="List Table 4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tblBorders>
    </w:tblPr>
    <w:tblStylePr w:type="firstRow">
      <w:rPr>
        <w:rFonts w:ascii="Arial" w:hAnsi="Arial" w:cs="Arial" w:hint="default"/>
        <w:b/>
        <w:color w:val="FFFFFF"/>
        <w:sz w:val="22"/>
        <w:szCs w:val="22"/>
      </w:rPr>
      <w:tblPr/>
      <w:tcPr>
        <w:shd w:val="clear" w:color="auto" w:fill="6AAC9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9EAE3" w:themeFill="accent4" w:themeFillTint="40"/>
      </w:tcPr>
    </w:tblStylePr>
    <w:tblStylePr w:type="band1Horz">
      <w:rPr>
        <w:rFonts w:ascii="Arial" w:hAnsi="Arial" w:cs="Arial" w:hint="default"/>
        <w:color w:val="404040"/>
        <w:sz w:val="22"/>
        <w:szCs w:val="22"/>
      </w:rPr>
      <w:tblPr/>
      <w:tcPr>
        <w:shd w:val="clear" w:color="auto" w:fill="D9EAE3" w:themeFill="accent4" w:themeFillTint="40"/>
      </w:tcPr>
    </w:tblStylePr>
  </w:style>
  <w:style w:type="table" w:customStyle="1" w:styleId="ListTable4-Accent51">
    <w:name w:val="List Table 4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tblBorders>
    </w:tblPr>
    <w:tblStylePr w:type="firstRow">
      <w:rPr>
        <w:rFonts w:ascii="Arial" w:hAnsi="Arial" w:cs="Arial" w:hint="default"/>
        <w:b/>
        <w:color w:val="FFFFFF"/>
        <w:sz w:val="22"/>
        <w:szCs w:val="22"/>
      </w:rPr>
      <w:tblPr/>
      <w:tcPr>
        <w:shd w:val="clear" w:color="auto" w:fill="54849A"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2E0E7" w:themeFill="accent5" w:themeFillTint="40"/>
      </w:tcPr>
    </w:tblStylePr>
    <w:tblStylePr w:type="band1Horz">
      <w:rPr>
        <w:rFonts w:ascii="Arial" w:hAnsi="Arial" w:cs="Arial" w:hint="default"/>
        <w:color w:val="404040"/>
        <w:sz w:val="22"/>
        <w:szCs w:val="22"/>
      </w:rPr>
      <w:tblPr/>
      <w:tcPr>
        <w:shd w:val="clear" w:color="auto" w:fill="D2E0E7" w:themeFill="accent5" w:themeFillTint="40"/>
      </w:tcPr>
    </w:tblStylePr>
  </w:style>
  <w:style w:type="table" w:customStyle="1" w:styleId="ListTable4-Accent61">
    <w:name w:val="List Table 4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tblBorders>
    </w:tblPr>
    <w:tblStylePr w:type="firstRow">
      <w:rPr>
        <w:rFonts w:ascii="Arial" w:hAnsi="Arial" w:cs="Arial" w:hint="default"/>
        <w:b/>
        <w:color w:val="FFFFFF"/>
        <w:sz w:val="22"/>
        <w:szCs w:val="22"/>
      </w:rPr>
      <w:tblPr/>
      <w:tcPr>
        <w:shd w:val="clear" w:color="auto" w:fill="9E5E9B"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6D6E6" w:themeFill="accent6" w:themeFillTint="40"/>
      </w:tcPr>
    </w:tblStylePr>
    <w:tblStylePr w:type="band1Horz">
      <w:rPr>
        <w:rFonts w:ascii="Arial" w:hAnsi="Arial" w:cs="Arial" w:hint="default"/>
        <w:color w:val="404040"/>
        <w:sz w:val="22"/>
        <w:szCs w:val="22"/>
      </w:rPr>
      <w:tblPr/>
      <w:tcPr>
        <w:shd w:val="clear" w:color="auto" w:fill="E6D6E6" w:themeFill="accent6" w:themeFillTint="40"/>
      </w:tcPr>
    </w:tblStylePr>
  </w:style>
  <w:style w:type="table" w:customStyle="1" w:styleId="-5112">
    <w:name w:val="Список-таблица 5 тем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7F7F7F" w:themeColor="text1" w:themeTint="80"/>
        <w:left w:val="single" w:sz="36" w:space="0" w:color="7F7F7F" w:themeColor="text1" w:themeTint="80"/>
        <w:bottom w:val="single" w:sz="36" w:space="0" w:color="7F7F7F" w:themeColor="text1" w:themeTint="80"/>
        <w:right w:val="single" w:sz="36" w:space="0" w:color="7F7F7F" w:themeColor="text1" w:themeTint="80"/>
      </w:tblBorders>
      <w:shd w:val="clear" w:color="auto" w:fill="7F7F7F" w:themeFill="text1" w:themeFillTint="80"/>
    </w:tblPr>
    <w:tblStylePr w:type="firstRow">
      <w:rPr>
        <w:rFonts w:ascii="Arial" w:hAnsi="Arial" w:cs="Arial" w:hint="default"/>
        <w:b/>
        <w:color w:val="FFFFFF" w:themeColor="light1"/>
        <w:sz w:val="22"/>
        <w:szCs w:val="22"/>
      </w:rPr>
      <w:tblPr/>
      <w:tcPr>
        <w:tcBorders>
          <w:top w:val="single" w:sz="36" w:space="0" w:color="7F7F7F" w:themeColor="text1" w:themeTint="80"/>
          <w:bottom w:val="single" w:sz="12" w:space="0" w:color="FFFFFF" w:themeColor="light1"/>
        </w:tcBorders>
        <w:shd w:val="clear" w:color="auto" w:fill="7F7F7F" w:themeFill="text1" w:themeFillTint="80"/>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7F7F7F" w:themeColor="text1" w:themeTint="80"/>
          <w:right w:val="single" w:sz="4" w:space="0" w:color="FFFFFF" w:themeColor="light1"/>
        </w:tcBorders>
      </w:tcPr>
    </w:tblStylePr>
    <w:tblStylePr w:type="lastCol">
      <w:tblPr/>
      <w:tcPr>
        <w:tcBorders>
          <w:left w:val="single" w:sz="4" w:space="0" w:color="FFFFFF" w:themeColor="light1"/>
          <w:right w:val="single" w:sz="36"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1">
    <w:name w:val="List Table 5 Dark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B01513" w:themeColor="accent1"/>
        <w:left w:val="single" w:sz="36" w:space="0" w:color="B01513" w:themeColor="accent1"/>
        <w:bottom w:val="single" w:sz="36" w:space="0" w:color="B01513" w:themeColor="accent1"/>
        <w:right w:val="single" w:sz="36" w:space="0" w:color="B01513" w:themeColor="accent1"/>
      </w:tblBorders>
      <w:shd w:val="clear" w:color="auto" w:fill="B01513" w:themeFill="accent1"/>
    </w:tblPr>
    <w:tblStylePr w:type="firstRow">
      <w:rPr>
        <w:rFonts w:ascii="Arial" w:hAnsi="Arial" w:cs="Arial" w:hint="default"/>
        <w:b/>
        <w:color w:val="FFFFFF" w:themeColor="light1"/>
        <w:sz w:val="22"/>
        <w:szCs w:val="22"/>
      </w:rPr>
      <w:tblPr/>
      <w:tcPr>
        <w:tcBorders>
          <w:top w:val="single" w:sz="36" w:space="0" w:color="B01513" w:themeColor="accent1"/>
          <w:bottom w:val="single" w:sz="12" w:space="0" w:color="FFFFFF" w:themeColor="light1"/>
        </w:tcBorders>
        <w:shd w:val="clear" w:color="auto" w:fill="B01513" w:themeFill="accent1"/>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B01513" w:themeColor="accent1"/>
          <w:right w:val="single" w:sz="4" w:space="0" w:color="FFFFFF" w:themeColor="light1"/>
        </w:tcBorders>
      </w:tcPr>
    </w:tblStylePr>
    <w:tblStylePr w:type="lastCol">
      <w:tblPr/>
      <w:tcPr>
        <w:tcBorders>
          <w:left w:val="single" w:sz="4" w:space="0" w:color="FFFFFF" w:themeColor="light1"/>
          <w:right w:val="single" w:sz="36" w:space="0" w:color="B01513" w:themeColor="accent1"/>
        </w:tcBorders>
      </w:tcPr>
    </w:tblStylePr>
    <w:tblStylePr w:type="band1Vert">
      <w:tblPr/>
      <w:tcPr>
        <w:tcBorders>
          <w:left w:val="single" w:sz="4" w:space="0" w:color="FFFFFF" w:themeColor="light1"/>
          <w:right w:val="single" w:sz="4" w:space="0" w:color="FFFFFF" w:themeColor="light1"/>
        </w:tcBorders>
        <w:shd w:val="clear" w:color="auto" w:fill="B01513"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01513" w:themeFill="accent1"/>
      </w:tcPr>
    </w:tblStylePr>
    <w:tblStylePr w:type="band2Horz">
      <w:tblPr/>
      <w:tcPr>
        <w:tcBorders>
          <w:top w:val="single" w:sz="4" w:space="0" w:color="FFFFFF" w:themeColor="light1"/>
          <w:bottom w:val="single" w:sz="4" w:space="0" w:color="FFFFFF" w:themeColor="light1"/>
        </w:tcBorders>
        <w:shd w:val="clear" w:color="auto" w:fill="B01513" w:themeFill="accent1"/>
      </w:tcPr>
    </w:tblStylePr>
  </w:style>
  <w:style w:type="table" w:customStyle="1" w:styleId="ListTable5Dark-Accent21">
    <w:name w:val="List Table 5 Dark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F4A170" w:themeColor="accent2" w:themeTint="97"/>
        <w:left w:val="single" w:sz="36" w:space="0" w:color="F4A170" w:themeColor="accent2" w:themeTint="97"/>
        <w:bottom w:val="single" w:sz="36" w:space="0" w:color="F4A170" w:themeColor="accent2" w:themeTint="97"/>
        <w:right w:val="single" w:sz="36" w:space="0" w:color="F4A170" w:themeColor="accent2" w:themeTint="97"/>
      </w:tblBorders>
      <w:shd w:val="clear" w:color="auto" w:fill="F4A170" w:themeFill="accent2" w:themeFillTint="97"/>
    </w:tblPr>
    <w:tblStylePr w:type="firstRow">
      <w:rPr>
        <w:rFonts w:ascii="Arial" w:hAnsi="Arial" w:cs="Arial" w:hint="default"/>
        <w:b/>
        <w:color w:val="FFFFFF" w:themeColor="light1"/>
        <w:sz w:val="22"/>
        <w:szCs w:val="22"/>
      </w:rPr>
      <w:tblPr/>
      <w:tcPr>
        <w:tcBorders>
          <w:top w:val="single" w:sz="36" w:space="0" w:color="F4A170" w:themeColor="accent2" w:themeTint="97"/>
          <w:bottom w:val="single" w:sz="12" w:space="0" w:color="FFFFFF" w:themeColor="light1"/>
        </w:tcBorders>
        <w:shd w:val="clear" w:color="auto" w:fill="F4A170" w:themeFill="accent2" w:themeFillTint="97"/>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F4A170" w:themeColor="accent2" w:themeTint="97"/>
          <w:right w:val="single" w:sz="4" w:space="0" w:color="FFFFFF" w:themeColor="light1"/>
        </w:tcBorders>
      </w:tcPr>
    </w:tblStylePr>
    <w:tblStylePr w:type="lastCol">
      <w:tblPr/>
      <w:tcPr>
        <w:tcBorders>
          <w:left w:val="single" w:sz="4" w:space="0" w:color="FFFFFF" w:themeColor="light1"/>
          <w:right w:val="single" w:sz="36" w:space="0" w:color="F4A170"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A17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A170" w:themeFill="accent2" w:themeFillTint="97"/>
      </w:tcPr>
    </w:tblStylePr>
    <w:tblStylePr w:type="band2Horz">
      <w:tblPr/>
      <w:tcPr>
        <w:tcBorders>
          <w:top w:val="single" w:sz="4" w:space="0" w:color="FFFFFF" w:themeColor="light1"/>
          <w:bottom w:val="single" w:sz="4" w:space="0" w:color="FFFFFF" w:themeColor="light1"/>
        </w:tcBorders>
        <w:shd w:val="clear" w:color="auto" w:fill="F4A170" w:themeFill="accent2" w:themeFillTint="97"/>
      </w:tcPr>
    </w:tblStylePr>
  </w:style>
  <w:style w:type="table" w:customStyle="1" w:styleId="ListTable5Dark-Accent31">
    <w:name w:val="List Table 5 Dark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F0D37F" w:themeColor="accent3" w:themeTint="98"/>
        <w:left w:val="single" w:sz="36" w:space="0" w:color="F0D37F" w:themeColor="accent3" w:themeTint="98"/>
        <w:bottom w:val="single" w:sz="36" w:space="0" w:color="F0D37F" w:themeColor="accent3" w:themeTint="98"/>
        <w:right w:val="single" w:sz="36" w:space="0" w:color="F0D37F" w:themeColor="accent3" w:themeTint="98"/>
      </w:tblBorders>
      <w:shd w:val="clear" w:color="auto" w:fill="F0D37F" w:themeFill="accent3" w:themeFillTint="98"/>
    </w:tblPr>
    <w:tblStylePr w:type="firstRow">
      <w:rPr>
        <w:rFonts w:ascii="Arial" w:hAnsi="Arial" w:cs="Arial" w:hint="default"/>
        <w:b/>
        <w:color w:val="FFFFFF" w:themeColor="light1"/>
        <w:sz w:val="22"/>
        <w:szCs w:val="22"/>
      </w:rPr>
      <w:tblPr/>
      <w:tcPr>
        <w:tcBorders>
          <w:top w:val="single" w:sz="36" w:space="0" w:color="F0D37F" w:themeColor="accent3" w:themeTint="98"/>
          <w:bottom w:val="single" w:sz="12" w:space="0" w:color="FFFFFF" w:themeColor="light1"/>
        </w:tcBorders>
        <w:shd w:val="clear" w:color="auto" w:fill="F0D37F" w:themeFill="accent3" w:themeFillTint="98"/>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F0D37F" w:themeColor="accent3" w:themeTint="98"/>
          <w:right w:val="single" w:sz="4" w:space="0" w:color="FFFFFF" w:themeColor="light1"/>
        </w:tcBorders>
      </w:tcPr>
    </w:tblStylePr>
    <w:tblStylePr w:type="lastCol">
      <w:tblPr/>
      <w:tcPr>
        <w:tcBorders>
          <w:left w:val="single" w:sz="4" w:space="0" w:color="FFFFFF" w:themeColor="light1"/>
          <w:right w:val="single" w:sz="36" w:space="0" w:color="F0D37F" w:themeColor="accent3" w:themeTint="98"/>
        </w:tcBorders>
      </w:tcPr>
    </w:tblStylePr>
    <w:tblStylePr w:type="band1Vert">
      <w:tblPr/>
      <w:tcPr>
        <w:tcBorders>
          <w:left w:val="single" w:sz="4" w:space="0" w:color="FFFFFF" w:themeColor="light1"/>
          <w:right w:val="single" w:sz="4" w:space="0" w:color="FFFFFF" w:themeColor="light1"/>
        </w:tcBorders>
        <w:shd w:val="clear" w:color="auto" w:fill="F0D37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0D37F" w:themeFill="accent3" w:themeFillTint="98"/>
      </w:tcPr>
    </w:tblStylePr>
    <w:tblStylePr w:type="band2Horz">
      <w:tblPr/>
      <w:tcPr>
        <w:tcBorders>
          <w:top w:val="single" w:sz="4" w:space="0" w:color="FFFFFF" w:themeColor="light1"/>
          <w:bottom w:val="single" w:sz="4" w:space="0" w:color="FFFFFF" w:themeColor="light1"/>
        </w:tcBorders>
        <w:shd w:val="clear" w:color="auto" w:fill="F0D37F" w:themeFill="accent3" w:themeFillTint="98"/>
      </w:tcPr>
    </w:tblStylePr>
  </w:style>
  <w:style w:type="table" w:customStyle="1" w:styleId="ListTable5Dark-Accent41">
    <w:name w:val="List Table 5 Dark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A4CCBB" w:themeColor="accent4" w:themeTint="9A"/>
        <w:left w:val="single" w:sz="36" w:space="0" w:color="A4CCBB" w:themeColor="accent4" w:themeTint="9A"/>
        <w:bottom w:val="single" w:sz="36" w:space="0" w:color="A4CCBB" w:themeColor="accent4" w:themeTint="9A"/>
        <w:right w:val="single" w:sz="36" w:space="0" w:color="A4CCBB" w:themeColor="accent4" w:themeTint="9A"/>
      </w:tblBorders>
      <w:shd w:val="clear" w:color="auto" w:fill="A4CCBB" w:themeFill="accent4" w:themeFillTint="9A"/>
    </w:tblPr>
    <w:tblStylePr w:type="firstRow">
      <w:rPr>
        <w:rFonts w:ascii="Arial" w:hAnsi="Arial" w:cs="Arial" w:hint="default"/>
        <w:b/>
        <w:color w:val="FFFFFF" w:themeColor="light1"/>
        <w:sz w:val="22"/>
        <w:szCs w:val="22"/>
      </w:rPr>
      <w:tblPr/>
      <w:tcPr>
        <w:tcBorders>
          <w:top w:val="single" w:sz="36" w:space="0" w:color="A4CCBB" w:themeColor="accent4" w:themeTint="9A"/>
          <w:bottom w:val="single" w:sz="12" w:space="0" w:color="FFFFFF" w:themeColor="light1"/>
        </w:tcBorders>
        <w:shd w:val="clear" w:color="auto" w:fill="A4CCBB" w:themeFill="accent4" w:themeFillTint="9A"/>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A4CCBB" w:themeColor="accent4" w:themeTint="9A"/>
          <w:right w:val="single" w:sz="4" w:space="0" w:color="FFFFFF" w:themeColor="light1"/>
        </w:tcBorders>
      </w:tcPr>
    </w:tblStylePr>
    <w:tblStylePr w:type="lastCol">
      <w:tblPr/>
      <w:tcPr>
        <w:tcBorders>
          <w:left w:val="single" w:sz="4" w:space="0" w:color="FFFFFF" w:themeColor="light1"/>
          <w:right w:val="single" w:sz="36" w:space="0" w:color="A4CCBB" w:themeColor="accent4" w:themeTint="9A"/>
        </w:tcBorders>
      </w:tcPr>
    </w:tblStylePr>
    <w:tblStylePr w:type="band1Vert">
      <w:tblPr/>
      <w:tcPr>
        <w:tcBorders>
          <w:left w:val="single" w:sz="4" w:space="0" w:color="FFFFFF" w:themeColor="light1"/>
          <w:right w:val="single" w:sz="4" w:space="0" w:color="FFFFFF" w:themeColor="light1"/>
        </w:tcBorders>
        <w:shd w:val="clear" w:color="auto" w:fill="A4CCBB"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4CCBB" w:themeFill="accent4" w:themeFillTint="9A"/>
      </w:tcPr>
    </w:tblStylePr>
    <w:tblStylePr w:type="band2Horz">
      <w:tblPr/>
      <w:tcPr>
        <w:tcBorders>
          <w:top w:val="single" w:sz="4" w:space="0" w:color="FFFFFF" w:themeColor="light1"/>
          <w:bottom w:val="single" w:sz="4" w:space="0" w:color="FFFFFF" w:themeColor="light1"/>
        </w:tcBorders>
        <w:shd w:val="clear" w:color="auto" w:fill="A4CCBB" w:themeFill="accent4" w:themeFillTint="9A"/>
      </w:tcPr>
    </w:tblStylePr>
  </w:style>
  <w:style w:type="table" w:customStyle="1" w:styleId="ListTable5Dark-Accent51">
    <w:name w:val="List Table 5 Dark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94B5C5" w:themeColor="accent5" w:themeTint="9A"/>
        <w:left w:val="single" w:sz="36" w:space="0" w:color="94B5C5" w:themeColor="accent5" w:themeTint="9A"/>
        <w:bottom w:val="single" w:sz="36" w:space="0" w:color="94B5C5" w:themeColor="accent5" w:themeTint="9A"/>
        <w:right w:val="single" w:sz="36" w:space="0" w:color="94B5C5" w:themeColor="accent5" w:themeTint="9A"/>
      </w:tblBorders>
      <w:shd w:val="clear" w:color="auto" w:fill="94B5C5" w:themeFill="accent5" w:themeFillTint="9A"/>
    </w:tblPr>
    <w:tblStylePr w:type="firstRow">
      <w:rPr>
        <w:rFonts w:ascii="Arial" w:hAnsi="Arial" w:cs="Arial" w:hint="default"/>
        <w:b/>
        <w:color w:val="FFFFFF" w:themeColor="light1"/>
        <w:sz w:val="22"/>
        <w:szCs w:val="22"/>
      </w:rPr>
      <w:tblPr/>
      <w:tcPr>
        <w:tcBorders>
          <w:top w:val="single" w:sz="36" w:space="0" w:color="94B5C5" w:themeColor="accent5" w:themeTint="9A"/>
          <w:bottom w:val="single" w:sz="12" w:space="0" w:color="FFFFFF" w:themeColor="light1"/>
        </w:tcBorders>
        <w:shd w:val="clear" w:color="auto" w:fill="94B5C5" w:themeFill="accent5" w:themeFillTint="9A"/>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94B5C5" w:themeColor="accent5" w:themeTint="9A"/>
          <w:right w:val="single" w:sz="4" w:space="0" w:color="FFFFFF" w:themeColor="light1"/>
        </w:tcBorders>
      </w:tcPr>
    </w:tblStylePr>
    <w:tblStylePr w:type="lastCol">
      <w:tblPr/>
      <w:tcPr>
        <w:tcBorders>
          <w:left w:val="single" w:sz="4" w:space="0" w:color="FFFFFF" w:themeColor="light1"/>
          <w:right w:val="single" w:sz="36" w:space="0" w:color="94B5C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4B5C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4B5C5" w:themeFill="accent5" w:themeFillTint="9A"/>
      </w:tcPr>
    </w:tblStylePr>
    <w:tblStylePr w:type="band2Horz">
      <w:tblPr/>
      <w:tcPr>
        <w:tcBorders>
          <w:top w:val="single" w:sz="4" w:space="0" w:color="FFFFFF" w:themeColor="light1"/>
          <w:bottom w:val="single" w:sz="4" w:space="0" w:color="FFFFFF" w:themeColor="light1"/>
        </w:tcBorders>
        <w:shd w:val="clear" w:color="auto" w:fill="94B5C5" w:themeFill="accent5" w:themeFillTint="9A"/>
      </w:tcPr>
    </w:tblStylePr>
  </w:style>
  <w:style w:type="table" w:customStyle="1" w:styleId="ListTable5Dark-Accent61">
    <w:name w:val="List Table 5 Dark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36" w:space="0" w:color="C59EC3" w:themeColor="accent6" w:themeTint="98"/>
        <w:left w:val="single" w:sz="36" w:space="0" w:color="C59EC3" w:themeColor="accent6" w:themeTint="98"/>
        <w:bottom w:val="single" w:sz="36" w:space="0" w:color="C59EC3" w:themeColor="accent6" w:themeTint="98"/>
        <w:right w:val="single" w:sz="36" w:space="0" w:color="C59EC3" w:themeColor="accent6" w:themeTint="98"/>
      </w:tblBorders>
      <w:shd w:val="clear" w:color="auto" w:fill="C59EC3" w:themeFill="accent6" w:themeFillTint="98"/>
    </w:tblPr>
    <w:tblStylePr w:type="firstRow">
      <w:rPr>
        <w:rFonts w:ascii="Arial" w:hAnsi="Arial" w:cs="Arial" w:hint="default"/>
        <w:b/>
        <w:color w:val="FFFFFF" w:themeColor="light1"/>
        <w:sz w:val="22"/>
        <w:szCs w:val="22"/>
      </w:rPr>
      <w:tblPr/>
      <w:tcPr>
        <w:tcBorders>
          <w:top w:val="single" w:sz="36" w:space="0" w:color="C59EC3" w:themeColor="accent6" w:themeTint="98"/>
          <w:bottom w:val="single" w:sz="12" w:space="0" w:color="FFFFFF" w:themeColor="light1"/>
        </w:tcBorders>
        <w:shd w:val="clear" w:color="auto" w:fill="C59EC3" w:themeFill="accent6" w:themeFillTint="98"/>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C59EC3" w:themeColor="accent6" w:themeTint="98"/>
          <w:right w:val="single" w:sz="4" w:space="0" w:color="FFFFFF" w:themeColor="light1"/>
        </w:tcBorders>
      </w:tcPr>
    </w:tblStylePr>
    <w:tblStylePr w:type="lastCol">
      <w:tblPr/>
      <w:tcPr>
        <w:tcBorders>
          <w:left w:val="single" w:sz="4" w:space="0" w:color="FFFFFF" w:themeColor="light1"/>
          <w:right w:val="single" w:sz="36" w:space="0" w:color="C59EC3" w:themeColor="accent6" w:themeTint="98"/>
        </w:tcBorders>
      </w:tcPr>
    </w:tblStylePr>
    <w:tblStylePr w:type="band1Vert">
      <w:tblPr/>
      <w:tcPr>
        <w:tcBorders>
          <w:left w:val="single" w:sz="4" w:space="0" w:color="FFFFFF" w:themeColor="light1"/>
          <w:right w:val="single" w:sz="4" w:space="0" w:color="FFFFFF" w:themeColor="light1"/>
        </w:tcBorders>
        <w:shd w:val="clear" w:color="auto" w:fill="C59EC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59EC3" w:themeFill="accent6" w:themeFillTint="98"/>
      </w:tcPr>
    </w:tblStylePr>
    <w:tblStylePr w:type="band2Horz">
      <w:tblPr/>
      <w:tcPr>
        <w:tcBorders>
          <w:top w:val="single" w:sz="4" w:space="0" w:color="FFFFFF" w:themeColor="light1"/>
          <w:bottom w:val="single" w:sz="4" w:space="0" w:color="FFFFFF" w:themeColor="light1"/>
        </w:tcBorders>
        <w:shd w:val="clear" w:color="auto" w:fill="C59EC3" w:themeFill="accent6" w:themeFillTint="98"/>
      </w:tcPr>
    </w:tblStylePr>
  </w:style>
  <w:style w:type="table" w:customStyle="1" w:styleId="-6112">
    <w:name w:val="Список-таблица 6 цвет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s="Arial" w:hint="default"/>
        <w:color w:val="000000" w:themeColor="text1"/>
        <w:sz w:val="22"/>
        <w:szCs w:val="22"/>
      </w:rPr>
      <w:tblPr/>
      <w:tcPr>
        <w:shd w:val="clear" w:color="auto" w:fill="BFBFBF" w:themeFill="text1" w:themeFillTint="40"/>
      </w:tcPr>
    </w:tblStylePr>
    <w:tblStylePr w:type="band2Horz">
      <w:rPr>
        <w:rFonts w:ascii="Arial" w:hAnsi="Arial" w:cs="Arial" w:hint="default"/>
        <w:color w:val="000000" w:themeColor="text1"/>
        <w:sz w:val="22"/>
        <w:szCs w:val="22"/>
      </w:rPr>
    </w:tblStylePr>
  </w:style>
  <w:style w:type="table" w:customStyle="1" w:styleId="ListTable6Colorful-Accent11">
    <w:name w:val="List Table 6 Colorful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B01513" w:themeColor="accent1"/>
        <w:bottom w:val="single" w:sz="4" w:space="0" w:color="B01513" w:themeColor="accent1"/>
      </w:tblBorders>
    </w:tblPr>
    <w:tblStylePr w:type="firstRow">
      <w:rPr>
        <w:b/>
        <w:color w:val="660C0B" w:themeColor="accent1" w:themeShade="95"/>
      </w:rPr>
      <w:tblPr/>
      <w:tcPr>
        <w:tcBorders>
          <w:bottom w:val="single" w:sz="4" w:space="0" w:color="B01513" w:themeColor="accent1"/>
        </w:tcBorders>
      </w:tcPr>
    </w:tblStylePr>
    <w:tblStylePr w:type="lastRow">
      <w:rPr>
        <w:b/>
        <w:color w:val="660C0B" w:themeColor="accent1" w:themeShade="95"/>
      </w:rPr>
      <w:tblPr/>
      <w:tcPr>
        <w:tcBorders>
          <w:top w:val="single" w:sz="4" w:space="0" w:color="B01513" w:themeColor="accent1"/>
        </w:tcBorders>
      </w:tcPr>
    </w:tblStylePr>
    <w:tblStylePr w:type="firstCol">
      <w:rPr>
        <w:b/>
        <w:color w:val="660C0B" w:themeColor="accent1" w:themeShade="95"/>
      </w:rPr>
    </w:tblStylePr>
    <w:tblStylePr w:type="lastCol">
      <w:rPr>
        <w:b/>
        <w:color w:val="660C0B" w:themeColor="accent1" w:themeShade="95"/>
      </w:rPr>
    </w:tblStylePr>
    <w:tblStylePr w:type="band1Vert">
      <w:tblPr/>
      <w:tcPr>
        <w:shd w:val="clear" w:color="auto" w:fill="F7B8B7" w:themeFill="accent1" w:themeFillTint="40"/>
      </w:tcPr>
    </w:tblStylePr>
    <w:tblStylePr w:type="band1Horz">
      <w:rPr>
        <w:rFonts w:ascii="Arial" w:hAnsi="Arial" w:cs="Arial" w:hint="default"/>
        <w:color w:val="660C0B" w:themeColor="accent1" w:themeShade="95"/>
        <w:sz w:val="22"/>
        <w:szCs w:val="22"/>
      </w:rPr>
      <w:tblPr/>
      <w:tcPr>
        <w:shd w:val="clear" w:color="auto" w:fill="F7B8B7" w:themeFill="accent1" w:themeFillTint="40"/>
      </w:tcPr>
    </w:tblStylePr>
    <w:tblStylePr w:type="band2Horz">
      <w:rPr>
        <w:rFonts w:ascii="Arial" w:hAnsi="Arial" w:cs="Arial" w:hint="default"/>
        <w:color w:val="660C0B" w:themeColor="accent1" w:themeShade="95"/>
        <w:sz w:val="22"/>
        <w:szCs w:val="22"/>
      </w:rPr>
    </w:tblStylePr>
  </w:style>
  <w:style w:type="table" w:customStyle="1" w:styleId="ListTable6Colorful-Accent21">
    <w:name w:val="List Table 6 Colorful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4A170" w:themeColor="accent2" w:themeTint="97"/>
        <w:bottom w:val="single" w:sz="4" w:space="0" w:color="F4A170" w:themeColor="accent2" w:themeTint="97"/>
      </w:tblBorders>
    </w:tblPr>
    <w:tblStylePr w:type="firstRow">
      <w:rPr>
        <w:b/>
        <w:color w:val="F4A170" w:themeColor="accent2" w:themeTint="97" w:themeShade="95"/>
      </w:rPr>
      <w:tblPr/>
      <w:tcPr>
        <w:tcBorders>
          <w:bottom w:val="single" w:sz="4" w:space="0" w:color="F4A170" w:themeColor="accent2" w:themeTint="97"/>
        </w:tcBorders>
      </w:tcPr>
    </w:tblStylePr>
    <w:tblStylePr w:type="lastRow">
      <w:rPr>
        <w:b/>
        <w:color w:val="F4A170" w:themeColor="accent2" w:themeTint="97" w:themeShade="95"/>
      </w:rPr>
      <w:tblPr/>
      <w:tcPr>
        <w:tcBorders>
          <w:top w:val="single" w:sz="4" w:space="0" w:color="F4A170" w:themeColor="accent2" w:themeTint="97"/>
        </w:tcBorders>
      </w:tc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auto" w:fill="FAD7C2" w:themeFill="accent2" w:themeFillTint="40"/>
      </w:tcPr>
    </w:tblStylePr>
    <w:tblStylePr w:type="band1Horz">
      <w:rPr>
        <w:rFonts w:ascii="Arial" w:hAnsi="Arial" w:cs="Arial" w:hint="default"/>
        <w:color w:val="F4A170" w:themeColor="accent2" w:themeTint="97" w:themeShade="95"/>
        <w:sz w:val="22"/>
        <w:szCs w:val="22"/>
      </w:rPr>
      <w:tblPr/>
      <w:tcPr>
        <w:shd w:val="clear" w:color="auto" w:fill="FAD7C2" w:themeFill="accent2" w:themeFillTint="40"/>
      </w:tcPr>
    </w:tblStylePr>
    <w:tblStylePr w:type="band2Horz">
      <w:rPr>
        <w:rFonts w:ascii="Arial" w:hAnsi="Arial" w:cs="Arial" w:hint="default"/>
        <w:color w:val="F4A170" w:themeColor="accent2" w:themeTint="97" w:themeShade="95"/>
        <w:sz w:val="22"/>
        <w:szCs w:val="22"/>
      </w:rPr>
    </w:tblStylePr>
  </w:style>
  <w:style w:type="table" w:customStyle="1" w:styleId="ListTable6Colorful-Accent31">
    <w:name w:val="List Table 6 Colorful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0D37F" w:themeColor="accent3" w:themeTint="98"/>
        <w:bottom w:val="single" w:sz="4" w:space="0" w:color="F0D37F" w:themeColor="accent3" w:themeTint="98"/>
      </w:tblBorders>
    </w:tblPr>
    <w:tblStylePr w:type="firstRow">
      <w:rPr>
        <w:b/>
        <w:color w:val="F0D37F" w:themeColor="accent3" w:themeTint="98" w:themeShade="95"/>
      </w:rPr>
      <w:tblPr/>
      <w:tcPr>
        <w:tcBorders>
          <w:bottom w:val="single" w:sz="4" w:space="0" w:color="F0D37F" w:themeColor="accent3" w:themeTint="98"/>
        </w:tcBorders>
      </w:tcPr>
    </w:tblStylePr>
    <w:tblStylePr w:type="lastRow">
      <w:rPr>
        <w:b/>
        <w:color w:val="F0D37F" w:themeColor="accent3" w:themeTint="98" w:themeShade="95"/>
      </w:rPr>
      <w:tblPr/>
      <w:tcPr>
        <w:tcBorders>
          <w:top w:val="single" w:sz="4" w:space="0" w:color="F0D37F" w:themeColor="accent3" w:themeTint="98"/>
        </w:tcBorders>
      </w:tcPr>
    </w:tblStylePr>
    <w:tblStylePr w:type="firstCol">
      <w:rPr>
        <w:b/>
        <w:color w:val="F0D37F" w:themeColor="accent3" w:themeTint="98" w:themeShade="95"/>
      </w:rPr>
    </w:tblStylePr>
    <w:tblStylePr w:type="lastCol">
      <w:rPr>
        <w:b/>
        <w:color w:val="F0D37F" w:themeColor="accent3" w:themeTint="98" w:themeShade="95"/>
      </w:rPr>
    </w:tblStylePr>
    <w:tblStylePr w:type="band1Vert">
      <w:tblPr/>
      <w:tcPr>
        <w:shd w:val="clear" w:color="auto" w:fill="F8ECC9" w:themeFill="accent3" w:themeFillTint="40"/>
      </w:tcPr>
    </w:tblStylePr>
    <w:tblStylePr w:type="band1Horz">
      <w:rPr>
        <w:rFonts w:ascii="Arial" w:hAnsi="Arial" w:cs="Arial" w:hint="default"/>
        <w:color w:val="F0D37F" w:themeColor="accent3" w:themeTint="98" w:themeShade="95"/>
        <w:sz w:val="22"/>
        <w:szCs w:val="22"/>
      </w:rPr>
      <w:tblPr/>
      <w:tcPr>
        <w:shd w:val="clear" w:color="auto" w:fill="F8ECC9" w:themeFill="accent3" w:themeFillTint="40"/>
      </w:tcPr>
    </w:tblStylePr>
    <w:tblStylePr w:type="band2Horz">
      <w:rPr>
        <w:rFonts w:ascii="Arial" w:hAnsi="Arial" w:cs="Arial" w:hint="default"/>
        <w:color w:val="F0D37F" w:themeColor="accent3" w:themeTint="98" w:themeShade="95"/>
        <w:sz w:val="22"/>
        <w:szCs w:val="22"/>
      </w:rPr>
    </w:tblStylePr>
  </w:style>
  <w:style w:type="table" w:customStyle="1" w:styleId="ListTable6Colorful-Accent41">
    <w:name w:val="List Table 6 Colorful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A4CCBB" w:themeColor="accent4" w:themeTint="9A"/>
        <w:bottom w:val="single" w:sz="4" w:space="0" w:color="A4CCBB" w:themeColor="accent4" w:themeTint="9A"/>
      </w:tblBorders>
    </w:tblPr>
    <w:tblStylePr w:type="firstRow">
      <w:rPr>
        <w:b/>
        <w:color w:val="A4CCBB" w:themeColor="accent4" w:themeTint="9A" w:themeShade="95"/>
      </w:rPr>
      <w:tblPr/>
      <w:tcPr>
        <w:tcBorders>
          <w:bottom w:val="single" w:sz="4" w:space="0" w:color="A4CCBB" w:themeColor="accent4" w:themeTint="9A"/>
        </w:tcBorders>
      </w:tcPr>
    </w:tblStylePr>
    <w:tblStylePr w:type="lastRow">
      <w:rPr>
        <w:b/>
        <w:color w:val="A4CCBB" w:themeColor="accent4" w:themeTint="9A" w:themeShade="95"/>
      </w:rPr>
      <w:tblPr/>
      <w:tcPr>
        <w:tcBorders>
          <w:top w:val="single" w:sz="4" w:space="0" w:color="A4CCBB" w:themeColor="accent4" w:themeTint="9A"/>
        </w:tcBorders>
      </w:tc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auto" w:fill="D9EAE3" w:themeFill="accent4" w:themeFillTint="40"/>
      </w:tcPr>
    </w:tblStylePr>
    <w:tblStylePr w:type="band1Horz">
      <w:rPr>
        <w:rFonts w:ascii="Arial" w:hAnsi="Arial" w:cs="Arial" w:hint="default"/>
        <w:color w:val="A4CCBB" w:themeColor="accent4" w:themeTint="9A" w:themeShade="95"/>
        <w:sz w:val="22"/>
        <w:szCs w:val="22"/>
      </w:rPr>
      <w:tblPr/>
      <w:tcPr>
        <w:shd w:val="clear" w:color="auto" w:fill="D9EAE3" w:themeFill="accent4" w:themeFillTint="40"/>
      </w:tcPr>
    </w:tblStylePr>
    <w:tblStylePr w:type="band2Horz">
      <w:rPr>
        <w:rFonts w:ascii="Arial" w:hAnsi="Arial" w:cs="Arial" w:hint="default"/>
        <w:color w:val="A4CCBB" w:themeColor="accent4" w:themeTint="9A" w:themeShade="95"/>
        <w:sz w:val="22"/>
        <w:szCs w:val="22"/>
      </w:rPr>
    </w:tblStylePr>
  </w:style>
  <w:style w:type="table" w:customStyle="1" w:styleId="ListTable6Colorful-Accent51">
    <w:name w:val="List Table 6 Colorful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94B5C5" w:themeColor="accent5" w:themeTint="9A"/>
        <w:bottom w:val="single" w:sz="4" w:space="0" w:color="94B5C5" w:themeColor="accent5" w:themeTint="9A"/>
      </w:tblBorders>
    </w:tblPr>
    <w:tblStylePr w:type="firstRow">
      <w:rPr>
        <w:b/>
        <w:color w:val="94B5C5" w:themeColor="accent5" w:themeTint="9A" w:themeShade="95"/>
      </w:rPr>
      <w:tblPr/>
      <w:tcPr>
        <w:tcBorders>
          <w:bottom w:val="single" w:sz="4" w:space="0" w:color="94B5C5" w:themeColor="accent5" w:themeTint="9A"/>
        </w:tcBorders>
      </w:tcPr>
    </w:tblStylePr>
    <w:tblStylePr w:type="lastRow">
      <w:rPr>
        <w:b/>
        <w:color w:val="94B5C5" w:themeColor="accent5" w:themeTint="9A" w:themeShade="95"/>
      </w:rPr>
      <w:tblPr/>
      <w:tcPr>
        <w:tcBorders>
          <w:top w:val="single" w:sz="4" w:space="0" w:color="94B5C5" w:themeColor="accent5" w:themeTint="9A"/>
        </w:tcBorders>
      </w:tcPr>
    </w:tblStylePr>
    <w:tblStylePr w:type="firstCol">
      <w:rPr>
        <w:b/>
        <w:color w:val="94B5C5" w:themeColor="accent5" w:themeTint="9A" w:themeShade="95"/>
      </w:rPr>
    </w:tblStylePr>
    <w:tblStylePr w:type="lastCol">
      <w:rPr>
        <w:b/>
        <w:color w:val="94B5C5" w:themeColor="accent5" w:themeTint="9A" w:themeShade="95"/>
      </w:rPr>
    </w:tblStylePr>
    <w:tblStylePr w:type="band1Vert">
      <w:tblPr/>
      <w:tcPr>
        <w:shd w:val="clear" w:color="auto" w:fill="D2E0E7" w:themeFill="accent5" w:themeFillTint="40"/>
      </w:tcPr>
    </w:tblStylePr>
    <w:tblStylePr w:type="band1Horz">
      <w:rPr>
        <w:rFonts w:ascii="Arial" w:hAnsi="Arial" w:cs="Arial" w:hint="default"/>
        <w:color w:val="94B5C5" w:themeColor="accent5" w:themeTint="9A" w:themeShade="95"/>
        <w:sz w:val="22"/>
        <w:szCs w:val="22"/>
      </w:rPr>
      <w:tblPr/>
      <w:tcPr>
        <w:shd w:val="clear" w:color="auto" w:fill="D2E0E7" w:themeFill="accent5" w:themeFillTint="40"/>
      </w:tcPr>
    </w:tblStylePr>
    <w:tblStylePr w:type="band2Horz">
      <w:rPr>
        <w:rFonts w:ascii="Arial" w:hAnsi="Arial" w:cs="Arial" w:hint="default"/>
        <w:color w:val="94B5C5" w:themeColor="accent5" w:themeTint="9A" w:themeShade="95"/>
        <w:sz w:val="22"/>
        <w:szCs w:val="22"/>
      </w:rPr>
    </w:tblStylePr>
  </w:style>
  <w:style w:type="table" w:customStyle="1" w:styleId="ListTable6Colorful-Accent61">
    <w:name w:val="List Table 6 Colorful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59EC3" w:themeColor="accent6" w:themeTint="98"/>
        <w:bottom w:val="single" w:sz="4" w:space="0" w:color="C59EC3" w:themeColor="accent6" w:themeTint="98"/>
      </w:tblBorders>
    </w:tblPr>
    <w:tblStylePr w:type="firstRow">
      <w:rPr>
        <w:b/>
        <w:color w:val="C59EC3" w:themeColor="accent6" w:themeTint="98" w:themeShade="95"/>
      </w:rPr>
      <w:tblPr/>
      <w:tcPr>
        <w:tcBorders>
          <w:bottom w:val="single" w:sz="4" w:space="0" w:color="C59EC3" w:themeColor="accent6" w:themeTint="98"/>
        </w:tcBorders>
      </w:tcPr>
    </w:tblStylePr>
    <w:tblStylePr w:type="lastRow">
      <w:rPr>
        <w:b/>
        <w:color w:val="C59EC3" w:themeColor="accent6" w:themeTint="98" w:themeShade="95"/>
      </w:rPr>
      <w:tblPr/>
      <w:tcPr>
        <w:tcBorders>
          <w:top w:val="single" w:sz="4" w:space="0" w:color="C59EC3" w:themeColor="accent6" w:themeTint="98"/>
        </w:tcBorders>
      </w:tcPr>
    </w:tblStylePr>
    <w:tblStylePr w:type="firstCol">
      <w:rPr>
        <w:b/>
        <w:color w:val="C59EC3" w:themeColor="accent6" w:themeTint="98" w:themeShade="95"/>
      </w:rPr>
    </w:tblStylePr>
    <w:tblStylePr w:type="lastCol">
      <w:rPr>
        <w:b/>
        <w:color w:val="C59EC3" w:themeColor="accent6" w:themeTint="98" w:themeShade="95"/>
      </w:rPr>
    </w:tblStylePr>
    <w:tblStylePr w:type="band1Vert">
      <w:tblPr/>
      <w:tcPr>
        <w:shd w:val="clear" w:color="auto" w:fill="E6D6E6" w:themeFill="accent6" w:themeFillTint="40"/>
      </w:tcPr>
    </w:tblStylePr>
    <w:tblStylePr w:type="band1Horz">
      <w:rPr>
        <w:rFonts w:ascii="Arial" w:hAnsi="Arial" w:cs="Arial" w:hint="default"/>
        <w:color w:val="C59EC3" w:themeColor="accent6" w:themeTint="98" w:themeShade="95"/>
        <w:sz w:val="22"/>
        <w:szCs w:val="22"/>
      </w:rPr>
      <w:tblPr/>
      <w:tcPr>
        <w:shd w:val="clear" w:color="auto" w:fill="E6D6E6" w:themeFill="accent6" w:themeFillTint="40"/>
      </w:tcPr>
    </w:tblStylePr>
    <w:tblStylePr w:type="band2Horz">
      <w:rPr>
        <w:rFonts w:ascii="Arial" w:hAnsi="Arial" w:cs="Arial" w:hint="default"/>
        <w:color w:val="C59EC3" w:themeColor="accent6" w:themeTint="98" w:themeShade="95"/>
        <w:sz w:val="22"/>
        <w:szCs w:val="22"/>
      </w:rPr>
    </w:tblStylePr>
  </w:style>
  <w:style w:type="table" w:customStyle="1" w:styleId="-7110">
    <w:name w:val="Список-таблица 7 цветная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7F7F7F" w:themeColor="text1" w:themeTint="80"/>
      </w:tblBorders>
    </w:tblPr>
    <w:tblStylePr w:type="firstRow">
      <w:rPr>
        <w:rFonts w:ascii="Arial" w:hAnsi="Arial" w:cs="Arial" w:hint="default"/>
        <w:i/>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i/>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BFBFBF" w:themeFill="text1" w:themeFillTint="40"/>
      </w:tcPr>
    </w:tblStylePr>
    <w:tblStylePr w:type="band1Horz">
      <w:rPr>
        <w:rFonts w:ascii="Arial" w:hAnsi="Arial" w:cs="Arial" w:hint="default"/>
        <w:color w:val="7F7F7F" w:themeColor="text1" w:themeTint="80" w:themeShade="95"/>
        <w:sz w:val="22"/>
        <w:szCs w:val="22"/>
      </w:rPr>
      <w:tblPr/>
      <w:tcPr>
        <w:shd w:val="clear" w:color="auto" w:fill="BFBFBF" w:themeFill="text1" w:themeFillTint="40"/>
      </w:tcPr>
    </w:tblStylePr>
    <w:tblStylePr w:type="band2Horz">
      <w:rPr>
        <w:rFonts w:ascii="Arial" w:hAnsi="Arial" w:cs="Arial" w:hint="default"/>
        <w:color w:val="7F7F7F" w:themeColor="text1" w:themeTint="80" w:themeShade="95"/>
        <w:sz w:val="22"/>
        <w:szCs w:val="22"/>
      </w:rPr>
    </w:tblStylePr>
  </w:style>
  <w:style w:type="table" w:customStyle="1" w:styleId="ListTable7Colorful-Accent11">
    <w:name w:val="List Table 7 Colorful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B01513" w:themeColor="accent1"/>
      </w:tblBorders>
    </w:tblPr>
    <w:tblStylePr w:type="firstRow">
      <w:rPr>
        <w:rFonts w:ascii="Arial" w:hAnsi="Arial" w:cs="Arial" w:hint="default"/>
        <w:i/>
        <w:color w:val="660C0B" w:themeColor="accent1" w:themeShade="95"/>
        <w:sz w:val="22"/>
        <w:szCs w:val="22"/>
      </w:rPr>
      <w:tblPr/>
      <w:tcPr>
        <w:tcBorders>
          <w:top w:val="none" w:sz="0" w:space="0" w:color="auto"/>
          <w:left w:val="none" w:sz="0" w:space="0" w:color="auto"/>
          <w:bottom w:val="single" w:sz="4" w:space="0" w:color="B01513" w:themeColor="accent1"/>
          <w:right w:val="none" w:sz="0" w:space="0" w:color="auto"/>
        </w:tcBorders>
        <w:shd w:val="clear" w:color="auto" w:fill="FFFFFF" w:themeFill="light1"/>
      </w:tcPr>
    </w:tblStylePr>
    <w:tblStylePr w:type="lastRow">
      <w:rPr>
        <w:rFonts w:ascii="Arial" w:hAnsi="Arial" w:cs="Arial" w:hint="default"/>
        <w:i/>
        <w:color w:val="660C0B" w:themeColor="accent1" w:themeShade="95"/>
        <w:sz w:val="22"/>
        <w:szCs w:val="22"/>
      </w:rPr>
      <w:tblPr/>
      <w:tcPr>
        <w:tcBorders>
          <w:top w:val="single" w:sz="4" w:space="0" w:color="B01513"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660C0B" w:themeColor="accent1" w:themeShade="95"/>
        <w:sz w:val="22"/>
        <w:szCs w:val="22"/>
      </w:rPr>
      <w:tblPr/>
      <w:tcPr>
        <w:tcBorders>
          <w:top w:val="none" w:sz="0" w:space="0" w:color="auto"/>
          <w:left w:val="none" w:sz="0" w:space="0" w:color="auto"/>
          <w:bottom w:val="none" w:sz="0" w:space="0" w:color="auto"/>
          <w:right w:val="single" w:sz="4" w:space="0" w:color="B01513" w:themeColor="accent1"/>
        </w:tcBorders>
        <w:shd w:val="clear" w:color="auto" w:fill="auto"/>
      </w:tcPr>
    </w:tblStylePr>
    <w:tblStylePr w:type="lastCol">
      <w:rPr>
        <w:rFonts w:ascii="Arial" w:hAnsi="Arial" w:cs="Arial" w:hint="default"/>
        <w:i/>
        <w:color w:val="660C0B" w:themeColor="accent1" w:themeShade="95"/>
        <w:sz w:val="22"/>
        <w:szCs w:val="22"/>
      </w:rPr>
      <w:tblPr/>
      <w:tcPr>
        <w:tcBorders>
          <w:top w:val="none" w:sz="0" w:space="0" w:color="auto"/>
          <w:left w:val="single" w:sz="4" w:space="0" w:color="B01513" w:themeColor="accent1"/>
          <w:bottom w:val="none" w:sz="0" w:space="0" w:color="auto"/>
          <w:right w:val="none" w:sz="0" w:space="0" w:color="auto"/>
        </w:tcBorders>
        <w:shd w:val="clear" w:color="auto" w:fill="auto"/>
      </w:tcPr>
    </w:tblStylePr>
    <w:tblStylePr w:type="band1Vert">
      <w:tblPr/>
      <w:tcPr>
        <w:shd w:val="clear" w:color="auto" w:fill="F7B8B7" w:themeFill="accent1" w:themeFillTint="40"/>
      </w:tcPr>
    </w:tblStylePr>
    <w:tblStylePr w:type="band1Horz">
      <w:rPr>
        <w:rFonts w:ascii="Arial" w:hAnsi="Arial" w:cs="Arial" w:hint="default"/>
        <w:color w:val="660C0B" w:themeColor="accent1" w:themeShade="95"/>
        <w:sz w:val="22"/>
        <w:szCs w:val="22"/>
      </w:rPr>
      <w:tblPr/>
      <w:tcPr>
        <w:shd w:val="clear" w:color="auto" w:fill="F7B8B7" w:themeFill="accent1" w:themeFillTint="40"/>
      </w:tcPr>
    </w:tblStylePr>
    <w:tblStylePr w:type="band2Horz">
      <w:rPr>
        <w:rFonts w:ascii="Arial" w:hAnsi="Arial" w:cs="Arial" w:hint="default"/>
        <w:color w:val="660C0B" w:themeColor="accent1" w:themeShade="95"/>
        <w:sz w:val="22"/>
        <w:szCs w:val="22"/>
      </w:rPr>
    </w:tblStylePr>
  </w:style>
  <w:style w:type="table" w:customStyle="1" w:styleId="ListTable7Colorful-Accent21">
    <w:name w:val="List Table 7 Colorful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F4A170" w:themeColor="accent2" w:themeTint="97"/>
      </w:tblBorders>
    </w:tblPr>
    <w:tblStylePr w:type="firstRow">
      <w:rPr>
        <w:rFonts w:ascii="Arial" w:hAnsi="Arial" w:cs="Arial" w:hint="default"/>
        <w:i/>
        <w:color w:val="F4A170" w:themeColor="accent2" w:themeTint="97" w:themeShade="95"/>
        <w:sz w:val="22"/>
        <w:szCs w:val="22"/>
      </w:rPr>
      <w:tblPr/>
      <w:tcPr>
        <w:tcBorders>
          <w:top w:val="none" w:sz="0" w:space="0" w:color="auto"/>
          <w:left w:val="none" w:sz="0" w:space="0" w:color="auto"/>
          <w:bottom w:val="single" w:sz="4" w:space="0" w:color="F4A170" w:themeColor="accent2" w:themeTint="97"/>
          <w:right w:val="none" w:sz="0" w:space="0" w:color="auto"/>
        </w:tcBorders>
        <w:shd w:val="clear" w:color="auto" w:fill="FFFFFF" w:themeFill="light1"/>
      </w:tcPr>
    </w:tblStylePr>
    <w:tblStylePr w:type="lastRow">
      <w:rPr>
        <w:rFonts w:ascii="Arial" w:hAnsi="Arial" w:cs="Arial" w:hint="default"/>
        <w:i/>
        <w:color w:val="F4A170" w:themeColor="accent2" w:themeTint="97" w:themeShade="95"/>
        <w:sz w:val="22"/>
        <w:szCs w:val="22"/>
      </w:rPr>
      <w:tblPr/>
      <w:tcPr>
        <w:tcBorders>
          <w:top w:val="single" w:sz="4" w:space="0" w:color="F4A170"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4A170" w:themeColor="accent2" w:themeTint="97" w:themeShade="95"/>
        <w:sz w:val="22"/>
        <w:szCs w:val="22"/>
      </w:rPr>
      <w:tblPr/>
      <w:tcPr>
        <w:tcBorders>
          <w:top w:val="none" w:sz="0" w:space="0" w:color="auto"/>
          <w:left w:val="none" w:sz="0" w:space="0" w:color="auto"/>
          <w:bottom w:val="none" w:sz="0" w:space="0" w:color="auto"/>
          <w:right w:val="single" w:sz="4" w:space="0" w:color="F4A170" w:themeColor="accent2" w:themeTint="97"/>
        </w:tcBorders>
        <w:shd w:val="clear" w:color="auto" w:fill="auto"/>
      </w:tcPr>
    </w:tblStylePr>
    <w:tblStylePr w:type="lastCol">
      <w:rPr>
        <w:rFonts w:ascii="Arial" w:hAnsi="Arial" w:cs="Arial" w:hint="default"/>
        <w:i/>
        <w:color w:val="F4A170" w:themeColor="accent2" w:themeTint="97" w:themeShade="95"/>
        <w:sz w:val="22"/>
        <w:szCs w:val="22"/>
      </w:rPr>
      <w:tblPr/>
      <w:tcPr>
        <w:tcBorders>
          <w:top w:val="none" w:sz="0" w:space="0" w:color="auto"/>
          <w:left w:val="single" w:sz="4" w:space="0" w:color="F4A170" w:themeColor="accent2" w:themeTint="97"/>
          <w:bottom w:val="none" w:sz="0" w:space="0" w:color="auto"/>
          <w:right w:val="none" w:sz="0" w:space="0" w:color="auto"/>
        </w:tcBorders>
        <w:shd w:val="clear" w:color="auto" w:fill="auto"/>
      </w:tcPr>
    </w:tblStylePr>
    <w:tblStylePr w:type="band1Vert">
      <w:tblPr/>
      <w:tcPr>
        <w:shd w:val="clear" w:color="auto" w:fill="FAD7C2" w:themeFill="accent2" w:themeFillTint="40"/>
      </w:tcPr>
    </w:tblStylePr>
    <w:tblStylePr w:type="band1Horz">
      <w:rPr>
        <w:rFonts w:ascii="Arial" w:hAnsi="Arial" w:cs="Arial" w:hint="default"/>
        <w:color w:val="F4A170" w:themeColor="accent2" w:themeTint="97" w:themeShade="95"/>
        <w:sz w:val="22"/>
        <w:szCs w:val="22"/>
      </w:rPr>
      <w:tblPr/>
      <w:tcPr>
        <w:shd w:val="clear" w:color="auto" w:fill="FAD7C2" w:themeFill="accent2" w:themeFillTint="40"/>
      </w:tcPr>
    </w:tblStylePr>
    <w:tblStylePr w:type="band2Horz">
      <w:rPr>
        <w:rFonts w:ascii="Arial" w:hAnsi="Arial" w:cs="Arial" w:hint="default"/>
        <w:color w:val="F4A170" w:themeColor="accent2" w:themeTint="97" w:themeShade="95"/>
        <w:sz w:val="22"/>
        <w:szCs w:val="22"/>
      </w:rPr>
    </w:tblStylePr>
  </w:style>
  <w:style w:type="table" w:customStyle="1" w:styleId="ListTable7Colorful-Accent31">
    <w:name w:val="List Table 7 Colorful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F0D37F" w:themeColor="accent3" w:themeTint="98"/>
      </w:tblBorders>
    </w:tblPr>
    <w:tblStylePr w:type="firstRow">
      <w:rPr>
        <w:rFonts w:ascii="Arial" w:hAnsi="Arial" w:cs="Arial" w:hint="default"/>
        <w:i/>
        <w:color w:val="F0D37F" w:themeColor="accent3" w:themeTint="98" w:themeShade="95"/>
        <w:sz w:val="22"/>
        <w:szCs w:val="22"/>
      </w:rPr>
      <w:tblPr/>
      <w:tcPr>
        <w:tcBorders>
          <w:top w:val="none" w:sz="0" w:space="0" w:color="auto"/>
          <w:left w:val="none" w:sz="0" w:space="0" w:color="auto"/>
          <w:bottom w:val="single" w:sz="4" w:space="0" w:color="F0D37F" w:themeColor="accent3" w:themeTint="98"/>
          <w:right w:val="none" w:sz="0" w:space="0" w:color="auto"/>
        </w:tcBorders>
        <w:shd w:val="clear" w:color="auto" w:fill="FFFFFF" w:themeFill="light1"/>
      </w:tcPr>
    </w:tblStylePr>
    <w:tblStylePr w:type="lastRow">
      <w:rPr>
        <w:rFonts w:ascii="Arial" w:hAnsi="Arial" w:cs="Arial" w:hint="default"/>
        <w:i/>
        <w:color w:val="F0D37F" w:themeColor="accent3" w:themeTint="98" w:themeShade="95"/>
        <w:sz w:val="22"/>
        <w:szCs w:val="22"/>
      </w:rPr>
      <w:tblPr/>
      <w:tcPr>
        <w:tcBorders>
          <w:top w:val="single" w:sz="4" w:space="0" w:color="F0D37F"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0D37F" w:themeColor="accent3" w:themeTint="98" w:themeShade="95"/>
        <w:sz w:val="22"/>
        <w:szCs w:val="22"/>
      </w:rPr>
      <w:tblPr/>
      <w:tcPr>
        <w:tcBorders>
          <w:top w:val="none" w:sz="0" w:space="0" w:color="auto"/>
          <w:left w:val="none" w:sz="0" w:space="0" w:color="auto"/>
          <w:bottom w:val="none" w:sz="0" w:space="0" w:color="auto"/>
          <w:right w:val="single" w:sz="4" w:space="0" w:color="F0D37F" w:themeColor="accent3" w:themeTint="98"/>
        </w:tcBorders>
        <w:shd w:val="clear" w:color="auto" w:fill="auto"/>
      </w:tcPr>
    </w:tblStylePr>
    <w:tblStylePr w:type="lastCol">
      <w:rPr>
        <w:rFonts w:ascii="Arial" w:hAnsi="Arial" w:cs="Arial" w:hint="default"/>
        <w:i/>
        <w:color w:val="F0D37F" w:themeColor="accent3" w:themeTint="98" w:themeShade="95"/>
        <w:sz w:val="22"/>
        <w:szCs w:val="22"/>
      </w:rPr>
      <w:tblPr/>
      <w:tcPr>
        <w:tcBorders>
          <w:top w:val="none" w:sz="0" w:space="0" w:color="auto"/>
          <w:left w:val="single" w:sz="4" w:space="0" w:color="F0D37F" w:themeColor="accent3" w:themeTint="98"/>
          <w:bottom w:val="none" w:sz="0" w:space="0" w:color="auto"/>
          <w:right w:val="none" w:sz="0" w:space="0" w:color="auto"/>
        </w:tcBorders>
        <w:shd w:val="clear" w:color="auto" w:fill="auto"/>
      </w:tcPr>
    </w:tblStylePr>
    <w:tblStylePr w:type="band1Vert">
      <w:tblPr/>
      <w:tcPr>
        <w:shd w:val="clear" w:color="auto" w:fill="F8ECC9" w:themeFill="accent3" w:themeFillTint="40"/>
      </w:tcPr>
    </w:tblStylePr>
    <w:tblStylePr w:type="band1Horz">
      <w:rPr>
        <w:rFonts w:ascii="Arial" w:hAnsi="Arial" w:cs="Arial" w:hint="default"/>
        <w:color w:val="F0D37F" w:themeColor="accent3" w:themeTint="98" w:themeShade="95"/>
        <w:sz w:val="22"/>
        <w:szCs w:val="22"/>
      </w:rPr>
      <w:tblPr/>
      <w:tcPr>
        <w:shd w:val="clear" w:color="auto" w:fill="F8ECC9" w:themeFill="accent3" w:themeFillTint="40"/>
      </w:tcPr>
    </w:tblStylePr>
    <w:tblStylePr w:type="band2Horz">
      <w:rPr>
        <w:rFonts w:ascii="Arial" w:hAnsi="Arial" w:cs="Arial" w:hint="default"/>
        <w:color w:val="F0D37F" w:themeColor="accent3" w:themeTint="98" w:themeShade="95"/>
        <w:sz w:val="22"/>
        <w:szCs w:val="22"/>
      </w:rPr>
    </w:tblStylePr>
  </w:style>
  <w:style w:type="table" w:customStyle="1" w:styleId="ListTable7Colorful-Accent41">
    <w:name w:val="List Table 7 Colorful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A4CCBB" w:themeColor="accent4" w:themeTint="9A"/>
      </w:tblBorders>
    </w:tblPr>
    <w:tblStylePr w:type="firstRow">
      <w:rPr>
        <w:rFonts w:ascii="Arial" w:hAnsi="Arial" w:cs="Arial" w:hint="default"/>
        <w:i/>
        <w:color w:val="A4CCBB" w:themeColor="accent4" w:themeTint="9A" w:themeShade="95"/>
        <w:sz w:val="22"/>
        <w:szCs w:val="22"/>
      </w:rPr>
      <w:tblPr/>
      <w:tcPr>
        <w:tcBorders>
          <w:top w:val="none" w:sz="0" w:space="0" w:color="auto"/>
          <w:left w:val="none" w:sz="0" w:space="0" w:color="auto"/>
          <w:bottom w:val="single" w:sz="4" w:space="0" w:color="A4CCBB" w:themeColor="accent4" w:themeTint="9A"/>
          <w:right w:val="none" w:sz="0" w:space="0" w:color="auto"/>
        </w:tcBorders>
        <w:shd w:val="clear" w:color="auto" w:fill="FFFFFF" w:themeFill="light1"/>
      </w:tcPr>
    </w:tblStylePr>
    <w:tblStylePr w:type="lastRow">
      <w:rPr>
        <w:rFonts w:ascii="Arial" w:hAnsi="Arial" w:cs="Arial" w:hint="default"/>
        <w:i/>
        <w:color w:val="A4CCBB" w:themeColor="accent4" w:themeTint="9A" w:themeShade="95"/>
        <w:sz w:val="22"/>
        <w:szCs w:val="22"/>
      </w:rPr>
      <w:tblPr/>
      <w:tcPr>
        <w:tcBorders>
          <w:top w:val="single" w:sz="4" w:space="0" w:color="A4CCBB"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A4CCBB" w:themeColor="accent4" w:themeTint="9A" w:themeShade="95"/>
        <w:sz w:val="22"/>
        <w:szCs w:val="22"/>
      </w:rPr>
      <w:tblPr/>
      <w:tcPr>
        <w:tcBorders>
          <w:top w:val="none" w:sz="0" w:space="0" w:color="auto"/>
          <w:left w:val="none" w:sz="0" w:space="0" w:color="auto"/>
          <w:bottom w:val="none" w:sz="0" w:space="0" w:color="auto"/>
          <w:right w:val="single" w:sz="4" w:space="0" w:color="A4CCBB" w:themeColor="accent4" w:themeTint="9A"/>
        </w:tcBorders>
        <w:shd w:val="clear" w:color="auto" w:fill="auto"/>
      </w:tcPr>
    </w:tblStylePr>
    <w:tblStylePr w:type="lastCol">
      <w:rPr>
        <w:rFonts w:ascii="Arial" w:hAnsi="Arial" w:cs="Arial" w:hint="default"/>
        <w:i/>
        <w:color w:val="A4CCBB" w:themeColor="accent4" w:themeTint="9A" w:themeShade="95"/>
        <w:sz w:val="22"/>
        <w:szCs w:val="22"/>
      </w:rPr>
      <w:tblPr/>
      <w:tcPr>
        <w:tcBorders>
          <w:top w:val="none" w:sz="0" w:space="0" w:color="auto"/>
          <w:left w:val="single" w:sz="4" w:space="0" w:color="A4CCBB" w:themeColor="accent4" w:themeTint="9A"/>
          <w:bottom w:val="none" w:sz="0" w:space="0" w:color="auto"/>
          <w:right w:val="none" w:sz="0" w:space="0" w:color="auto"/>
        </w:tcBorders>
        <w:shd w:val="clear" w:color="auto" w:fill="auto"/>
      </w:tcPr>
    </w:tblStylePr>
    <w:tblStylePr w:type="band1Vert">
      <w:tblPr/>
      <w:tcPr>
        <w:shd w:val="clear" w:color="auto" w:fill="D9EAE3" w:themeFill="accent4" w:themeFillTint="40"/>
      </w:tcPr>
    </w:tblStylePr>
    <w:tblStylePr w:type="band1Horz">
      <w:rPr>
        <w:rFonts w:ascii="Arial" w:hAnsi="Arial" w:cs="Arial" w:hint="default"/>
        <w:color w:val="A4CCBB" w:themeColor="accent4" w:themeTint="9A" w:themeShade="95"/>
        <w:sz w:val="22"/>
        <w:szCs w:val="22"/>
      </w:rPr>
      <w:tblPr/>
      <w:tcPr>
        <w:shd w:val="clear" w:color="auto" w:fill="D9EAE3" w:themeFill="accent4" w:themeFillTint="40"/>
      </w:tcPr>
    </w:tblStylePr>
    <w:tblStylePr w:type="band2Horz">
      <w:rPr>
        <w:rFonts w:ascii="Arial" w:hAnsi="Arial" w:cs="Arial" w:hint="default"/>
        <w:color w:val="A4CCBB" w:themeColor="accent4" w:themeTint="9A" w:themeShade="95"/>
        <w:sz w:val="22"/>
        <w:szCs w:val="22"/>
      </w:rPr>
    </w:tblStylePr>
  </w:style>
  <w:style w:type="table" w:customStyle="1" w:styleId="ListTable7Colorful-Accent51">
    <w:name w:val="List Table 7 Colorful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94B5C5" w:themeColor="accent5" w:themeTint="9A"/>
      </w:tblBorders>
    </w:tblPr>
    <w:tblStylePr w:type="firstRow">
      <w:rPr>
        <w:rFonts w:ascii="Arial" w:hAnsi="Arial" w:cs="Arial" w:hint="default"/>
        <w:i/>
        <w:color w:val="94B5C5" w:themeColor="accent5" w:themeTint="9A" w:themeShade="95"/>
        <w:sz w:val="22"/>
        <w:szCs w:val="22"/>
      </w:rPr>
      <w:tblPr/>
      <w:tcPr>
        <w:tcBorders>
          <w:top w:val="none" w:sz="0" w:space="0" w:color="auto"/>
          <w:left w:val="none" w:sz="0" w:space="0" w:color="auto"/>
          <w:bottom w:val="single" w:sz="4" w:space="0" w:color="94B5C5" w:themeColor="accent5" w:themeTint="9A"/>
          <w:right w:val="none" w:sz="0" w:space="0" w:color="auto"/>
        </w:tcBorders>
        <w:shd w:val="clear" w:color="auto" w:fill="FFFFFF" w:themeFill="light1"/>
      </w:tcPr>
    </w:tblStylePr>
    <w:tblStylePr w:type="lastRow">
      <w:rPr>
        <w:rFonts w:ascii="Arial" w:hAnsi="Arial" w:cs="Arial" w:hint="default"/>
        <w:i/>
        <w:color w:val="94B5C5" w:themeColor="accent5" w:themeTint="9A" w:themeShade="95"/>
        <w:sz w:val="22"/>
        <w:szCs w:val="22"/>
      </w:rPr>
      <w:tblPr/>
      <w:tcPr>
        <w:tcBorders>
          <w:top w:val="single" w:sz="4" w:space="0" w:color="94B5C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94B5C5" w:themeColor="accent5" w:themeTint="9A" w:themeShade="95"/>
        <w:sz w:val="22"/>
        <w:szCs w:val="22"/>
      </w:rPr>
      <w:tblPr/>
      <w:tcPr>
        <w:tcBorders>
          <w:top w:val="none" w:sz="0" w:space="0" w:color="auto"/>
          <w:left w:val="none" w:sz="0" w:space="0" w:color="auto"/>
          <w:bottom w:val="none" w:sz="0" w:space="0" w:color="auto"/>
          <w:right w:val="single" w:sz="4" w:space="0" w:color="94B5C5" w:themeColor="accent5" w:themeTint="9A"/>
        </w:tcBorders>
        <w:shd w:val="clear" w:color="auto" w:fill="auto"/>
      </w:tcPr>
    </w:tblStylePr>
    <w:tblStylePr w:type="lastCol">
      <w:rPr>
        <w:rFonts w:ascii="Arial" w:hAnsi="Arial" w:cs="Arial" w:hint="default"/>
        <w:i/>
        <w:color w:val="94B5C5" w:themeColor="accent5" w:themeTint="9A" w:themeShade="95"/>
        <w:sz w:val="22"/>
        <w:szCs w:val="22"/>
      </w:rPr>
      <w:tblPr/>
      <w:tcPr>
        <w:tcBorders>
          <w:top w:val="none" w:sz="0" w:space="0" w:color="auto"/>
          <w:left w:val="single" w:sz="4" w:space="0" w:color="94B5C5" w:themeColor="accent5" w:themeTint="9A"/>
          <w:bottom w:val="none" w:sz="0" w:space="0" w:color="auto"/>
          <w:right w:val="none" w:sz="0" w:space="0" w:color="auto"/>
        </w:tcBorders>
        <w:shd w:val="clear" w:color="auto" w:fill="auto"/>
      </w:tcPr>
    </w:tblStylePr>
    <w:tblStylePr w:type="band1Vert">
      <w:tblPr/>
      <w:tcPr>
        <w:shd w:val="clear" w:color="auto" w:fill="D2E0E7" w:themeFill="accent5" w:themeFillTint="40"/>
      </w:tcPr>
    </w:tblStylePr>
    <w:tblStylePr w:type="band1Horz">
      <w:rPr>
        <w:rFonts w:ascii="Arial" w:hAnsi="Arial" w:cs="Arial" w:hint="default"/>
        <w:color w:val="94B5C5" w:themeColor="accent5" w:themeTint="9A" w:themeShade="95"/>
        <w:sz w:val="22"/>
        <w:szCs w:val="22"/>
      </w:rPr>
      <w:tblPr/>
      <w:tcPr>
        <w:shd w:val="clear" w:color="auto" w:fill="D2E0E7" w:themeFill="accent5" w:themeFillTint="40"/>
      </w:tcPr>
    </w:tblStylePr>
    <w:tblStylePr w:type="band2Horz">
      <w:rPr>
        <w:rFonts w:ascii="Arial" w:hAnsi="Arial" w:cs="Arial" w:hint="default"/>
        <w:color w:val="94B5C5" w:themeColor="accent5" w:themeTint="9A" w:themeShade="95"/>
        <w:sz w:val="22"/>
        <w:szCs w:val="22"/>
      </w:rPr>
    </w:tblStylePr>
  </w:style>
  <w:style w:type="table" w:customStyle="1" w:styleId="ListTable7Colorful-Accent61">
    <w:name w:val="List Table 7 Colorful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C59EC3" w:themeColor="accent6" w:themeTint="98"/>
      </w:tblBorders>
    </w:tblPr>
    <w:tblStylePr w:type="firstRow">
      <w:rPr>
        <w:rFonts w:ascii="Arial" w:hAnsi="Arial" w:cs="Arial" w:hint="default"/>
        <w:i/>
        <w:color w:val="C59EC3" w:themeColor="accent6" w:themeTint="98" w:themeShade="95"/>
        <w:sz w:val="22"/>
        <w:szCs w:val="22"/>
      </w:rPr>
      <w:tblPr/>
      <w:tcPr>
        <w:tcBorders>
          <w:top w:val="none" w:sz="0" w:space="0" w:color="auto"/>
          <w:left w:val="none" w:sz="0" w:space="0" w:color="auto"/>
          <w:bottom w:val="single" w:sz="4" w:space="0" w:color="C59EC3" w:themeColor="accent6" w:themeTint="98"/>
          <w:right w:val="none" w:sz="0" w:space="0" w:color="auto"/>
        </w:tcBorders>
        <w:shd w:val="clear" w:color="auto" w:fill="FFFFFF" w:themeFill="light1"/>
      </w:tcPr>
    </w:tblStylePr>
    <w:tblStylePr w:type="lastRow">
      <w:rPr>
        <w:rFonts w:ascii="Arial" w:hAnsi="Arial" w:cs="Arial" w:hint="default"/>
        <w:i/>
        <w:color w:val="C59EC3" w:themeColor="accent6" w:themeTint="98" w:themeShade="95"/>
        <w:sz w:val="22"/>
        <w:szCs w:val="22"/>
      </w:rPr>
      <w:tblPr/>
      <w:tcPr>
        <w:tcBorders>
          <w:top w:val="single" w:sz="4" w:space="0" w:color="C59EC3"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C59EC3" w:themeColor="accent6" w:themeTint="98" w:themeShade="95"/>
        <w:sz w:val="22"/>
        <w:szCs w:val="22"/>
      </w:rPr>
      <w:tblPr/>
      <w:tcPr>
        <w:tcBorders>
          <w:top w:val="none" w:sz="0" w:space="0" w:color="auto"/>
          <w:left w:val="none" w:sz="0" w:space="0" w:color="auto"/>
          <w:bottom w:val="none" w:sz="0" w:space="0" w:color="auto"/>
          <w:right w:val="single" w:sz="4" w:space="0" w:color="C59EC3" w:themeColor="accent6" w:themeTint="98"/>
        </w:tcBorders>
        <w:shd w:val="clear" w:color="auto" w:fill="auto"/>
      </w:tcPr>
    </w:tblStylePr>
    <w:tblStylePr w:type="lastCol">
      <w:rPr>
        <w:rFonts w:ascii="Arial" w:hAnsi="Arial" w:cs="Arial" w:hint="default"/>
        <w:i/>
        <w:color w:val="C59EC3" w:themeColor="accent6" w:themeTint="98" w:themeShade="95"/>
        <w:sz w:val="22"/>
        <w:szCs w:val="22"/>
      </w:rPr>
      <w:tblPr/>
      <w:tcPr>
        <w:tcBorders>
          <w:top w:val="none" w:sz="0" w:space="0" w:color="auto"/>
          <w:left w:val="single" w:sz="4" w:space="0" w:color="C59EC3" w:themeColor="accent6" w:themeTint="98"/>
          <w:bottom w:val="none" w:sz="0" w:space="0" w:color="auto"/>
          <w:right w:val="none" w:sz="0" w:space="0" w:color="auto"/>
        </w:tcBorders>
        <w:shd w:val="clear" w:color="auto" w:fill="auto"/>
      </w:tcPr>
    </w:tblStylePr>
    <w:tblStylePr w:type="band1Vert">
      <w:tblPr/>
      <w:tcPr>
        <w:shd w:val="clear" w:color="auto" w:fill="E6D6E6" w:themeFill="accent6" w:themeFillTint="40"/>
      </w:tcPr>
    </w:tblStylePr>
    <w:tblStylePr w:type="band1Horz">
      <w:rPr>
        <w:rFonts w:ascii="Arial" w:hAnsi="Arial" w:cs="Arial" w:hint="default"/>
        <w:color w:val="C59EC3" w:themeColor="accent6" w:themeTint="98" w:themeShade="95"/>
        <w:sz w:val="22"/>
        <w:szCs w:val="22"/>
      </w:rPr>
      <w:tblPr/>
      <w:tcPr>
        <w:shd w:val="clear" w:color="auto" w:fill="E6D6E6" w:themeFill="accent6" w:themeFillTint="40"/>
      </w:tcPr>
    </w:tblStylePr>
    <w:tblStylePr w:type="band2Horz">
      <w:rPr>
        <w:rFonts w:ascii="Arial" w:hAnsi="Arial" w:cs="Arial" w:hint="default"/>
        <w:color w:val="C59EC3" w:themeColor="accent6" w:themeTint="98" w:themeShade="95"/>
        <w:sz w:val="22"/>
        <w:szCs w:val="22"/>
      </w:rPr>
    </w:tblStylePr>
  </w:style>
  <w:style w:type="table" w:customStyle="1" w:styleId="Lined-Accent10">
    <w:name w:val="Lined - Accent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7F7F7F" w:themeFill="text1" w:themeFillTint="80"/>
      </w:tcPr>
    </w:tblStylePr>
    <w:tblStylePr w:type="lastRow">
      <w:rPr>
        <w:rFonts w:ascii="Arial" w:hAnsi="Arial" w:cs="Arial" w:hint="default"/>
        <w:color w:val="F2F2F2"/>
        <w:sz w:val="22"/>
        <w:szCs w:val="22"/>
      </w:rPr>
      <w:tblPr/>
      <w:tcPr>
        <w:shd w:val="clear" w:color="auto" w:fill="7F7F7F" w:themeFill="text1" w:themeFillTint="80"/>
      </w:tcPr>
    </w:tblStylePr>
    <w:tblStylePr w:type="firstCol">
      <w:rPr>
        <w:rFonts w:ascii="Arial" w:hAnsi="Arial" w:cs="Arial" w:hint="default"/>
        <w:color w:val="F2F2F2"/>
        <w:sz w:val="22"/>
        <w:szCs w:val="22"/>
      </w:rPr>
      <w:tblPr/>
      <w:tcPr>
        <w:shd w:val="clear" w:color="auto" w:fill="7F7F7F" w:themeFill="text1" w:themeFillTint="80"/>
      </w:tcPr>
    </w:tblStylePr>
    <w:tblStylePr w:type="lastCol">
      <w:rPr>
        <w:rFonts w:ascii="Arial" w:hAnsi="Arial" w:cs="Arial" w:hint="default"/>
        <w:color w:val="F2F2F2"/>
        <w:sz w:val="22"/>
        <w:szCs w:val="22"/>
      </w:rPr>
      <w:tblPr/>
      <w:tcPr>
        <w:shd w:val="clear" w:color="auto" w:fill="7F7F7F" w:themeFill="text1" w:themeFillTint="80"/>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hemeFill="text1" w:themeFillTint="0D"/>
      </w:tcPr>
    </w:tblStylePr>
  </w:style>
  <w:style w:type="table" w:customStyle="1" w:styleId="Lined-Accent11">
    <w:name w:val="Lined - Accent 1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C71715" w:themeFill="accent1" w:themeFillTint="EA"/>
      </w:tcPr>
    </w:tblStylePr>
    <w:tblStylePr w:type="lastRow">
      <w:rPr>
        <w:rFonts w:ascii="Arial" w:hAnsi="Arial" w:cs="Arial" w:hint="default"/>
        <w:color w:val="F2F2F2"/>
        <w:sz w:val="22"/>
        <w:szCs w:val="22"/>
      </w:rPr>
      <w:tblPr/>
      <w:tcPr>
        <w:shd w:val="clear" w:color="auto" w:fill="C71715" w:themeFill="accent1" w:themeFillTint="EA"/>
      </w:tcPr>
    </w:tblStylePr>
    <w:tblStylePr w:type="firstCol">
      <w:rPr>
        <w:rFonts w:ascii="Arial" w:hAnsi="Arial" w:cs="Arial" w:hint="default"/>
        <w:color w:val="F2F2F2"/>
        <w:sz w:val="22"/>
        <w:szCs w:val="22"/>
      </w:rPr>
      <w:tblPr/>
      <w:tcPr>
        <w:shd w:val="clear" w:color="auto" w:fill="C71715" w:themeFill="accent1" w:themeFillTint="EA"/>
      </w:tcPr>
    </w:tblStylePr>
    <w:tblStylePr w:type="lastCol">
      <w:rPr>
        <w:rFonts w:ascii="Arial" w:hAnsi="Arial" w:cs="Arial" w:hint="default"/>
        <w:color w:val="F2F2F2"/>
        <w:sz w:val="22"/>
        <w:szCs w:val="22"/>
      </w:rPr>
      <w:tblPr/>
      <w:tcPr>
        <w:shd w:val="clear" w:color="auto" w:fill="C71715" w:themeFill="accent1" w:themeFillTint="EA"/>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5A6A5" w:themeFill="accent1" w:themeFillTint="50"/>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5A6A5" w:themeFill="accent1" w:themeFillTint="50"/>
      </w:tcPr>
    </w:tblStylePr>
  </w:style>
  <w:style w:type="table" w:customStyle="1" w:styleId="Lined-Accent21">
    <w:name w:val="Lined - Accent 2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F4A170" w:themeFill="accent2" w:themeFillTint="97"/>
      </w:tcPr>
    </w:tblStylePr>
    <w:tblStylePr w:type="lastRow">
      <w:rPr>
        <w:rFonts w:ascii="Arial" w:hAnsi="Arial" w:cs="Arial" w:hint="default"/>
        <w:color w:val="F2F2F2"/>
        <w:sz w:val="22"/>
        <w:szCs w:val="22"/>
      </w:rPr>
      <w:tblPr/>
      <w:tcPr>
        <w:shd w:val="clear" w:color="auto" w:fill="F4A170" w:themeFill="accent2" w:themeFillTint="97"/>
      </w:tcPr>
    </w:tblStylePr>
    <w:tblStylePr w:type="firstCol">
      <w:rPr>
        <w:rFonts w:ascii="Arial" w:hAnsi="Arial" w:cs="Arial" w:hint="default"/>
        <w:color w:val="F2F2F2"/>
        <w:sz w:val="22"/>
        <w:szCs w:val="22"/>
      </w:rPr>
      <w:tblPr/>
      <w:tcPr>
        <w:shd w:val="clear" w:color="auto" w:fill="F4A170" w:themeFill="accent2" w:themeFillTint="97"/>
      </w:tcPr>
    </w:tblStylePr>
    <w:tblStylePr w:type="lastCol">
      <w:rPr>
        <w:rFonts w:ascii="Arial" w:hAnsi="Arial" w:cs="Arial" w:hint="default"/>
        <w:color w:val="F2F2F2"/>
        <w:sz w:val="22"/>
        <w:szCs w:val="22"/>
      </w:rPr>
      <w:tblPr/>
      <w:tcPr>
        <w:shd w:val="clear" w:color="auto" w:fill="F4A170" w:themeFill="accent2" w:themeFillTint="9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0CF" w:themeFill="accent2" w:themeFillTint="32"/>
      </w:tcPr>
    </w:tblStylePr>
  </w:style>
  <w:style w:type="table" w:customStyle="1" w:styleId="Lined-Accent31">
    <w:name w:val="Lined - Accent 3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E6B629" w:themeFill="accent3" w:themeFillTint="FE"/>
      </w:tcPr>
    </w:tblStylePr>
    <w:tblStylePr w:type="lastRow">
      <w:rPr>
        <w:rFonts w:ascii="Arial" w:hAnsi="Arial" w:cs="Arial" w:hint="default"/>
        <w:color w:val="F2F2F2"/>
        <w:sz w:val="22"/>
        <w:szCs w:val="22"/>
      </w:rPr>
      <w:tblPr/>
      <w:tcPr>
        <w:shd w:val="clear" w:color="auto" w:fill="E6B629" w:themeFill="accent3" w:themeFillTint="FE"/>
      </w:tcPr>
    </w:tblStylePr>
    <w:tblStylePr w:type="firstCol">
      <w:rPr>
        <w:rFonts w:ascii="Arial" w:hAnsi="Arial" w:cs="Arial" w:hint="default"/>
        <w:color w:val="F2F2F2"/>
        <w:sz w:val="22"/>
        <w:szCs w:val="22"/>
      </w:rPr>
      <w:tblPr/>
      <w:tcPr>
        <w:shd w:val="clear" w:color="auto" w:fill="E6B629" w:themeFill="accent3" w:themeFillTint="FE"/>
      </w:tcPr>
    </w:tblStylePr>
    <w:tblStylePr w:type="lastCol">
      <w:rPr>
        <w:rFonts w:ascii="Arial" w:hAnsi="Arial" w:cs="Arial" w:hint="default"/>
        <w:color w:val="F2F2F2"/>
        <w:sz w:val="22"/>
        <w:szCs w:val="22"/>
      </w:rPr>
      <w:tblPr/>
      <w:tcPr>
        <w:shd w:val="clear" w:color="auto" w:fill="E6B629" w:themeFill="accent3" w:themeFillTint="FE"/>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AF0D3" w:themeFill="accent3" w:themeFillTint="34"/>
      </w:tcPr>
    </w:tblStylePr>
  </w:style>
  <w:style w:type="table" w:customStyle="1" w:styleId="Lined-Accent41">
    <w:name w:val="Lined - Accent 4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A4CCBB" w:themeFill="accent4" w:themeFillTint="9A"/>
      </w:tcPr>
    </w:tblStylePr>
    <w:tblStylePr w:type="lastRow">
      <w:rPr>
        <w:rFonts w:ascii="Arial" w:hAnsi="Arial" w:cs="Arial" w:hint="default"/>
        <w:color w:val="F2F2F2"/>
        <w:sz w:val="22"/>
        <w:szCs w:val="22"/>
      </w:rPr>
      <w:tblPr/>
      <w:tcPr>
        <w:shd w:val="clear" w:color="auto" w:fill="A4CCBB" w:themeFill="accent4" w:themeFillTint="9A"/>
      </w:tcPr>
    </w:tblStylePr>
    <w:tblStylePr w:type="firstCol">
      <w:rPr>
        <w:rFonts w:ascii="Arial" w:hAnsi="Arial" w:cs="Arial" w:hint="default"/>
        <w:color w:val="F2F2F2"/>
        <w:sz w:val="22"/>
        <w:szCs w:val="22"/>
      </w:rPr>
      <w:tblPr/>
      <w:tcPr>
        <w:shd w:val="clear" w:color="auto" w:fill="A4CCBB" w:themeFill="accent4" w:themeFillTint="9A"/>
      </w:tcPr>
    </w:tblStylePr>
    <w:tblStylePr w:type="lastCol">
      <w:rPr>
        <w:rFonts w:ascii="Arial" w:hAnsi="Arial" w:cs="Arial" w:hint="default"/>
        <w:color w:val="F2F2F2"/>
        <w:sz w:val="22"/>
        <w:szCs w:val="22"/>
      </w:rPr>
      <w:tblPr/>
      <w:tcPr>
        <w:shd w:val="clear" w:color="auto" w:fill="A4CCBB" w:themeFill="accent4" w:themeFillTint="9A"/>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0EEE8" w:themeFill="accent4" w:themeFillTint="34"/>
      </w:tcPr>
    </w:tblStylePr>
  </w:style>
  <w:style w:type="table" w:customStyle="1" w:styleId="Lined-Accent51">
    <w:name w:val="Lined - Accent 5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54849A" w:themeFill="accent5"/>
      </w:tcPr>
    </w:tblStylePr>
    <w:tblStylePr w:type="lastRow">
      <w:rPr>
        <w:rFonts w:ascii="Arial" w:hAnsi="Arial" w:cs="Arial" w:hint="default"/>
        <w:color w:val="F2F2F2"/>
        <w:sz w:val="22"/>
        <w:szCs w:val="22"/>
      </w:rPr>
      <w:tblPr/>
      <w:tcPr>
        <w:shd w:val="clear" w:color="auto" w:fill="54849A" w:themeFill="accent5"/>
      </w:tcPr>
    </w:tblStylePr>
    <w:tblStylePr w:type="firstCol">
      <w:rPr>
        <w:rFonts w:ascii="Arial" w:hAnsi="Arial" w:cs="Arial" w:hint="default"/>
        <w:color w:val="F2F2F2"/>
        <w:sz w:val="22"/>
        <w:szCs w:val="22"/>
      </w:rPr>
      <w:tblPr/>
      <w:tcPr>
        <w:shd w:val="clear" w:color="auto" w:fill="54849A" w:themeFill="accent5"/>
      </w:tcPr>
    </w:tblStylePr>
    <w:tblStylePr w:type="lastCol">
      <w:rPr>
        <w:rFonts w:ascii="Arial" w:hAnsi="Arial" w:cs="Arial" w:hint="default"/>
        <w:color w:val="F2F2F2"/>
        <w:sz w:val="22"/>
        <w:szCs w:val="22"/>
      </w:rPr>
      <w:tblPr/>
      <w:tcPr>
        <w:shd w:val="clear" w:color="auto" w:fill="54849A" w:themeFill="accent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AE6EB" w:themeFill="accent5" w:themeFillTint="34"/>
      </w:tcPr>
    </w:tblStylePr>
  </w:style>
  <w:style w:type="table" w:customStyle="1" w:styleId="Lined-Accent61">
    <w:name w:val="Lined - Accent 6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Pr>
    <w:tblStylePr w:type="firstRow">
      <w:rPr>
        <w:rFonts w:ascii="Arial" w:hAnsi="Arial" w:cs="Arial" w:hint="default"/>
        <w:color w:val="F2F2F2"/>
        <w:sz w:val="22"/>
        <w:szCs w:val="22"/>
      </w:rPr>
      <w:tblPr/>
      <w:tcPr>
        <w:shd w:val="clear" w:color="auto" w:fill="9E5E9B" w:themeFill="accent6"/>
      </w:tcPr>
    </w:tblStylePr>
    <w:tblStylePr w:type="lastRow">
      <w:rPr>
        <w:rFonts w:ascii="Arial" w:hAnsi="Arial" w:cs="Arial" w:hint="default"/>
        <w:color w:val="F2F2F2"/>
        <w:sz w:val="22"/>
        <w:szCs w:val="22"/>
      </w:rPr>
      <w:tblPr/>
      <w:tcPr>
        <w:shd w:val="clear" w:color="auto" w:fill="9E5E9B" w:themeFill="accent6"/>
      </w:tcPr>
    </w:tblStylePr>
    <w:tblStylePr w:type="firstCol">
      <w:rPr>
        <w:rFonts w:ascii="Arial" w:hAnsi="Arial" w:cs="Arial" w:hint="default"/>
        <w:color w:val="F2F2F2"/>
        <w:sz w:val="22"/>
        <w:szCs w:val="22"/>
      </w:rPr>
      <w:tblPr/>
      <w:tcPr>
        <w:shd w:val="clear" w:color="auto" w:fill="9E5E9B" w:themeFill="accent6"/>
      </w:tcPr>
    </w:tblStylePr>
    <w:tblStylePr w:type="lastCol">
      <w:rPr>
        <w:rFonts w:ascii="Arial" w:hAnsi="Arial" w:cs="Arial" w:hint="default"/>
        <w:color w:val="F2F2F2"/>
        <w:sz w:val="22"/>
        <w:szCs w:val="22"/>
      </w:rPr>
      <w:tblPr/>
      <w:tcPr>
        <w:shd w:val="clear" w:color="auto" w:fill="9E5E9B" w:themeFill="accent6"/>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BDDEA" w:themeFill="accent6" w:themeFillTint="34"/>
      </w:tcPr>
    </w:tblStylePr>
  </w:style>
  <w:style w:type="table" w:customStyle="1" w:styleId="BorderedLined-Accent10">
    <w:name w:val="Bordered &amp; Lined - Accent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s="Arial" w:hint="default"/>
        <w:color w:val="F2F2F2"/>
        <w:sz w:val="22"/>
        <w:szCs w:val="22"/>
      </w:rPr>
      <w:tblPr/>
      <w:tcPr>
        <w:shd w:val="clear" w:color="auto" w:fill="7F7F7F" w:themeFill="text1" w:themeFillTint="80"/>
      </w:tcPr>
    </w:tblStylePr>
    <w:tblStylePr w:type="lastRow">
      <w:rPr>
        <w:rFonts w:ascii="Arial" w:hAnsi="Arial" w:cs="Arial" w:hint="default"/>
        <w:color w:val="F2F2F2"/>
        <w:sz w:val="22"/>
        <w:szCs w:val="22"/>
      </w:rPr>
      <w:tblPr/>
      <w:tcPr>
        <w:shd w:val="clear" w:color="auto" w:fill="7F7F7F" w:themeFill="text1" w:themeFillTint="80"/>
      </w:tcPr>
    </w:tblStylePr>
    <w:tblStylePr w:type="firstCol">
      <w:rPr>
        <w:rFonts w:ascii="Arial" w:hAnsi="Arial" w:cs="Arial" w:hint="default"/>
        <w:color w:val="F2F2F2"/>
        <w:sz w:val="22"/>
        <w:szCs w:val="22"/>
      </w:rPr>
      <w:tblPr/>
      <w:tcPr>
        <w:shd w:val="clear" w:color="auto" w:fill="7F7F7F" w:themeFill="text1" w:themeFillTint="80"/>
      </w:tcPr>
    </w:tblStylePr>
    <w:tblStylePr w:type="lastCol">
      <w:rPr>
        <w:rFonts w:ascii="Arial" w:hAnsi="Arial" w:cs="Arial" w:hint="default"/>
        <w:color w:val="F2F2F2"/>
        <w:sz w:val="22"/>
        <w:szCs w:val="22"/>
      </w:rPr>
      <w:tblPr/>
      <w:tcPr>
        <w:shd w:val="clear" w:color="auto" w:fill="7F7F7F" w:themeFill="text1" w:themeFillTint="80"/>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hemeFill="text1" w:themeFillTint="0D"/>
      </w:tcPr>
    </w:tblStylePr>
  </w:style>
  <w:style w:type="table" w:customStyle="1" w:styleId="BorderedLined-Accent11">
    <w:name w:val="Bordered &amp; Lined - Accent 1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660C0B" w:themeColor="accent1" w:themeShade="95"/>
        <w:left w:val="single" w:sz="4" w:space="0" w:color="660C0B" w:themeColor="accent1" w:themeShade="95"/>
        <w:bottom w:val="single" w:sz="4" w:space="0" w:color="660C0B" w:themeColor="accent1" w:themeShade="95"/>
        <w:right w:val="single" w:sz="4" w:space="0" w:color="660C0B" w:themeColor="accent1" w:themeShade="95"/>
        <w:insideH w:val="single" w:sz="4" w:space="0" w:color="660C0B" w:themeColor="accent1" w:themeShade="95"/>
        <w:insideV w:val="single" w:sz="4" w:space="0" w:color="660C0B" w:themeColor="accent1" w:themeShade="95"/>
      </w:tblBorders>
    </w:tblPr>
    <w:tblStylePr w:type="firstRow">
      <w:rPr>
        <w:rFonts w:ascii="Arial" w:hAnsi="Arial" w:cs="Arial" w:hint="default"/>
        <w:color w:val="F2F2F2"/>
        <w:sz w:val="22"/>
        <w:szCs w:val="22"/>
      </w:rPr>
      <w:tblPr/>
      <w:tcPr>
        <w:shd w:val="clear" w:color="auto" w:fill="C71715" w:themeFill="accent1" w:themeFillTint="EA"/>
      </w:tcPr>
    </w:tblStylePr>
    <w:tblStylePr w:type="lastRow">
      <w:rPr>
        <w:rFonts w:ascii="Arial" w:hAnsi="Arial" w:cs="Arial" w:hint="default"/>
        <w:color w:val="F2F2F2"/>
        <w:sz w:val="22"/>
        <w:szCs w:val="22"/>
      </w:rPr>
      <w:tblPr/>
      <w:tcPr>
        <w:shd w:val="clear" w:color="auto" w:fill="C71715" w:themeFill="accent1" w:themeFillTint="EA"/>
      </w:tcPr>
    </w:tblStylePr>
    <w:tblStylePr w:type="firstCol">
      <w:rPr>
        <w:rFonts w:ascii="Arial" w:hAnsi="Arial" w:cs="Arial" w:hint="default"/>
        <w:color w:val="F2F2F2"/>
        <w:sz w:val="22"/>
        <w:szCs w:val="22"/>
      </w:rPr>
      <w:tblPr/>
      <w:tcPr>
        <w:shd w:val="clear" w:color="auto" w:fill="C71715" w:themeFill="accent1" w:themeFillTint="EA"/>
      </w:tcPr>
    </w:tblStylePr>
    <w:tblStylePr w:type="lastCol">
      <w:rPr>
        <w:rFonts w:ascii="Arial" w:hAnsi="Arial" w:cs="Arial" w:hint="default"/>
        <w:color w:val="F2F2F2"/>
        <w:sz w:val="22"/>
        <w:szCs w:val="22"/>
      </w:rPr>
      <w:tblPr/>
      <w:tcPr>
        <w:shd w:val="clear" w:color="auto" w:fill="C71715" w:themeFill="accent1" w:themeFillTint="EA"/>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5A6A5" w:themeFill="accent1" w:themeFillTint="50"/>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5A6A5" w:themeFill="accent1" w:themeFillTint="50"/>
      </w:tcPr>
    </w:tblStylePr>
  </w:style>
  <w:style w:type="table" w:customStyle="1" w:styleId="BorderedLined-Accent21">
    <w:name w:val="Bordered &amp; Lined - Accent 2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88390A" w:themeColor="accent2" w:themeShade="95"/>
        <w:left w:val="single" w:sz="4" w:space="0" w:color="88390A" w:themeColor="accent2" w:themeShade="95"/>
        <w:bottom w:val="single" w:sz="4" w:space="0" w:color="88390A" w:themeColor="accent2" w:themeShade="95"/>
        <w:right w:val="single" w:sz="4" w:space="0" w:color="88390A" w:themeColor="accent2" w:themeShade="95"/>
        <w:insideH w:val="single" w:sz="4" w:space="0" w:color="88390A" w:themeColor="accent2" w:themeShade="95"/>
        <w:insideV w:val="single" w:sz="4" w:space="0" w:color="88390A" w:themeColor="accent2" w:themeShade="95"/>
      </w:tblBorders>
    </w:tblPr>
    <w:tblStylePr w:type="firstRow">
      <w:rPr>
        <w:rFonts w:ascii="Arial" w:hAnsi="Arial" w:cs="Arial" w:hint="default"/>
        <w:color w:val="F2F2F2"/>
        <w:sz w:val="22"/>
        <w:szCs w:val="22"/>
      </w:rPr>
      <w:tblPr/>
      <w:tcPr>
        <w:shd w:val="clear" w:color="auto" w:fill="F4A170" w:themeFill="accent2" w:themeFillTint="97"/>
      </w:tcPr>
    </w:tblStylePr>
    <w:tblStylePr w:type="lastRow">
      <w:rPr>
        <w:rFonts w:ascii="Arial" w:hAnsi="Arial" w:cs="Arial" w:hint="default"/>
        <w:color w:val="F2F2F2"/>
        <w:sz w:val="22"/>
        <w:szCs w:val="22"/>
      </w:rPr>
      <w:tblPr/>
      <w:tcPr>
        <w:shd w:val="clear" w:color="auto" w:fill="F4A170" w:themeFill="accent2" w:themeFillTint="97"/>
      </w:tcPr>
    </w:tblStylePr>
    <w:tblStylePr w:type="firstCol">
      <w:rPr>
        <w:rFonts w:ascii="Arial" w:hAnsi="Arial" w:cs="Arial" w:hint="default"/>
        <w:color w:val="F2F2F2"/>
        <w:sz w:val="22"/>
        <w:szCs w:val="22"/>
      </w:rPr>
      <w:tblPr/>
      <w:tcPr>
        <w:shd w:val="clear" w:color="auto" w:fill="F4A170" w:themeFill="accent2" w:themeFillTint="97"/>
      </w:tcPr>
    </w:tblStylePr>
    <w:tblStylePr w:type="lastCol">
      <w:rPr>
        <w:rFonts w:ascii="Arial" w:hAnsi="Arial" w:cs="Arial" w:hint="default"/>
        <w:color w:val="F2F2F2"/>
        <w:sz w:val="22"/>
        <w:szCs w:val="22"/>
      </w:rPr>
      <w:tblPr/>
      <w:tcPr>
        <w:shd w:val="clear" w:color="auto" w:fill="F4A170" w:themeFill="accent2" w:themeFillTint="9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0CF" w:themeFill="accent2" w:themeFillTint="32"/>
      </w:tcPr>
    </w:tblStylePr>
  </w:style>
  <w:style w:type="table" w:customStyle="1" w:styleId="BorderedLined-Accent31">
    <w:name w:val="Bordered &amp; Lined - Accent 3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8D6E10" w:themeColor="accent3" w:themeShade="95"/>
        <w:left w:val="single" w:sz="4" w:space="0" w:color="8D6E10" w:themeColor="accent3" w:themeShade="95"/>
        <w:bottom w:val="single" w:sz="4" w:space="0" w:color="8D6E10" w:themeColor="accent3" w:themeShade="95"/>
        <w:right w:val="single" w:sz="4" w:space="0" w:color="8D6E10" w:themeColor="accent3" w:themeShade="95"/>
        <w:insideH w:val="single" w:sz="4" w:space="0" w:color="8D6E10" w:themeColor="accent3" w:themeShade="95"/>
        <w:insideV w:val="single" w:sz="4" w:space="0" w:color="8D6E10" w:themeColor="accent3" w:themeShade="95"/>
      </w:tblBorders>
    </w:tblPr>
    <w:tblStylePr w:type="firstRow">
      <w:rPr>
        <w:rFonts w:ascii="Arial" w:hAnsi="Arial" w:cs="Arial" w:hint="default"/>
        <w:color w:val="F2F2F2"/>
        <w:sz w:val="22"/>
        <w:szCs w:val="22"/>
      </w:rPr>
      <w:tblPr/>
      <w:tcPr>
        <w:shd w:val="clear" w:color="auto" w:fill="E6B629" w:themeFill="accent3" w:themeFillTint="FE"/>
      </w:tcPr>
    </w:tblStylePr>
    <w:tblStylePr w:type="lastRow">
      <w:rPr>
        <w:rFonts w:ascii="Arial" w:hAnsi="Arial" w:cs="Arial" w:hint="default"/>
        <w:color w:val="F2F2F2"/>
        <w:sz w:val="22"/>
        <w:szCs w:val="22"/>
      </w:rPr>
      <w:tblPr/>
      <w:tcPr>
        <w:shd w:val="clear" w:color="auto" w:fill="E6B629" w:themeFill="accent3" w:themeFillTint="FE"/>
      </w:tcPr>
    </w:tblStylePr>
    <w:tblStylePr w:type="firstCol">
      <w:rPr>
        <w:rFonts w:ascii="Arial" w:hAnsi="Arial" w:cs="Arial" w:hint="default"/>
        <w:color w:val="F2F2F2"/>
        <w:sz w:val="22"/>
        <w:szCs w:val="22"/>
      </w:rPr>
      <w:tblPr/>
      <w:tcPr>
        <w:shd w:val="clear" w:color="auto" w:fill="E6B629" w:themeFill="accent3" w:themeFillTint="FE"/>
      </w:tcPr>
    </w:tblStylePr>
    <w:tblStylePr w:type="lastCol">
      <w:rPr>
        <w:rFonts w:ascii="Arial" w:hAnsi="Arial" w:cs="Arial" w:hint="default"/>
        <w:color w:val="F2F2F2"/>
        <w:sz w:val="22"/>
        <w:szCs w:val="22"/>
      </w:rPr>
      <w:tblPr/>
      <w:tcPr>
        <w:shd w:val="clear" w:color="auto" w:fill="E6B629" w:themeFill="accent3" w:themeFillTint="FE"/>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AF0D3" w:themeFill="accent3" w:themeFillTint="34"/>
      </w:tcPr>
    </w:tblStylePr>
  </w:style>
  <w:style w:type="table" w:customStyle="1" w:styleId="BorderedLined-Accent41">
    <w:name w:val="Bordered &amp; Lined - Accent 4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3A6854" w:themeColor="accent4" w:themeShade="95"/>
        <w:left w:val="single" w:sz="4" w:space="0" w:color="3A6854" w:themeColor="accent4" w:themeShade="95"/>
        <w:bottom w:val="single" w:sz="4" w:space="0" w:color="3A6854" w:themeColor="accent4" w:themeShade="95"/>
        <w:right w:val="single" w:sz="4" w:space="0" w:color="3A6854" w:themeColor="accent4" w:themeShade="95"/>
        <w:insideH w:val="single" w:sz="4" w:space="0" w:color="3A6854" w:themeColor="accent4" w:themeShade="95"/>
        <w:insideV w:val="single" w:sz="4" w:space="0" w:color="3A6854" w:themeColor="accent4" w:themeShade="95"/>
      </w:tblBorders>
    </w:tblPr>
    <w:tblStylePr w:type="firstRow">
      <w:rPr>
        <w:rFonts w:ascii="Arial" w:hAnsi="Arial" w:cs="Arial" w:hint="default"/>
        <w:color w:val="F2F2F2"/>
        <w:sz w:val="22"/>
        <w:szCs w:val="22"/>
      </w:rPr>
      <w:tblPr/>
      <w:tcPr>
        <w:shd w:val="clear" w:color="auto" w:fill="A4CCBB" w:themeFill="accent4" w:themeFillTint="9A"/>
      </w:tcPr>
    </w:tblStylePr>
    <w:tblStylePr w:type="lastRow">
      <w:rPr>
        <w:rFonts w:ascii="Arial" w:hAnsi="Arial" w:cs="Arial" w:hint="default"/>
        <w:color w:val="F2F2F2"/>
        <w:sz w:val="22"/>
        <w:szCs w:val="22"/>
      </w:rPr>
      <w:tblPr/>
      <w:tcPr>
        <w:shd w:val="clear" w:color="auto" w:fill="A4CCBB" w:themeFill="accent4" w:themeFillTint="9A"/>
      </w:tcPr>
    </w:tblStylePr>
    <w:tblStylePr w:type="firstCol">
      <w:rPr>
        <w:rFonts w:ascii="Arial" w:hAnsi="Arial" w:cs="Arial" w:hint="default"/>
        <w:color w:val="F2F2F2"/>
        <w:sz w:val="22"/>
        <w:szCs w:val="22"/>
      </w:rPr>
      <w:tblPr/>
      <w:tcPr>
        <w:shd w:val="clear" w:color="auto" w:fill="A4CCBB" w:themeFill="accent4" w:themeFillTint="9A"/>
      </w:tcPr>
    </w:tblStylePr>
    <w:tblStylePr w:type="lastCol">
      <w:rPr>
        <w:rFonts w:ascii="Arial" w:hAnsi="Arial" w:cs="Arial" w:hint="default"/>
        <w:color w:val="F2F2F2"/>
        <w:sz w:val="22"/>
        <w:szCs w:val="22"/>
      </w:rPr>
      <w:tblPr/>
      <w:tcPr>
        <w:shd w:val="clear" w:color="auto" w:fill="A4CCBB" w:themeFill="accent4" w:themeFillTint="9A"/>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0EEE8" w:themeFill="accent4" w:themeFillTint="34"/>
      </w:tcPr>
    </w:tblStylePr>
  </w:style>
  <w:style w:type="table" w:customStyle="1" w:styleId="BorderedLined-Accent51">
    <w:name w:val="Bordered &amp; Lined - Accent 5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314C59" w:themeColor="accent5" w:themeShade="95"/>
        <w:left w:val="single" w:sz="4" w:space="0" w:color="314C59" w:themeColor="accent5" w:themeShade="95"/>
        <w:bottom w:val="single" w:sz="4" w:space="0" w:color="314C59" w:themeColor="accent5" w:themeShade="95"/>
        <w:right w:val="single" w:sz="4" w:space="0" w:color="314C59" w:themeColor="accent5" w:themeShade="95"/>
        <w:insideH w:val="single" w:sz="4" w:space="0" w:color="314C59" w:themeColor="accent5" w:themeShade="95"/>
        <w:insideV w:val="single" w:sz="4" w:space="0" w:color="314C59" w:themeColor="accent5" w:themeShade="95"/>
      </w:tblBorders>
    </w:tblPr>
    <w:tblStylePr w:type="firstRow">
      <w:rPr>
        <w:rFonts w:ascii="Arial" w:hAnsi="Arial" w:cs="Arial" w:hint="default"/>
        <w:color w:val="F2F2F2"/>
        <w:sz w:val="22"/>
        <w:szCs w:val="22"/>
      </w:rPr>
      <w:tblPr/>
      <w:tcPr>
        <w:shd w:val="clear" w:color="auto" w:fill="54849A" w:themeFill="accent5"/>
      </w:tcPr>
    </w:tblStylePr>
    <w:tblStylePr w:type="lastRow">
      <w:rPr>
        <w:rFonts w:ascii="Arial" w:hAnsi="Arial" w:cs="Arial" w:hint="default"/>
        <w:color w:val="F2F2F2"/>
        <w:sz w:val="22"/>
        <w:szCs w:val="22"/>
      </w:rPr>
      <w:tblPr/>
      <w:tcPr>
        <w:shd w:val="clear" w:color="auto" w:fill="54849A" w:themeFill="accent5"/>
      </w:tcPr>
    </w:tblStylePr>
    <w:tblStylePr w:type="firstCol">
      <w:rPr>
        <w:rFonts w:ascii="Arial" w:hAnsi="Arial" w:cs="Arial" w:hint="default"/>
        <w:color w:val="F2F2F2"/>
        <w:sz w:val="22"/>
        <w:szCs w:val="22"/>
      </w:rPr>
      <w:tblPr/>
      <w:tcPr>
        <w:shd w:val="clear" w:color="auto" w:fill="54849A" w:themeFill="accent5"/>
      </w:tcPr>
    </w:tblStylePr>
    <w:tblStylePr w:type="lastCol">
      <w:rPr>
        <w:rFonts w:ascii="Arial" w:hAnsi="Arial" w:cs="Arial" w:hint="default"/>
        <w:color w:val="F2F2F2"/>
        <w:sz w:val="22"/>
        <w:szCs w:val="22"/>
      </w:rPr>
      <w:tblPr/>
      <w:tcPr>
        <w:shd w:val="clear" w:color="auto" w:fill="54849A" w:themeFill="accent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AE6EB" w:themeFill="accent5" w:themeFillTint="34"/>
      </w:tcPr>
    </w:tblStylePr>
  </w:style>
  <w:style w:type="table" w:customStyle="1" w:styleId="BorderedLined-Accent61">
    <w:name w:val="Bordered &amp; Lined - Accent 61"/>
    <w:basedOn w:val="a5"/>
    <w:uiPriority w:val="99"/>
    <w:rsid w:val="004B4863"/>
    <w:pPr>
      <w:spacing w:after="0" w:line="240" w:lineRule="auto"/>
    </w:pPr>
    <w:rPr>
      <w:rFonts w:ascii="Century Gothic" w:hAnsi="Century Gothic" w:cs="Times New Roman"/>
      <w:color w:val="404040"/>
      <w:sz w:val="20"/>
      <w:szCs w:val="20"/>
    </w:rPr>
    <w:tblPr>
      <w:tblStyleRowBandSize w:val="1"/>
      <w:tblStyleColBandSize w:val="1"/>
      <w:tblInd w:w="0" w:type="nil"/>
      <w:tblBorders>
        <w:top w:val="single" w:sz="4" w:space="0" w:color="5C375A" w:themeColor="accent6" w:themeShade="95"/>
        <w:left w:val="single" w:sz="4" w:space="0" w:color="5C375A" w:themeColor="accent6" w:themeShade="95"/>
        <w:bottom w:val="single" w:sz="4" w:space="0" w:color="5C375A" w:themeColor="accent6" w:themeShade="95"/>
        <w:right w:val="single" w:sz="4" w:space="0" w:color="5C375A" w:themeColor="accent6" w:themeShade="95"/>
        <w:insideH w:val="single" w:sz="4" w:space="0" w:color="5C375A" w:themeColor="accent6" w:themeShade="95"/>
        <w:insideV w:val="single" w:sz="4" w:space="0" w:color="5C375A" w:themeColor="accent6" w:themeShade="95"/>
      </w:tblBorders>
    </w:tblPr>
    <w:tblStylePr w:type="firstRow">
      <w:rPr>
        <w:rFonts w:ascii="Arial" w:hAnsi="Arial" w:cs="Arial" w:hint="default"/>
        <w:color w:val="F2F2F2"/>
        <w:sz w:val="22"/>
        <w:szCs w:val="22"/>
      </w:rPr>
      <w:tblPr/>
      <w:tcPr>
        <w:shd w:val="clear" w:color="auto" w:fill="9E5E9B" w:themeFill="accent6"/>
      </w:tcPr>
    </w:tblStylePr>
    <w:tblStylePr w:type="lastRow">
      <w:rPr>
        <w:rFonts w:ascii="Arial" w:hAnsi="Arial" w:cs="Arial" w:hint="default"/>
        <w:color w:val="F2F2F2"/>
        <w:sz w:val="22"/>
        <w:szCs w:val="22"/>
      </w:rPr>
      <w:tblPr/>
      <w:tcPr>
        <w:shd w:val="clear" w:color="auto" w:fill="9E5E9B" w:themeFill="accent6"/>
      </w:tcPr>
    </w:tblStylePr>
    <w:tblStylePr w:type="firstCol">
      <w:rPr>
        <w:rFonts w:ascii="Arial" w:hAnsi="Arial" w:cs="Arial" w:hint="default"/>
        <w:color w:val="F2F2F2"/>
        <w:sz w:val="22"/>
        <w:szCs w:val="22"/>
      </w:rPr>
      <w:tblPr/>
      <w:tcPr>
        <w:shd w:val="clear" w:color="auto" w:fill="9E5E9B" w:themeFill="accent6"/>
      </w:tcPr>
    </w:tblStylePr>
    <w:tblStylePr w:type="lastCol">
      <w:rPr>
        <w:rFonts w:ascii="Arial" w:hAnsi="Arial" w:cs="Arial" w:hint="default"/>
        <w:color w:val="F2F2F2"/>
        <w:sz w:val="22"/>
        <w:szCs w:val="22"/>
      </w:rPr>
      <w:tblPr/>
      <w:tcPr>
        <w:shd w:val="clear" w:color="auto" w:fill="9E5E9B" w:themeFill="accent6"/>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BDDEA" w:themeFill="accent6" w:themeFillTint="34"/>
      </w:tcPr>
    </w:tblStylePr>
  </w:style>
  <w:style w:type="table" w:customStyle="1" w:styleId="Bordered1">
    <w:name w:val="Bordered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s="Arial" w:hint="default"/>
        <w:color w:val="404040"/>
        <w:sz w:val="22"/>
        <w:szCs w:val="22"/>
      </w:rPr>
      <w:tblPr/>
      <w:tcPr>
        <w:tcBorders>
          <w:bottom w:val="single" w:sz="12" w:space="0" w:color="7F7F7F" w:themeColor="text1" w:themeTint="80"/>
        </w:tcBorders>
      </w:tcPr>
    </w:tblStylePr>
    <w:tblStylePr w:type="lastRow">
      <w:rPr>
        <w:rFonts w:ascii="Arial" w:hAnsi="Arial" w:cs="Arial" w:hint="default"/>
        <w:color w:val="404040"/>
        <w:sz w:val="22"/>
        <w:szCs w:val="22"/>
      </w:rPr>
      <w:tblPr/>
      <w:tcPr>
        <w:tcBorders>
          <w:top w:val="single" w:sz="12" w:space="0" w:color="7F7F7F" w:themeColor="text1" w:themeTint="80"/>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7F7F7F" w:themeColor="text1" w:themeTint="80"/>
        </w:tcBorders>
      </w:tcPr>
    </w:tblStylePr>
    <w:tblStylePr w:type="band1Horz">
      <w:rPr>
        <w:rFonts w:ascii="Arial" w:hAnsi="Arial" w:cs="Arial" w:hint="default"/>
        <w:color w:val="404040"/>
        <w:sz w:val="22"/>
        <w:szCs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1">
    <w:name w:val="Bordered - Accent 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rFonts w:ascii="Arial" w:hAnsi="Arial" w:cs="Arial" w:hint="default"/>
        <w:color w:val="404040"/>
        <w:sz w:val="22"/>
        <w:szCs w:val="22"/>
      </w:rPr>
      <w:tblPr/>
      <w:tcPr>
        <w:tcBorders>
          <w:bottom w:val="single" w:sz="12" w:space="0" w:color="B01513" w:themeColor="accent1"/>
        </w:tcBorders>
      </w:tcPr>
    </w:tblStylePr>
    <w:tblStylePr w:type="lastRow">
      <w:rPr>
        <w:rFonts w:ascii="Arial" w:hAnsi="Arial" w:cs="Arial" w:hint="default"/>
        <w:color w:val="404040"/>
        <w:sz w:val="22"/>
        <w:szCs w:val="22"/>
      </w:rPr>
      <w:tblPr/>
      <w:tcPr>
        <w:tcBorders>
          <w:top w:val="single" w:sz="12" w:space="0" w:color="B01513" w:themeColor="accent1"/>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B01513" w:themeColor="accent1"/>
        </w:tcBorders>
      </w:tcPr>
    </w:tblStylePr>
    <w:tblStylePr w:type="band1Horz">
      <w:rPr>
        <w:rFonts w:ascii="Arial" w:hAnsi="Arial" w:cs="Arial" w:hint="default"/>
        <w:color w:val="404040"/>
        <w:sz w:val="22"/>
        <w:szCs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Bordered-Accent21">
    <w:name w:val="Bordered - Accent 2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rFonts w:ascii="Arial" w:hAnsi="Arial" w:cs="Arial" w:hint="default"/>
        <w:color w:val="404040"/>
        <w:sz w:val="22"/>
        <w:szCs w:val="22"/>
      </w:rPr>
      <w:tblPr/>
      <w:tcPr>
        <w:tcBorders>
          <w:bottom w:val="single" w:sz="12" w:space="0" w:color="F4A170" w:themeColor="accent2" w:themeTint="97"/>
        </w:tcBorders>
      </w:tcPr>
    </w:tblStylePr>
    <w:tblStylePr w:type="lastRow">
      <w:rPr>
        <w:rFonts w:ascii="Arial" w:hAnsi="Arial" w:cs="Arial" w:hint="default"/>
        <w:color w:val="404040"/>
        <w:sz w:val="22"/>
        <w:szCs w:val="22"/>
      </w:rPr>
      <w:tblPr/>
      <w:tcPr>
        <w:tcBorders>
          <w:top w:val="single" w:sz="12" w:space="0" w:color="F4A170" w:themeColor="accent2" w:themeTint="97"/>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4A170" w:themeColor="accent2" w:themeTint="97"/>
        </w:tcBorders>
      </w:tcPr>
    </w:tblStylePr>
    <w:tblStylePr w:type="band1Horz">
      <w:rPr>
        <w:rFonts w:ascii="Arial" w:hAnsi="Arial" w:cs="Arial" w:hint="default"/>
        <w:color w:val="404040"/>
        <w:sz w:val="22"/>
        <w:szCs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Bordered-Accent31">
    <w:name w:val="Bordered - Accent 3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rFonts w:ascii="Arial" w:hAnsi="Arial" w:cs="Arial" w:hint="default"/>
        <w:color w:val="404040"/>
        <w:sz w:val="22"/>
        <w:szCs w:val="22"/>
      </w:rPr>
      <w:tblPr/>
      <w:tcPr>
        <w:tcBorders>
          <w:bottom w:val="single" w:sz="12" w:space="0" w:color="F0D37F" w:themeColor="accent3" w:themeTint="98"/>
        </w:tcBorders>
      </w:tcPr>
    </w:tblStylePr>
    <w:tblStylePr w:type="lastRow">
      <w:rPr>
        <w:rFonts w:ascii="Arial" w:hAnsi="Arial" w:cs="Arial" w:hint="default"/>
        <w:color w:val="404040"/>
        <w:sz w:val="22"/>
        <w:szCs w:val="22"/>
      </w:rPr>
      <w:tblPr/>
      <w:tcPr>
        <w:tcBorders>
          <w:top w:val="single" w:sz="12" w:space="0" w:color="F0D37F" w:themeColor="accent3" w:themeTint="98"/>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0D37F" w:themeColor="accent3" w:themeTint="98"/>
        </w:tcBorders>
      </w:tcPr>
    </w:tblStylePr>
    <w:tblStylePr w:type="band1Horz">
      <w:rPr>
        <w:rFonts w:ascii="Arial" w:hAnsi="Arial" w:cs="Arial" w:hint="default"/>
        <w:color w:val="404040"/>
        <w:sz w:val="22"/>
        <w:szCs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Bordered-Accent41">
    <w:name w:val="Bordered - Accent 4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rFonts w:ascii="Arial" w:hAnsi="Arial" w:cs="Arial" w:hint="default"/>
        <w:color w:val="404040"/>
        <w:sz w:val="22"/>
        <w:szCs w:val="22"/>
      </w:rPr>
      <w:tblPr/>
      <w:tcPr>
        <w:tcBorders>
          <w:bottom w:val="single" w:sz="12" w:space="0" w:color="A4CCBB" w:themeColor="accent4" w:themeTint="9A"/>
        </w:tcBorders>
      </w:tcPr>
    </w:tblStylePr>
    <w:tblStylePr w:type="lastRow">
      <w:rPr>
        <w:rFonts w:ascii="Arial" w:hAnsi="Arial" w:cs="Arial" w:hint="default"/>
        <w:color w:val="404040"/>
        <w:sz w:val="22"/>
        <w:szCs w:val="22"/>
      </w:rPr>
      <w:tblPr/>
      <w:tcPr>
        <w:tcBorders>
          <w:top w:val="single" w:sz="12" w:space="0" w:color="A4CCBB" w:themeColor="accent4" w:themeTint="9A"/>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A4CCBB" w:themeColor="accent4" w:themeTint="9A"/>
        </w:tcBorders>
      </w:tcPr>
    </w:tblStylePr>
    <w:tblStylePr w:type="band1Horz">
      <w:rPr>
        <w:rFonts w:ascii="Arial" w:hAnsi="Arial" w:cs="Arial" w:hint="default"/>
        <w:color w:val="404040"/>
        <w:sz w:val="22"/>
        <w:szCs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Bordered-Accent51">
    <w:name w:val="Bordered - Accent 5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rFonts w:ascii="Arial" w:hAnsi="Arial" w:cs="Arial" w:hint="default"/>
        <w:color w:val="404040"/>
        <w:sz w:val="22"/>
        <w:szCs w:val="22"/>
      </w:rPr>
      <w:tblPr/>
      <w:tcPr>
        <w:tcBorders>
          <w:bottom w:val="single" w:sz="12" w:space="0" w:color="94B5C5" w:themeColor="accent5" w:themeTint="9A"/>
        </w:tcBorders>
      </w:tcPr>
    </w:tblStylePr>
    <w:tblStylePr w:type="lastRow">
      <w:rPr>
        <w:rFonts w:ascii="Arial" w:hAnsi="Arial" w:cs="Arial" w:hint="default"/>
        <w:color w:val="404040"/>
        <w:sz w:val="22"/>
        <w:szCs w:val="22"/>
      </w:rPr>
      <w:tblPr/>
      <w:tcPr>
        <w:tcBorders>
          <w:top w:val="single" w:sz="12" w:space="0" w:color="94B5C5" w:themeColor="accent5" w:themeTint="9A"/>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94B5C5" w:themeColor="accent5" w:themeTint="9A"/>
        </w:tcBorders>
      </w:tcPr>
    </w:tblStylePr>
    <w:tblStylePr w:type="band1Horz">
      <w:rPr>
        <w:rFonts w:ascii="Arial" w:hAnsi="Arial" w:cs="Arial" w:hint="default"/>
        <w:color w:val="404040"/>
        <w:sz w:val="22"/>
        <w:szCs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Bordered-Accent61">
    <w:name w:val="Bordered - Accent 6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rFonts w:ascii="Arial" w:hAnsi="Arial" w:cs="Arial" w:hint="default"/>
        <w:color w:val="404040"/>
        <w:sz w:val="22"/>
        <w:szCs w:val="22"/>
      </w:rPr>
      <w:tblPr/>
      <w:tcPr>
        <w:tcBorders>
          <w:bottom w:val="single" w:sz="12" w:space="0" w:color="C59EC3" w:themeColor="accent6" w:themeTint="98"/>
        </w:tcBorders>
      </w:tcPr>
    </w:tblStylePr>
    <w:tblStylePr w:type="lastRow">
      <w:rPr>
        <w:rFonts w:ascii="Arial" w:hAnsi="Arial" w:cs="Arial" w:hint="default"/>
        <w:color w:val="404040"/>
        <w:sz w:val="22"/>
        <w:szCs w:val="22"/>
      </w:rPr>
      <w:tblPr/>
      <w:tcPr>
        <w:tcBorders>
          <w:top w:val="single" w:sz="12" w:space="0" w:color="C59EC3" w:themeColor="accent6" w:themeTint="98"/>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C59EC3" w:themeColor="accent6" w:themeTint="98"/>
        </w:tcBorders>
      </w:tcPr>
    </w:tblStylePr>
    <w:tblStylePr w:type="band1Horz">
      <w:rPr>
        <w:rFonts w:ascii="Arial" w:hAnsi="Arial" w:cs="Arial" w:hint="default"/>
        <w:color w:val="404040"/>
        <w:sz w:val="22"/>
        <w:szCs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TableNormal11">
    <w:name w:val="Table Normal11"/>
    <w:rsid w:val="004B4863"/>
    <w:pPr>
      <w:spacing w:after="0" w:line="276" w:lineRule="auto"/>
    </w:pPr>
    <w:rPr>
      <w:rFonts w:ascii="Arial" w:eastAsia="Times New Roman" w:hAnsi="Arial" w:cs="Arial"/>
    </w:rPr>
    <w:tblPr>
      <w:tblCellMar>
        <w:top w:w="0" w:type="dxa"/>
        <w:left w:w="0" w:type="dxa"/>
        <w:bottom w:w="0" w:type="dxa"/>
        <w:right w:w="0" w:type="dxa"/>
      </w:tblCellMar>
    </w:tblPr>
  </w:style>
  <w:style w:type="table" w:customStyle="1" w:styleId="1010">
    <w:name w:val="Сетка таблицы101"/>
    <w:basedOn w:val="a5"/>
    <w:uiPriority w:val="39"/>
    <w:rsid w:val="004B4863"/>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Светлая заливка21"/>
    <w:basedOn w:val="a5"/>
    <w:uiPriority w:val="60"/>
    <w:semiHidden/>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 - Акцент 111"/>
    <w:basedOn w:val="a5"/>
    <w:uiPriority w:val="60"/>
    <w:semiHidden/>
    <w:rsid w:val="004B4863"/>
    <w:pPr>
      <w:spacing w:after="0" w:line="240" w:lineRule="auto"/>
    </w:pPr>
    <w:rPr>
      <w:rFonts w:ascii="Century Gothic" w:hAnsi="Century Gothic" w:cs="Times New Roman"/>
      <w:color w:val="830F0E" w:themeColor="accent1" w:themeShade="BF"/>
    </w:rPr>
    <w:tblPr>
      <w:tblStyleRowBandSize w:val="1"/>
      <w:tblStyleColBandSize w:val="1"/>
      <w:tblInd w:w="0" w:type="nil"/>
      <w:tblBorders>
        <w:top w:val="single" w:sz="8" w:space="0" w:color="B01513" w:themeColor="accent1"/>
        <w:bottom w:val="single" w:sz="8" w:space="0" w:color="B01513" w:themeColor="accent1"/>
      </w:tblBorders>
    </w:tblPr>
    <w:tblStylePr w:type="firstRow">
      <w:pPr>
        <w:spacing w:beforeLines="0" w:before="100" w:beforeAutospacing="1" w:afterLines="0" w:after="100" w:afterAutospacing="1"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B9B8" w:themeFill="accent1" w:themeFillTint="3F"/>
      </w:tcPr>
    </w:tblStylePr>
    <w:tblStylePr w:type="band1Horz">
      <w:tblPr/>
      <w:tcPr>
        <w:tcBorders>
          <w:left w:val="nil"/>
          <w:right w:val="nil"/>
          <w:insideH w:val="nil"/>
          <w:insideV w:val="nil"/>
        </w:tcBorders>
        <w:shd w:val="clear" w:color="auto" w:fill="F7B9B8" w:themeFill="accent1" w:themeFillTint="3F"/>
      </w:tcPr>
    </w:tblStylePr>
  </w:style>
  <w:style w:type="table" w:customStyle="1" w:styleId="-2210">
    <w:name w:val="Светлая заливка - Акцент 221"/>
    <w:basedOn w:val="a5"/>
    <w:uiPriority w:val="60"/>
    <w:semiHidden/>
    <w:rsid w:val="004B4863"/>
    <w:pPr>
      <w:spacing w:after="0" w:line="240" w:lineRule="auto"/>
    </w:pPr>
    <w:rPr>
      <w:rFonts w:ascii="Calibri" w:eastAsia="Calibri" w:hAnsi="Calibri" w:cs="Times New Roman"/>
      <w:color w:val="943634"/>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211">
    <w:name w:val="Светлая сетка - Акцент 221"/>
    <w:basedOn w:val="a5"/>
    <w:uiPriority w:val="62"/>
    <w:semiHidden/>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2210">
    <w:name w:val="Средняя заливка 1 - Акцент 221"/>
    <w:basedOn w:val="a5"/>
    <w:uiPriority w:val="63"/>
    <w:semiHidden/>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100" w:beforeAutospacing="1" w:afterLines="0" w:after="100" w:afterAutospacing="1"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100" w:beforeAutospacing="1" w:afterLines="0" w:after="100" w:afterAutospacing="1"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1-521">
    <w:name w:val="Средняя заливка 1 - Акцент 521"/>
    <w:basedOn w:val="a5"/>
    <w:uiPriority w:val="63"/>
    <w:semiHidden/>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100" w:beforeAutospacing="1" w:afterLines="0" w:after="100" w:afterAutospacing="1"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100" w:beforeAutospacing="1" w:afterLines="0" w:after="100" w:afterAutospacing="1"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21">
    <w:name w:val="Светлая сетка - Акцент 621"/>
    <w:basedOn w:val="a5"/>
    <w:uiPriority w:val="62"/>
    <w:semiHidden/>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TableNormal21">
    <w:name w:val="Table Normal21"/>
    <w:rsid w:val="004B4863"/>
    <w:pPr>
      <w:spacing w:after="80" w:line="240" w:lineRule="auto"/>
    </w:pPr>
    <w:rPr>
      <w:rFonts w:ascii="Times New Roman" w:eastAsia="Arial Unicode MS" w:hAnsi="Times New Roman" w:cs="Times New Roman"/>
      <w:sz w:val="20"/>
      <w:szCs w:val="20"/>
    </w:rPr>
    <w:tblPr>
      <w:tblCellMar>
        <w:top w:w="0" w:type="dxa"/>
        <w:left w:w="0" w:type="dxa"/>
        <w:bottom w:w="0" w:type="dxa"/>
        <w:right w:w="0" w:type="dxa"/>
      </w:tblCellMar>
    </w:tblPr>
  </w:style>
  <w:style w:type="table" w:customStyle="1" w:styleId="131">
    <w:name w:val="Сетка таблицы131"/>
    <w:basedOn w:val="a5"/>
    <w:uiPriority w:val="39"/>
    <w:rsid w:val="004B48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ветлая сетка - Акцент 2111"/>
    <w:basedOn w:val="a5"/>
    <w:uiPriority w:val="62"/>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5111">
    <w:name w:val="Средняя заливка 1 - Акцент 5111"/>
    <w:basedOn w:val="a5"/>
    <w:uiPriority w:val="63"/>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100" w:beforeAutospacing="1" w:afterLines="0" w:after="100" w:afterAutospacing="1"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100" w:beforeAutospacing="1" w:afterLines="0" w:after="100" w:afterAutospacing="1"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1110">
    <w:name w:val="Светлая сетка - Акцент 6111"/>
    <w:basedOn w:val="a5"/>
    <w:uiPriority w:val="62"/>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100" w:beforeAutospacing="1" w:afterLines="0" w:after="100" w:afterAutospacing="1" w:line="240" w:lineRule="auto"/>
      </w:pPr>
      <w:rPr>
        <w:rFonts w:ascii="DengXian" w:eastAsia="Times New Roman" w:hAnsi="DengXian" w:cs="Times New Roman" w:hint="eastAsia"/>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hint="eastAsia"/>
        <w:b/>
        <w:bCs/>
      </w:rPr>
    </w:tblStylePr>
    <w:tblStylePr w:type="lastCol">
      <w:rPr>
        <w:rFonts w:ascii="DengXian" w:eastAsia="Times New Roman" w:hAnsi="DengXian" w:cs="Times New Roman" w:hint="eastAsia"/>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111">
    <w:name w:val="Светлая заливка - Акцент 2111"/>
    <w:basedOn w:val="a5"/>
    <w:uiPriority w:val="60"/>
    <w:rsid w:val="004B4863"/>
    <w:pPr>
      <w:spacing w:after="0" w:line="240" w:lineRule="auto"/>
    </w:pPr>
    <w:rPr>
      <w:rFonts w:ascii="Calibri" w:eastAsia="Calibri" w:hAnsi="Calibri" w:cs="Times New Roman"/>
      <w:color w:val="943634"/>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113">
    <w:name w:val="Светлая заливка111"/>
    <w:basedOn w:val="a5"/>
    <w:uiPriority w:val="60"/>
    <w:rsid w:val="004B4863"/>
    <w:pPr>
      <w:spacing w:after="0" w:line="240" w:lineRule="auto"/>
    </w:pPr>
    <w:rPr>
      <w:rFonts w:ascii="Calibri" w:eastAsia="Calibri" w:hAnsi="Calibri" w:cs="Times New Roman"/>
      <w:color w:val="000000"/>
      <w:sz w:val="20"/>
      <w:szCs w:val="20"/>
    </w:rPr>
    <w:tblPr>
      <w:tblStyleRowBandSize w:val="1"/>
      <w:tblStyleColBandSize w:val="1"/>
      <w:tblInd w:w="0" w:type="nil"/>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яя заливка 1 - Акцент 2111"/>
    <w:basedOn w:val="a5"/>
    <w:uiPriority w:val="63"/>
    <w:rsid w:val="004B4863"/>
    <w:pPr>
      <w:spacing w:after="0" w:line="240" w:lineRule="auto"/>
    </w:pPr>
    <w:rPr>
      <w:rFonts w:ascii="Calibri" w:eastAsia="Calibri" w:hAnsi="Calibri" w:cs="Times New Roman"/>
      <w:sz w:val="20"/>
      <w:szCs w:val="20"/>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100" w:beforeAutospacing="1" w:afterLines="0" w:after="100" w:afterAutospacing="1"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100" w:beforeAutospacing="1" w:afterLines="0" w:after="100" w:afterAutospacing="1"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51110">
    <w:name w:val="Таблица простая 5111"/>
    <w:basedOn w:val="a5"/>
    <w:uiPriority w:val="99"/>
    <w:rsid w:val="004B4863"/>
    <w:pPr>
      <w:spacing w:after="0" w:line="240" w:lineRule="auto"/>
    </w:pPr>
    <w:rPr>
      <w:rFonts w:ascii="Century Gothic" w:hAnsi="Century Gothic" w:cs="Times New Roman"/>
    </w:rPr>
    <w:tblPr>
      <w:tblStyleRowBandSize w:val="1"/>
      <w:tblStyleColBandSize w:val="1"/>
      <w:tblInd w:w="0" w:type="nil"/>
    </w:tblPr>
    <w:tblStylePr w:type="firstRow">
      <w:rPr>
        <w:i/>
        <w:color w:val="404040"/>
      </w:rPr>
      <w:tblPr/>
      <w:tcPr>
        <w:tcBorders>
          <w:left w:val="none" w:sz="0" w:space="0" w:color="auto"/>
          <w:bottom w:val="single" w:sz="4" w:space="0" w:color="404040"/>
          <w:right w:val="none" w:sz="0" w:space="0" w:color="auto"/>
        </w:tcBorders>
      </w:tcPr>
    </w:tblStylePr>
    <w:tblStylePr w:type="lastRow">
      <w:rPr>
        <w:i/>
        <w:color w:val="404040"/>
      </w:rPr>
      <w:tblPr/>
      <w:tcPr>
        <w:tcBorders>
          <w:top w:val="single" w:sz="4" w:space="0" w:color="404040"/>
          <w:left w:val="none" w:sz="0" w:space="0" w:color="auto"/>
          <w:right w:val="none" w:sz="0" w:space="0" w:color="auto"/>
        </w:tcBorders>
      </w:tcPr>
    </w:tblStylePr>
    <w:tblStylePr w:type="firstCol">
      <w:pPr>
        <w:jc w:val="right"/>
      </w:pPr>
      <w:rPr>
        <w:i/>
        <w:color w:val="404040"/>
      </w:rPr>
      <w:tblPr/>
      <w:tcPr>
        <w:tcBorders>
          <w:right w:val="single" w:sz="4" w:space="0" w:color="404040"/>
        </w:tcBorders>
      </w:tcPr>
    </w:tblStylePr>
    <w:tblStylePr w:type="lastCol">
      <w:rPr>
        <w:i/>
        <w:color w:val="404040"/>
      </w:rPr>
      <w:tblPr/>
      <w:tcPr>
        <w:tcBorders>
          <w:left w:val="single" w:sz="4" w:space="0" w:color="404040"/>
        </w:tcBorders>
      </w:tc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21112">
    <w:name w:val="Таблица-сетка 2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single" w:sz="12" w:space="0" w:color="6A6A6A" w:themeColor="text1" w:themeTint="95"/>
          <w:right w:val="none" w:sz="0" w:space="0" w:color="auto"/>
        </w:tcBorders>
      </w:tcPr>
    </w:tblStylePr>
    <w:tblStylePr w:type="lastRow">
      <w:rPr>
        <w:b/>
        <w:color w:val="404040"/>
      </w:rPr>
      <w:tblPr/>
      <w:tcPr>
        <w:tcBorders>
          <w:top w:val="single" w:sz="4" w:space="0" w:color="6A6A6A" w:themeColor="text1" w:themeTint="9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GridTable2-Accent111">
    <w:name w:val="Grid Table 2 - Accent 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0" w:space="0" w:color="auto"/>
          <w:left w:val="none" w:sz="0" w:space="0" w:color="auto"/>
          <w:bottom w:val="single" w:sz="12" w:space="0" w:color="C71715" w:themeColor="accent1" w:themeTint="EA"/>
          <w:right w:val="none" w:sz="0" w:space="0" w:color="auto"/>
        </w:tcBorders>
      </w:tcPr>
    </w:tblStylePr>
    <w:tblStylePr w:type="lastRow">
      <w:rPr>
        <w:b/>
        <w:color w:val="404040"/>
      </w:rPr>
      <w:tblPr/>
      <w:tcPr>
        <w:tcBorders>
          <w:top w:val="single" w:sz="4" w:space="0" w:color="C71715" w:themeColor="accent1" w:themeTint="EA"/>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8C5C4" w:themeFill="accent1" w:themeFillTint="34"/>
      </w:tcPr>
    </w:tblStylePr>
    <w:tblStylePr w:type="band1Horz">
      <w:rPr>
        <w:rFonts w:ascii="Arial" w:hAnsi="Arial" w:cs="Arial" w:hint="default"/>
        <w:color w:val="404040"/>
        <w:sz w:val="22"/>
        <w:szCs w:val="22"/>
      </w:rPr>
      <w:tblPr/>
      <w:tcPr>
        <w:shd w:val="clear" w:color="auto" w:fill="F8C5C4" w:themeFill="accent1" w:themeFillTint="34"/>
      </w:tcPr>
    </w:tblStylePr>
  </w:style>
  <w:style w:type="table" w:customStyle="1" w:styleId="GridTable2-Accent211">
    <w:name w:val="Grid Table 2 - Accent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0" w:space="0" w:color="auto"/>
          <w:left w:val="none" w:sz="0" w:space="0" w:color="auto"/>
          <w:bottom w:val="single" w:sz="12" w:space="0" w:color="F4A170" w:themeColor="accent2" w:themeTint="97"/>
          <w:right w:val="none" w:sz="0" w:space="0" w:color="auto"/>
        </w:tcBorders>
      </w:tcPr>
    </w:tblStylePr>
    <w:tblStylePr w:type="lastRow">
      <w:rPr>
        <w:b/>
        <w:color w:val="404040"/>
      </w:rPr>
      <w:tblPr/>
      <w:tcPr>
        <w:tcBorders>
          <w:top w:val="single" w:sz="4" w:space="0" w:color="F4A170" w:themeColor="accent2" w:themeTint="9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Pr/>
      <w:tcPr>
        <w:shd w:val="clear" w:color="auto" w:fill="FBE0CF" w:themeFill="accent2" w:themeFillTint="32"/>
      </w:tcPr>
    </w:tblStylePr>
  </w:style>
  <w:style w:type="table" w:customStyle="1" w:styleId="GridTable2-Accent311">
    <w:name w:val="Grid Table 2 - Accent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0" w:space="0" w:color="auto"/>
          <w:left w:val="none" w:sz="0" w:space="0" w:color="auto"/>
          <w:bottom w:val="single" w:sz="12" w:space="0" w:color="E6B629" w:themeColor="accent3" w:themeTint="FE"/>
          <w:right w:val="none" w:sz="0" w:space="0" w:color="auto"/>
        </w:tcBorders>
      </w:tcPr>
    </w:tblStylePr>
    <w:tblStylePr w:type="lastRow">
      <w:rPr>
        <w:b/>
        <w:color w:val="404040"/>
      </w:rPr>
      <w:tblPr/>
      <w:tcPr>
        <w:tcBorders>
          <w:top w:val="single" w:sz="4" w:space="0" w:color="E6B629" w:themeColor="accent3" w:themeTint="FE"/>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Pr/>
      <w:tcPr>
        <w:shd w:val="clear" w:color="auto" w:fill="FAF0D3" w:themeFill="accent3" w:themeFillTint="34"/>
      </w:tcPr>
    </w:tblStylePr>
  </w:style>
  <w:style w:type="table" w:customStyle="1" w:styleId="GridTable2-Accent411">
    <w:name w:val="Grid Table 2 - Accent 4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0" w:space="0" w:color="auto"/>
          <w:left w:val="none" w:sz="0" w:space="0" w:color="auto"/>
          <w:bottom w:val="single" w:sz="12" w:space="0" w:color="A4CCBB" w:themeColor="accent4" w:themeTint="9A"/>
          <w:right w:val="none" w:sz="0" w:space="0" w:color="auto"/>
        </w:tcBorders>
      </w:tcPr>
    </w:tblStylePr>
    <w:tblStylePr w:type="lastRow">
      <w:rPr>
        <w:b/>
        <w:color w:val="404040"/>
      </w:rPr>
      <w:tblPr/>
      <w:tcPr>
        <w:tcBorders>
          <w:top w:val="single" w:sz="4" w:space="0" w:color="A4CCBB" w:themeColor="accent4" w:themeTint="9A"/>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Pr/>
      <w:tcPr>
        <w:shd w:val="clear" w:color="auto" w:fill="E0EEE8" w:themeFill="accent4" w:themeFillTint="34"/>
      </w:tcPr>
    </w:tblStylePr>
  </w:style>
  <w:style w:type="table" w:customStyle="1" w:styleId="GridTable2-Accent511">
    <w:name w:val="Grid Table 2 - Accent 5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0" w:space="0" w:color="auto"/>
          <w:left w:val="none" w:sz="0" w:space="0" w:color="auto"/>
          <w:bottom w:val="single" w:sz="12" w:space="0" w:color="54849A" w:themeColor="accent5"/>
          <w:right w:val="none" w:sz="0" w:space="0" w:color="auto"/>
        </w:tcBorders>
      </w:tcPr>
    </w:tblStylePr>
    <w:tblStylePr w:type="lastRow">
      <w:rPr>
        <w:b/>
        <w:color w:val="404040"/>
      </w:rPr>
      <w:tblPr/>
      <w:tcPr>
        <w:tcBorders>
          <w:top w:val="single" w:sz="4" w:space="0" w:color="54849A" w:themeColor="accent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Pr/>
      <w:tcPr>
        <w:shd w:val="clear" w:color="auto" w:fill="DAE6EB" w:themeFill="accent5" w:themeFillTint="34"/>
      </w:tcPr>
    </w:tblStylePr>
  </w:style>
  <w:style w:type="table" w:customStyle="1" w:styleId="GridTable2-Accent611">
    <w:name w:val="Grid Table 2 - Accent 6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0" w:space="0" w:color="auto"/>
          <w:left w:val="none" w:sz="0" w:space="0" w:color="auto"/>
          <w:bottom w:val="single" w:sz="12" w:space="0" w:color="9E5E9B" w:themeColor="accent6"/>
          <w:right w:val="none" w:sz="0" w:space="0" w:color="auto"/>
        </w:tcBorders>
      </w:tcPr>
    </w:tblStylePr>
    <w:tblStylePr w:type="lastRow">
      <w:rPr>
        <w:b/>
        <w:color w:val="404040"/>
      </w:rPr>
      <w:tblPr/>
      <w:tcPr>
        <w:tcBorders>
          <w:top w:val="single" w:sz="4" w:space="0" w:color="9E5E9B" w:themeColor="accent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Pr/>
      <w:tcPr>
        <w:shd w:val="clear" w:color="auto" w:fill="EBDDEA" w:themeFill="accent6" w:themeFillTint="34"/>
      </w:tcPr>
    </w:tblStylePr>
  </w:style>
  <w:style w:type="table" w:customStyle="1" w:styleId="-3111">
    <w:name w:val="Таблица-сетка 3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GridTable3-Accent111">
    <w:name w:val="Grid Table 3 - Accent 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F8C5C4" w:themeFill="accent1" w:themeFillTint="34"/>
      </w:tcPr>
    </w:tblStylePr>
    <w:tblStylePr w:type="band1Horz">
      <w:rPr>
        <w:rFonts w:ascii="Arial" w:hAnsi="Arial" w:cs="Arial" w:hint="default"/>
        <w:color w:val="404040"/>
        <w:sz w:val="22"/>
        <w:szCs w:val="22"/>
      </w:rPr>
      <w:tblPr/>
      <w:tcPr>
        <w:shd w:val="clear" w:color="auto" w:fill="F8C5C4" w:themeFill="accent1" w:themeFillTint="34"/>
      </w:tcPr>
    </w:tblStylePr>
  </w:style>
  <w:style w:type="table" w:customStyle="1" w:styleId="GridTable3-Accent211">
    <w:name w:val="Grid Table 3 - Accent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FBE0CF" w:themeFill="accent2" w:themeFillTint="32"/>
      </w:tcPr>
    </w:tblStylePr>
    <w:tblStylePr w:type="band1Horz">
      <w:rPr>
        <w:rFonts w:ascii="Arial" w:hAnsi="Arial" w:cs="Arial" w:hint="default"/>
        <w:color w:val="404040"/>
        <w:sz w:val="22"/>
        <w:szCs w:val="22"/>
      </w:rPr>
      <w:tblPr/>
      <w:tcPr>
        <w:shd w:val="clear" w:color="auto" w:fill="FBE0CF" w:themeFill="accent2" w:themeFillTint="32"/>
      </w:tcPr>
    </w:tblStylePr>
  </w:style>
  <w:style w:type="table" w:customStyle="1" w:styleId="GridTable3-Accent311">
    <w:name w:val="Grid Table 3 - Accent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FAF0D3" w:themeFill="accent3" w:themeFillTint="34"/>
      </w:tcPr>
    </w:tblStylePr>
    <w:tblStylePr w:type="band1Horz">
      <w:rPr>
        <w:rFonts w:ascii="Arial" w:hAnsi="Arial" w:cs="Arial" w:hint="default"/>
        <w:color w:val="404040"/>
        <w:sz w:val="22"/>
        <w:szCs w:val="22"/>
      </w:rPr>
      <w:tblPr/>
      <w:tcPr>
        <w:shd w:val="clear" w:color="auto" w:fill="FAF0D3" w:themeFill="accent3" w:themeFillTint="34"/>
      </w:tcPr>
    </w:tblStylePr>
  </w:style>
  <w:style w:type="table" w:customStyle="1" w:styleId="GridTable3-Accent411">
    <w:name w:val="Grid Table 3 - Accent 4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E0EEE8" w:themeFill="accent4" w:themeFillTint="34"/>
      </w:tcPr>
    </w:tblStylePr>
    <w:tblStylePr w:type="band1Horz">
      <w:rPr>
        <w:rFonts w:ascii="Arial" w:hAnsi="Arial" w:cs="Arial" w:hint="default"/>
        <w:color w:val="404040"/>
        <w:sz w:val="22"/>
        <w:szCs w:val="22"/>
      </w:rPr>
      <w:tblPr/>
      <w:tcPr>
        <w:shd w:val="clear" w:color="auto" w:fill="E0EEE8" w:themeFill="accent4" w:themeFillTint="34"/>
      </w:tcPr>
    </w:tblStylePr>
  </w:style>
  <w:style w:type="table" w:customStyle="1" w:styleId="GridTable3-Accent511">
    <w:name w:val="Grid Table 3 - Accent 5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DAE6EB" w:themeFill="accent5" w:themeFillTint="34"/>
      </w:tcPr>
    </w:tblStylePr>
    <w:tblStylePr w:type="band1Horz">
      <w:rPr>
        <w:rFonts w:ascii="Arial" w:hAnsi="Arial" w:cs="Arial" w:hint="default"/>
        <w:color w:val="404040"/>
        <w:sz w:val="22"/>
        <w:szCs w:val="22"/>
      </w:rPr>
      <w:tblPr/>
      <w:tcPr>
        <w:shd w:val="clear" w:color="auto" w:fill="DAE6EB" w:themeFill="accent5" w:themeFillTint="34"/>
      </w:tcPr>
    </w:tblStylePr>
  </w:style>
  <w:style w:type="table" w:customStyle="1" w:styleId="GridTable3-Accent611">
    <w:name w:val="Grid Table 3 - Accent 6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0" w:space="0" w:color="auto"/>
          <w:left w:val="none" w:sz="0" w:space="0" w:color="auto"/>
          <w:bottom w:val="none" w:sz="0" w:space="0" w:color="auto"/>
          <w:right w:val="none" w:sz="0" w:space="0" w:color="auto"/>
        </w:tcBorders>
      </w:tcPr>
    </w:tblStylePr>
    <w:tblStylePr w:type="lastRow">
      <w:rPr>
        <w:b/>
        <w:color w:val="404040"/>
      </w:rPr>
      <w:tblPr/>
      <w:tcPr>
        <w:tcBorders>
          <w:top w:val="none" w:sz="0" w:space="0" w:color="auto"/>
          <w:left w:val="none" w:sz="0" w:space="0" w:color="auto"/>
          <w:bottom w:val="none" w:sz="0" w:space="0" w:color="auto"/>
          <w:right w:val="none" w:sz="0" w:space="0" w:color="auto"/>
        </w:tcBorders>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tcPr>
    </w:tblStylePr>
    <w:tblStylePr w:type="lastCol">
      <w:rPr>
        <w:i/>
        <w:color w:val="404040"/>
      </w:rPr>
      <w:tblPr/>
      <w:tcPr>
        <w:tcBorders>
          <w:top w:val="none" w:sz="0" w:space="0" w:color="auto"/>
          <w:left w:val="none" w:sz="0" w:space="0" w:color="auto"/>
          <w:bottom w:val="none" w:sz="0" w:space="0" w:color="auto"/>
          <w:right w:val="none" w:sz="0" w:space="0" w:color="auto"/>
        </w:tcBorders>
      </w:tcPr>
    </w:tblStylePr>
    <w:tblStylePr w:type="band1Vert">
      <w:rPr>
        <w:rFonts w:ascii="Arial" w:hAnsi="Arial" w:cs="Arial" w:hint="default"/>
        <w:color w:val="404040"/>
        <w:sz w:val="22"/>
        <w:szCs w:val="22"/>
      </w:rPr>
      <w:tblPr/>
      <w:tcPr>
        <w:shd w:val="clear" w:color="auto" w:fill="EBDDEA" w:themeFill="accent6" w:themeFillTint="34"/>
      </w:tcPr>
    </w:tblStylePr>
    <w:tblStylePr w:type="band1Horz">
      <w:rPr>
        <w:rFonts w:ascii="Arial" w:hAnsi="Arial" w:cs="Arial" w:hint="default"/>
        <w:color w:val="404040"/>
        <w:sz w:val="22"/>
        <w:szCs w:val="22"/>
      </w:rPr>
      <w:tblPr/>
      <w:tcPr>
        <w:shd w:val="clear" w:color="auto" w:fill="EBDDEA" w:themeFill="accent6" w:themeFillTint="34"/>
      </w:tcPr>
    </w:tblStylePr>
  </w:style>
  <w:style w:type="table" w:customStyle="1" w:styleId="-7111">
    <w:name w:val="Таблица-сетка 7 цветная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cs="Arial" w:hint="default"/>
        <w:b/>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b/>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tcPr>
    </w:tblStylePr>
    <w:tblStylePr w:type="band1Vert">
      <w:tblPr/>
      <w:tcPr>
        <w:shd w:val="clear" w:color="auto" w:fill="F2F2F2" w:themeFill="text1" w:themeFillTint="0D"/>
      </w:tcPr>
    </w:tblStylePr>
    <w:tblStylePr w:type="band1Horz">
      <w:rPr>
        <w:rFonts w:ascii="Arial" w:hAnsi="Arial" w:cs="Arial" w:hint="default"/>
        <w:color w:val="7F7F7F" w:themeColor="text1" w:themeTint="80" w:themeShade="95"/>
        <w:sz w:val="22"/>
        <w:szCs w:val="22"/>
      </w:rPr>
      <w:tblPr/>
      <w:tcPr>
        <w:shd w:val="clear" w:color="auto" w:fill="F2F2F2" w:themeFill="text1" w:themeFillTint="0D"/>
      </w:tcPr>
    </w:tblStylePr>
    <w:tblStylePr w:type="band2Horz">
      <w:rPr>
        <w:rFonts w:ascii="Arial" w:hAnsi="Arial" w:cs="Arial" w:hint="default"/>
        <w:color w:val="7F7F7F" w:themeColor="text1" w:themeTint="80" w:themeShade="95"/>
        <w:sz w:val="22"/>
        <w:szCs w:val="22"/>
      </w:rPr>
    </w:tblStylePr>
  </w:style>
  <w:style w:type="table" w:customStyle="1" w:styleId="GridTable7Colorful-Accent111">
    <w:name w:val="Grid Table 7 Colorful - Accent 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cs="Arial" w:hint="default"/>
        <w:b/>
        <w:color w:val="EF7170" w:themeColor="accent1" w:themeTint="80" w:themeShade="95"/>
        <w:sz w:val="22"/>
        <w:szCs w:val="22"/>
      </w:rPr>
      <w:tblPr/>
      <w:tcPr>
        <w:tcBorders>
          <w:top w:val="none" w:sz="0" w:space="0" w:color="auto"/>
          <w:left w:val="none" w:sz="0" w:space="0" w:color="auto"/>
          <w:bottom w:val="single" w:sz="4" w:space="0" w:color="EF7170" w:themeColor="accent1" w:themeTint="80"/>
          <w:right w:val="none" w:sz="0" w:space="0" w:color="auto"/>
        </w:tcBorders>
        <w:shd w:val="clear" w:color="auto" w:fill="FFFFFF" w:themeFill="light1"/>
      </w:tcPr>
    </w:tblStylePr>
    <w:tblStylePr w:type="lastRow">
      <w:rPr>
        <w:rFonts w:ascii="Arial" w:hAnsi="Arial" w:cs="Arial" w:hint="default"/>
        <w:b/>
        <w:color w:val="EF7170" w:themeColor="accent1" w:themeTint="80" w:themeShade="95"/>
        <w:sz w:val="22"/>
        <w:szCs w:val="22"/>
      </w:rPr>
      <w:tblPr/>
      <w:tcPr>
        <w:tcBorders>
          <w:top w:val="single" w:sz="4" w:space="0" w:color="EF7170"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EF7170" w:themeColor="accent1" w:themeTint="80" w:themeShade="95"/>
        <w:sz w:val="22"/>
        <w:szCs w:val="22"/>
      </w:rPr>
      <w:tblPr/>
      <w:tcPr>
        <w:tcBorders>
          <w:top w:val="none" w:sz="0" w:space="0" w:color="auto"/>
          <w:left w:val="none" w:sz="0" w:space="0" w:color="auto"/>
          <w:bottom w:val="none" w:sz="0" w:space="0" w:color="auto"/>
          <w:right w:val="single" w:sz="4" w:space="0" w:color="EF7170" w:themeColor="accent1" w:themeTint="80"/>
        </w:tcBorders>
      </w:tcPr>
    </w:tblStylePr>
    <w:tblStylePr w:type="lastCol">
      <w:rPr>
        <w:rFonts w:ascii="Arial" w:hAnsi="Arial" w:cs="Arial" w:hint="default"/>
        <w:i/>
        <w:color w:val="EF7170" w:themeColor="accent1" w:themeTint="80" w:themeShade="95"/>
        <w:sz w:val="22"/>
        <w:szCs w:val="22"/>
      </w:rPr>
      <w:tblPr/>
      <w:tcPr>
        <w:tcBorders>
          <w:top w:val="none" w:sz="0" w:space="0" w:color="auto"/>
          <w:left w:val="single" w:sz="4" w:space="0" w:color="EF7170" w:themeColor="accent1" w:themeTint="80"/>
          <w:bottom w:val="none" w:sz="0" w:space="0" w:color="auto"/>
          <w:right w:val="none" w:sz="0" w:space="0" w:color="auto"/>
        </w:tcBorders>
      </w:tcPr>
    </w:tblStylePr>
    <w:tblStylePr w:type="band1Vert">
      <w:tblPr/>
      <w:tcPr>
        <w:shd w:val="clear" w:color="auto" w:fill="F8C5C4" w:themeFill="accent1" w:themeFillTint="34"/>
      </w:tcPr>
    </w:tblStylePr>
    <w:tblStylePr w:type="band1Horz">
      <w:rPr>
        <w:rFonts w:ascii="Arial" w:hAnsi="Arial" w:cs="Arial" w:hint="default"/>
        <w:color w:val="EF7170" w:themeColor="accent1" w:themeTint="80" w:themeShade="95"/>
        <w:sz w:val="22"/>
        <w:szCs w:val="22"/>
      </w:rPr>
      <w:tblPr/>
      <w:tcPr>
        <w:shd w:val="clear" w:color="auto" w:fill="F8C5C4" w:themeFill="accent1" w:themeFillTint="34"/>
      </w:tcPr>
    </w:tblStylePr>
    <w:tblStylePr w:type="band2Horz">
      <w:rPr>
        <w:rFonts w:ascii="Arial" w:hAnsi="Arial" w:cs="Arial" w:hint="default"/>
        <w:color w:val="EF7170" w:themeColor="accent1" w:themeTint="80" w:themeShade="95"/>
        <w:sz w:val="22"/>
        <w:szCs w:val="22"/>
      </w:rPr>
    </w:tblStylePr>
  </w:style>
  <w:style w:type="table" w:customStyle="1" w:styleId="GridTable7Colorful-Accent211">
    <w:name w:val="Grid Table 7 Colorful - Accent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cs="Arial" w:hint="default"/>
        <w:b/>
        <w:color w:val="F4A170" w:themeColor="accent2" w:themeTint="97" w:themeShade="95"/>
        <w:sz w:val="22"/>
        <w:szCs w:val="22"/>
      </w:rPr>
      <w:tblPr/>
      <w:tcPr>
        <w:tcBorders>
          <w:top w:val="none" w:sz="0" w:space="0" w:color="auto"/>
          <w:left w:val="none" w:sz="0" w:space="0" w:color="auto"/>
          <w:bottom w:val="single" w:sz="4" w:space="0" w:color="F4A170" w:themeColor="accent2" w:themeTint="97"/>
          <w:right w:val="none" w:sz="0" w:space="0" w:color="auto"/>
        </w:tcBorders>
        <w:shd w:val="clear" w:color="auto" w:fill="FFFFFF" w:themeFill="light1"/>
      </w:tcPr>
    </w:tblStylePr>
    <w:tblStylePr w:type="lastRow">
      <w:rPr>
        <w:rFonts w:ascii="Arial" w:hAnsi="Arial" w:cs="Arial" w:hint="default"/>
        <w:b/>
        <w:color w:val="F4A170" w:themeColor="accent2" w:themeTint="97" w:themeShade="95"/>
        <w:sz w:val="22"/>
        <w:szCs w:val="22"/>
      </w:rPr>
      <w:tblPr/>
      <w:tcPr>
        <w:tcBorders>
          <w:top w:val="single" w:sz="4" w:space="0" w:color="F4A170"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4A170" w:themeColor="accent2" w:themeTint="97" w:themeShade="95"/>
        <w:sz w:val="22"/>
        <w:szCs w:val="22"/>
      </w:rPr>
      <w:tblPr/>
      <w:tcPr>
        <w:tcBorders>
          <w:top w:val="none" w:sz="0" w:space="0" w:color="auto"/>
          <w:left w:val="none" w:sz="0" w:space="0" w:color="auto"/>
          <w:bottom w:val="none" w:sz="0" w:space="0" w:color="auto"/>
          <w:right w:val="single" w:sz="4" w:space="0" w:color="F4A170" w:themeColor="accent2" w:themeTint="97"/>
        </w:tcBorders>
      </w:tcPr>
    </w:tblStylePr>
    <w:tblStylePr w:type="lastCol">
      <w:rPr>
        <w:rFonts w:ascii="Arial" w:hAnsi="Arial" w:cs="Arial" w:hint="default"/>
        <w:i/>
        <w:color w:val="F4A170" w:themeColor="accent2" w:themeTint="97" w:themeShade="95"/>
        <w:sz w:val="22"/>
        <w:szCs w:val="22"/>
      </w:rPr>
      <w:tblPr/>
      <w:tcPr>
        <w:tcBorders>
          <w:top w:val="none" w:sz="0" w:space="0" w:color="auto"/>
          <w:left w:val="single" w:sz="4" w:space="0" w:color="F4A170" w:themeColor="accent2" w:themeTint="97"/>
          <w:bottom w:val="none" w:sz="0" w:space="0" w:color="auto"/>
          <w:right w:val="none" w:sz="0" w:space="0" w:color="auto"/>
        </w:tcBorders>
      </w:tcPr>
    </w:tblStylePr>
    <w:tblStylePr w:type="band1Vert">
      <w:tblPr/>
      <w:tcPr>
        <w:shd w:val="clear" w:color="auto" w:fill="FBE0CF" w:themeFill="accent2" w:themeFillTint="32"/>
      </w:tcPr>
    </w:tblStylePr>
    <w:tblStylePr w:type="band1Horz">
      <w:rPr>
        <w:rFonts w:ascii="Arial" w:hAnsi="Arial" w:cs="Arial" w:hint="default"/>
        <w:color w:val="F4A170" w:themeColor="accent2" w:themeTint="97" w:themeShade="95"/>
        <w:sz w:val="22"/>
        <w:szCs w:val="22"/>
      </w:rPr>
      <w:tblPr/>
      <w:tcPr>
        <w:shd w:val="clear" w:color="auto" w:fill="FBE0CF" w:themeFill="accent2" w:themeFillTint="32"/>
      </w:tcPr>
    </w:tblStylePr>
    <w:tblStylePr w:type="band2Horz">
      <w:rPr>
        <w:rFonts w:ascii="Arial" w:hAnsi="Arial" w:cs="Arial" w:hint="default"/>
        <w:color w:val="F4A170" w:themeColor="accent2" w:themeTint="97" w:themeShade="95"/>
        <w:sz w:val="22"/>
        <w:szCs w:val="22"/>
      </w:rPr>
    </w:tblStylePr>
  </w:style>
  <w:style w:type="table" w:customStyle="1" w:styleId="GridTable7Colorful-Accent311">
    <w:name w:val="Grid Table 7 Colorful - Accent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cs="Arial" w:hint="default"/>
        <w:b/>
        <w:color w:val="E6B629" w:themeColor="accent3" w:themeTint="FE" w:themeShade="95"/>
        <w:sz w:val="22"/>
        <w:szCs w:val="22"/>
      </w:rPr>
      <w:tblPr/>
      <w:tcPr>
        <w:tcBorders>
          <w:top w:val="none" w:sz="0" w:space="0" w:color="auto"/>
          <w:left w:val="none" w:sz="0" w:space="0" w:color="auto"/>
          <w:bottom w:val="single" w:sz="4" w:space="0" w:color="E6B629" w:themeColor="accent3" w:themeTint="FE"/>
          <w:right w:val="none" w:sz="0" w:space="0" w:color="auto"/>
        </w:tcBorders>
        <w:shd w:val="clear" w:color="auto" w:fill="FFFFFF" w:themeFill="light1"/>
      </w:tcPr>
    </w:tblStylePr>
    <w:tblStylePr w:type="lastRow">
      <w:rPr>
        <w:rFonts w:ascii="Arial" w:hAnsi="Arial" w:cs="Arial" w:hint="default"/>
        <w:b/>
        <w:color w:val="E6B629" w:themeColor="accent3" w:themeTint="FE" w:themeShade="95"/>
        <w:sz w:val="22"/>
        <w:szCs w:val="22"/>
      </w:rPr>
      <w:tblPr/>
      <w:tcPr>
        <w:tcBorders>
          <w:top w:val="single" w:sz="4" w:space="0" w:color="E6B629"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E6B629" w:themeColor="accent3" w:themeTint="FE" w:themeShade="95"/>
        <w:sz w:val="22"/>
        <w:szCs w:val="22"/>
      </w:rPr>
      <w:tblPr/>
      <w:tcPr>
        <w:tcBorders>
          <w:top w:val="none" w:sz="0" w:space="0" w:color="auto"/>
          <w:left w:val="none" w:sz="0" w:space="0" w:color="auto"/>
          <w:bottom w:val="none" w:sz="0" w:space="0" w:color="auto"/>
          <w:right w:val="single" w:sz="4" w:space="0" w:color="E6B629" w:themeColor="accent3" w:themeTint="FE"/>
        </w:tcBorders>
      </w:tcPr>
    </w:tblStylePr>
    <w:tblStylePr w:type="lastCol">
      <w:rPr>
        <w:rFonts w:ascii="Arial" w:hAnsi="Arial" w:cs="Arial" w:hint="default"/>
        <w:i/>
        <w:color w:val="E6B629" w:themeColor="accent3" w:themeTint="FE" w:themeShade="95"/>
        <w:sz w:val="22"/>
        <w:szCs w:val="22"/>
      </w:rPr>
      <w:tblPr/>
      <w:tcPr>
        <w:tcBorders>
          <w:top w:val="none" w:sz="0" w:space="0" w:color="auto"/>
          <w:left w:val="single" w:sz="4" w:space="0" w:color="E6B629" w:themeColor="accent3" w:themeTint="FE"/>
          <w:bottom w:val="none" w:sz="0" w:space="0" w:color="auto"/>
          <w:right w:val="none" w:sz="0" w:space="0" w:color="auto"/>
        </w:tcBorders>
      </w:tcPr>
    </w:tblStylePr>
    <w:tblStylePr w:type="band1Vert">
      <w:tblPr/>
      <w:tcPr>
        <w:shd w:val="clear" w:color="auto" w:fill="FAF0D3" w:themeFill="accent3" w:themeFillTint="34"/>
      </w:tcPr>
    </w:tblStylePr>
    <w:tblStylePr w:type="band1Horz">
      <w:rPr>
        <w:rFonts w:ascii="Arial" w:hAnsi="Arial" w:cs="Arial" w:hint="default"/>
        <w:color w:val="E6B629" w:themeColor="accent3" w:themeTint="FE" w:themeShade="95"/>
        <w:sz w:val="22"/>
        <w:szCs w:val="22"/>
      </w:rPr>
      <w:tblPr/>
      <w:tcPr>
        <w:shd w:val="clear" w:color="auto" w:fill="FAF0D3" w:themeFill="accent3" w:themeFillTint="34"/>
      </w:tcPr>
    </w:tblStylePr>
    <w:tblStylePr w:type="band2Horz">
      <w:rPr>
        <w:rFonts w:ascii="Arial" w:hAnsi="Arial" w:cs="Arial" w:hint="default"/>
        <w:color w:val="E6B629" w:themeColor="accent3" w:themeTint="FE" w:themeShade="95"/>
        <w:sz w:val="22"/>
        <w:szCs w:val="22"/>
      </w:rPr>
    </w:tblStylePr>
  </w:style>
  <w:style w:type="table" w:customStyle="1" w:styleId="GridTable7Colorful-Accent411">
    <w:name w:val="Grid Table 7 Colorful - Accent 4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cs="Arial" w:hint="default"/>
        <w:b/>
        <w:color w:val="A4CCBB" w:themeColor="accent4" w:themeTint="9A" w:themeShade="95"/>
        <w:sz w:val="22"/>
        <w:szCs w:val="22"/>
      </w:rPr>
      <w:tblPr/>
      <w:tcPr>
        <w:tcBorders>
          <w:top w:val="none" w:sz="0" w:space="0" w:color="auto"/>
          <w:left w:val="none" w:sz="0" w:space="0" w:color="auto"/>
          <w:bottom w:val="single" w:sz="4" w:space="0" w:color="A4CCBB" w:themeColor="accent4" w:themeTint="9A"/>
          <w:right w:val="none" w:sz="0" w:space="0" w:color="auto"/>
        </w:tcBorders>
        <w:shd w:val="clear" w:color="auto" w:fill="FFFFFF" w:themeFill="light1"/>
      </w:tcPr>
    </w:tblStylePr>
    <w:tblStylePr w:type="lastRow">
      <w:rPr>
        <w:rFonts w:ascii="Arial" w:hAnsi="Arial" w:cs="Arial" w:hint="default"/>
        <w:b/>
        <w:color w:val="A4CCBB" w:themeColor="accent4" w:themeTint="9A" w:themeShade="95"/>
        <w:sz w:val="22"/>
        <w:szCs w:val="22"/>
      </w:rPr>
      <w:tblPr/>
      <w:tcPr>
        <w:tcBorders>
          <w:top w:val="single" w:sz="4" w:space="0" w:color="A4CCBB"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A4CCBB" w:themeColor="accent4" w:themeTint="9A" w:themeShade="95"/>
        <w:sz w:val="22"/>
        <w:szCs w:val="22"/>
      </w:rPr>
      <w:tblPr/>
      <w:tcPr>
        <w:tcBorders>
          <w:top w:val="none" w:sz="0" w:space="0" w:color="auto"/>
          <w:left w:val="none" w:sz="0" w:space="0" w:color="auto"/>
          <w:bottom w:val="none" w:sz="0" w:space="0" w:color="auto"/>
          <w:right w:val="single" w:sz="4" w:space="0" w:color="A4CCBB" w:themeColor="accent4" w:themeTint="9A"/>
        </w:tcBorders>
      </w:tcPr>
    </w:tblStylePr>
    <w:tblStylePr w:type="lastCol">
      <w:rPr>
        <w:rFonts w:ascii="Arial" w:hAnsi="Arial" w:cs="Arial" w:hint="default"/>
        <w:i/>
        <w:color w:val="A4CCBB" w:themeColor="accent4" w:themeTint="9A" w:themeShade="95"/>
        <w:sz w:val="22"/>
        <w:szCs w:val="22"/>
      </w:rPr>
      <w:tblPr/>
      <w:tcPr>
        <w:tcBorders>
          <w:top w:val="none" w:sz="0" w:space="0" w:color="auto"/>
          <w:left w:val="single" w:sz="4" w:space="0" w:color="A4CCBB" w:themeColor="accent4" w:themeTint="9A"/>
          <w:bottom w:val="none" w:sz="0" w:space="0" w:color="auto"/>
          <w:right w:val="none" w:sz="0" w:space="0" w:color="auto"/>
        </w:tcBorders>
      </w:tcPr>
    </w:tblStylePr>
    <w:tblStylePr w:type="band1Vert">
      <w:tblPr/>
      <w:tcPr>
        <w:shd w:val="clear" w:color="auto" w:fill="E0EEE8" w:themeFill="accent4" w:themeFillTint="34"/>
      </w:tcPr>
    </w:tblStylePr>
    <w:tblStylePr w:type="band1Horz">
      <w:rPr>
        <w:rFonts w:ascii="Arial" w:hAnsi="Arial" w:cs="Arial" w:hint="default"/>
        <w:color w:val="A4CCBB" w:themeColor="accent4" w:themeTint="9A" w:themeShade="95"/>
        <w:sz w:val="22"/>
        <w:szCs w:val="22"/>
      </w:rPr>
      <w:tblPr/>
      <w:tcPr>
        <w:shd w:val="clear" w:color="auto" w:fill="E0EEE8" w:themeFill="accent4" w:themeFillTint="34"/>
      </w:tcPr>
    </w:tblStylePr>
    <w:tblStylePr w:type="band2Horz">
      <w:rPr>
        <w:rFonts w:ascii="Arial" w:hAnsi="Arial" w:cs="Arial" w:hint="default"/>
        <w:color w:val="A4CCBB" w:themeColor="accent4" w:themeTint="9A" w:themeShade="95"/>
        <w:sz w:val="22"/>
        <w:szCs w:val="22"/>
      </w:rPr>
    </w:tblStylePr>
  </w:style>
  <w:style w:type="table" w:customStyle="1" w:styleId="GridTable7Colorful-Accent511">
    <w:name w:val="Grid Table 7 Colorful - Accent 5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cs="Arial" w:hint="default"/>
        <w:b/>
        <w:color w:val="314C59" w:themeColor="accent5" w:themeShade="95"/>
        <w:sz w:val="22"/>
        <w:szCs w:val="22"/>
      </w:rPr>
      <w:tblPr/>
      <w:tcPr>
        <w:tcBorders>
          <w:top w:val="none" w:sz="0" w:space="0" w:color="auto"/>
          <w:left w:val="none" w:sz="0" w:space="0" w:color="auto"/>
          <w:bottom w:val="single" w:sz="4" w:space="0" w:color="9BBAC8" w:themeColor="accent5" w:themeTint="90"/>
          <w:right w:val="none" w:sz="0" w:space="0" w:color="auto"/>
        </w:tcBorders>
        <w:shd w:val="clear" w:color="auto" w:fill="FFFFFF" w:themeFill="light1"/>
      </w:tcPr>
    </w:tblStylePr>
    <w:tblStylePr w:type="lastRow">
      <w:rPr>
        <w:rFonts w:ascii="Arial" w:hAnsi="Arial" w:cs="Arial" w:hint="default"/>
        <w:b/>
        <w:color w:val="314C59" w:themeColor="accent5" w:themeShade="95"/>
        <w:sz w:val="22"/>
        <w:szCs w:val="22"/>
      </w:rPr>
      <w:tblPr/>
      <w:tcPr>
        <w:tcBorders>
          <w:top w:val="single" w:sz="4" w:space="0" w:color="9BBAC8"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314C59" w:themeColor="accent5" w:themeShade="95"/>
        <w:sz w:val="22"/>
        <w:szCs w:val="22"/>
      </w:rPr>
      <w:tblPr/>
      <w:tcPr>
        <w:tcBorders>
          <w:top w:val="none" w:sz="0" w:space="0" w:color="auto"/>
          <w:left w:val="none" w:sz="0" w:space="0" w:color="auto"/>
          <w:bottom w:val="none" w:sz="0" w:space="0" w:color="auto"/>
          <w:right w:val="single" w:sz="4" w:space="0" w:color="9BBAC8" w:themeColor="accent5" w:themeTint="90"/>
        </w:tcBorders>
      </w:tcPr>
    </w:tblStylePr>
    <w:tblStylePr w:type="lastCol">
      <w:rPr>
        <w:rFonts w:ascii="Arial" w:hAnsi="Arial" w:cs="Arial" w:hint="default"/>
        <w:i/>
        <w:color w:val="314C59" w:themeColor="accent5" w:themeShade="95"/>
        <w:sz w:val="22"/>
        <w:szCs w:val="22"/>
      </w:rPr>
      <w:tblPr/>
      <w:tcPr>
        <w:tcBorders>
          <w:top w:val="none" w:sz="0" w:space="0" w:color="auto"/>
          <w:left w:val="single" w:sz="4" w:space="0" w:color="9BBAC8" w:themeColor="accent5" w:themeTint="90"/>
          <w:bottom w:val="none" w:sz="0" w:space="0" w:color="auto"/>
          <w:right w:val="none" w:sz="0" w:space="0" w:color="auto"/>
        </w:tcBorders>
      </w:tcPr>
    </w:tblStylePr>
    <w:tblStylePr w:type="band1Vert">
      <w:tblPr/>
      <w:tcPr>
        <w:shd w:val="clear" w:color="auto" w:fill="DAE6EB" w:themeFill="accent5" w:themeFillTint="34"/>
      </w:tcPr>
    </w:tblStylePr>
    <w:tblStylePr w:type="band1Horz">
      <w:rPr>
        <w:rFonts w:ascii="Arial" w:hAnsi="Arial" w:cs="Arial" w:hint="default"/>
        <w:color w:val="314C59" w:themeColor="accent5" w:themeShade="95"/>
        <w:sz w:val="22"/>
        <w:szCs w:val="22"/>
      </w:rPr>
      <w:tblPr/>
      <w:tcPr>
        <w:shd w:val="clear" w:color="auto" w:fill="DAE6EB" w:themeFill="accent5" w:themeFillTint="34"/>
      </w:tcPr>
    </w:tblStylePr>
    <w:tblStylePr w:type="band2Horz">
      <w:rPr>
        <w:rFonts w:ascii="Arial" w:hAnsi="Arial" w:cs="Arial" w:hint="default"/>
        <w:color w:val="314C59" w:themeColor="accent5" w:themeShade="95"/>
        <w:sz w:val="22"/>
        <w:szCs w:val="22"/>
      </w:rPr>
    </w:tblStylePr>
  </w:style>
  <w:style w:type="table" w:customStyle="1" w:styleId="GridTable7Colorful-Accent611">
    <w:name w:val="Grid Table 7 Colorful - Accent 6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cs="Arial" w:hint="default"/>
        <w:b/>
        <w:color w:val="5C375A" w:themeColor="accent6" w:themeShade="95"/>
        <w:sz w:val="22"/>
        <w:szCs w:val="22"/>
      </w:rPr>
      <w:tblPr/>
      <w:tcPr>
        <w:tcBorders>
          <w:top w:val="none" w:sz="0" w:space="0" w:color="auto"/>
          <w:left w:val="none" w:sz="0" w:space="0" w:color="auto"/>
          <w:bottom w:val="single" w:sz="4" w:space="0" w:color="C8A3C6" w:themeColor="accent6" w:themeTint="90"/>
          <w:right w:val="none" w:sz="0" w:space="0" w:color="auto"/>
        </w:tcBorders>
        <w:shd w:val="clear" w:color="auto" w:fill="FFFFFF" w:themeFill="light1"/>
      </w:tcPr>
    </w:tblStylePr>
    <w:tblStylePr w:type="lastRow">
      <w:rPr>
        <w:rFonts w:ascii="Arial" w:hAnsi="Arial" w:cs="Arial" w:hint="default"/>
        <w:b/>
        <w:color w:val="5C375A" w:themeColor="accent6" w:themeShade="95"/>
        <w:sz w:val="22"/>
        <w:szCs w:val="22"/>
      </w:rPr>
      <w:tblPr/>
      <w:tcPr>
        <w:tcBorders>
          <w:top w:val="single" w:sz="4" w:space="0" w:color="C8A3C6"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5C375A" w:themeColor="accent6" w:themeShade="95"/>
        <w:sz w:val="22"/>
        <w:szCs w:val="22"/>
      </w:rPr>
      <w:tblPr/>
      <w:tcPr>
        <w:tcBorders>
          <w:top w:val="none" w:sz="0" w:space="0" w:color="auto"/>
          <w:left w:val="none" w:sz="0" w:space="0" w:color="auto"/>
          <w:bottom w:val="none" w:sz="0" w:space="0" w:color="auto"/>
          <w:right w:val="single" w:sz="4" w:space="0" w:color="C8A3C6" w:themeColor="accent6" w:themeTint="90"/>
        </w:tcBorders>
      </w:tcPr>
    </w:tblStylePr>
    <w:tblStylePr w:type="lastCol">
      <w:rPr>
        <w:rFonts w:ascii="Arial" w:hAnsi="Arial" w:cs="Arial" w:hint="default"/>
        <w:i/>
        <w:color w:val="5C375A" w:themeColor="accent6" w:themeShade="95"/>
        <w:sz w:val="22"/>
        <w:szCs w:val="22"/>
      </w:rPr>
      <w:tblPr/>
      <w:tcPr>
        <w:tcBorders>
          <w:top w:val="none" w:sz="0" w:space="0" w:color="auto"/>
          <w:left w:val="single" w:sz="4" w:space="0" w:color="C8A3C6" w:themeColor="accent6" w:themeTint="90"/>
          <w:bottom w:val="none" w:sz="0" w:space="0" w:color="auto"/>
          <w:right w:val="none" w:sz="0" w:space="0" w:color="auto"/>
        </w:tcBorders>
      </w:tcPr>
    </w:tblStylePr>
    <w:tblStylePr w:type="band1Vert">
      <w:tblPr/>
      <w:tcPr>
        <w:shd w:val="clear" w:color="auto" w:fill="EBDDEA" w:themeFill="accent6" w:themeFillTint="34"/>
      </w:tcPr>
    </w:tblStylePr>
    <w:tblStylePr w:type="band1Horz">
      <w:rPr>
        <w:rFonts w:ascii="Arial" w:hAnsi="Arial" w:cs="Arial" w:hint="default"/>
        <w:color w:val="5C375A" w:themeColor="accent6" w:themeShade="95"/>
        <w:sz w:val="22"/>
        <w:szCs w:val="22"/>
      </w:rPr>
      <w:tblPr/>
      <w:tcPr>
        <w:shd w:val="clear" w:color="auto" w:fill="EBDDEA" w:themeFill="accent6" w:themeFillTint="34"/>
      </w:tcPr>
    </w:tblStylePr>
    <w:tblStylePr w:type="band2Horz">
      <w:rPr>
        <w:rFonts w:ascii="Arial" w:hAnsi="Arial" w:cs="Arial" w:hint="default"/>
        <w:color w:val="5C375A" w:themeColor="accent6" w:themeShade="95"/>
        <w:sz w:val="22"/>
        <w:szCs w:val="22"/>
      </w:rPr>
    </w:tblStylePr>
  </w:style>
  <w:style w:type="table" w:customStyle="1" w:styleId="-71110">
    <w:name w:val="Список-таблица 7 цветная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7F7F7F" w:themeColor="text1" w:themeTint="80"/>
      </w:tblBorders>
    </w:tblPr>
    <w:tblStylePr w:type="firstRow">
      <w:rPr>
        <w:rFonts w:ascii="Arial" w:hAnsi="Arial" w:cs="Arial" w:hint="default"/>
        <w:i/>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i/>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tcPr>
    </w:tblStylePr>
    <w:tblStylePr w:type="band1Vert">
      <w:tblPr/>
      <w:tcPr>
        <w:shd w:val="clear" w:color="auto" w:fill="BFBFBF" w:themeFill="text1" w:themeFillTint="40"/>
      </w:tcPr>
    </w:tblStylePr>
    <w:tblStylePr w:type="band1Horz">
      <w:rPr>
        <w:rFonts w:ascii="Arial" w:hAnsi="Arial" w:cs="Arial" w:hint="default"/>
        <w:color w:val="7F7F7F" w:themeColor="text1" w:themeTint="80" w:themeShade="95"/>
        <w:sz w:val="22"/>
        <w:szCs w:val="22"/>
      </w:rPr>
      <w:tblPr/>
      <w:tcPr>
        <w:shd w:val="clear" w:color="auto" w:fill="BFBFBF" w:themeFill="text1" w:themeFillTint="40"/>
      </w:tcPr>
    </w:tblStylePr>
    <w:tblStylePr w:type="band2Horz">
      <w:rPr>
        <w:rFonts w:ascii="Arial" w:hAnsi="Arial" w:cs="Arial" w:hint="default"/>
        <w:color w:val="7F7F7F" w:themeColor="text1" w:themeTint="80" w:themeShade="95"/>
        <w:sz w:val="22"/>
        <w:szCs w:val="22"/>
      </w:rPr>
    </w:tblStylePr>
  </w:style>
  <w:style w:type="table" w:customStyle="1" w:styleId="ListTable7Colorful-Accent111">
    <w:name w:val="List Table 7 Colorful - Accent 1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B01513" w:themeColor="accent1"/>
      </w:tblBorders>
    </w:tblPr>
    <w:tblStylePr w:type="firstRow">
      <w:rPr>
        <w:rFonts w:ascii="Arial" w:hAnsi="Arial" w:cs="Arial" w:hint="default"/>
        <w:i/>
        <w:color w:val="660C0B" w:themeColor="accent1" w:themeShade="95"/>
        <w:sz w:val="22"/>
        <w:szCs w:val="22"/>
      </w:rPr>
      <w:tblPr/>
      <w:tcPr>
        <w:tcBorders>
          <w:top w:val="none" w:sz="0" w:space="0" w:color="auto"/>
          <w:left w:val="none" w:sz="0" w:space="0" w:color="auto"/>
          <w:bottom w:val="single" w:sz="4" w:space="0" w:color="B01513" w:themeColor="accent1"/>
          <w:right w:val="none" w:sz="0" w:space="0" w:color="auto"/>
        </w:tcBorders>
        <w:shd w:val="clear" w:color="auto" w:fill="FFFFFF" w:themeFill="light1"/>
      </w:tcPr>
    </w:tblStylePr>
    <w:tblStylePr w:type="lastRow">
      <w:rPr>
        <w:rFonts w:ascii="Arial" w:hAnsi="Arial" w:cs="Arial" w:hint="default"/>
        <w:i/>
        <w:color w:val="660C0B" w:themeColor="accent1" w:themeShade="95"/>
        <w:sz w:val="22"/>
        <w:szCs w:val="22"/>
      </w:rPr>
      <w:tblPr/>
      <w:tcPr>
        <w:tcBorders>
          <w:top w:val="single" w:sz="4" w:space="0" w:color="B01513"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660C0B" w:themeColor="accent1" w:themeShade="95"/>
        <w:sz w:val="22"/>
        <w:szCs w:val="22"/>
      </w:rPr>
      <w:tblPr/>
      <w:tcPr>
        <w:tcBorders>
          <w:top w:val="none" w:sz="0" w:space="0" w:color="auto"/>
          <w:left w:val="none" w:sz="0" w:space="0" w:color="auto"/>
          <w:bottom w:val="none" w:sz="0" w:space="0" w:color="auto"/>
          <w:right w:val="single" w:sz="4" w:space="0" w:color="B01513" w:themeColor="accent1"/>
        </w:tcBorders>
      </w:tcPr>
    </w:tblStylePr>
    <w:tblStylePr w:type="lastCol">
      <w:rPr>
        <w:rFonts w:ascii="Arial" w:hAnsi="Arial" w:cs="Arial" w:hint="default"/>
        <w:i/>
        <w:color w:val="660C0B" w:themeColor="accent1" w:themeShade="95"/>
        <w:sz w:val="22"/>
        <w:szCs w:val="22"/>
      </w:rPr>
      <w:tblPr/>
      <w:tcPr>
        <w:tcBorders>
          <w:top w:val="none" w:sz="0" w:space="0" w:color="auto"/>
          <w:left w:val="single" w:sz="4" w:space="0" w:color="B01513" w:themeColor="accent1"/>
          <w:bottom w:val="none" w:sz="0" w:space="0" w:color="auto"/>
          <w:right w:val="none" w:sz="0" w:space="0" w:color="auto"/>
        </w:tcBorders>
      </w:tcPr>
    </w:tblStylePr>
    <w:tblStylePr w:type="band1Vert">
      <w:tblPr/>
      <w:tcPr>
        <w:shd w:val="clear" w:color="auto" w:fill="F7B8B7" w:themeFill="accent1" w:themeFillTint="40"/>
      </w:tcPr>
    </w:tblStylePr>
    <w:tblStylePr w:type="band1Horz">
      <w:rPr>
        <w:rFonts w:ascii="Arial" w:hAnsi="Arial" w:cs="Arial" w:hint="default"/>
        <w:color w:val="660C0B" w:themeColor="accent1" w:themeShade="95"/>
        <w:sz w:val="22"/>
        <w:szCs w:val="22"/>
      </w:rPr>
      <w:tblPr/>
      <w:tcPr>
        <w:shd w:val="clear" w:color="auto" w:fill="F7B8B7" w:themeFill="accent1" w:themeFillTint="40"/>
      </w:tcPr>
    </w:tblStylePr>
    <w:tblStylePr w:type="band2Horz">
      <w:rPr>
        <w:rFonts w:ascii="Arial" w:hAnsi="Arial" w:cs="Arial" w:hint="default"/>
        <w:color w:val="660C0B" w:themeColor="accent1" w:themeShade="95"/>
        <w:sz w:val="22"/>
        <w:szCs w:val="22"/>
      </w:rPr>
    </w:tblStylePr>
  </w:style>
  <w:style w:type="table" w:customStyle="1" w:styleId="ListTable7Colorful-Accent211">
    <w:name w:val="List Table 7 Colorful - Accent 2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F4A170" w:themeColor="accent2" w:themeTint="97"/>
      </w:tblBorders>
    </w:tblPr>
    <w:tblStylePr w:type="firstRow">
      <w:rPr>
        <w:rFonts w:ascii="Arial" w:hAnsi="Arial" w:cs="Arial" w:hint="default"/>
        <w:i/>
        <w:color w:val="F4A170" w:themeColor="accent2" w:themeTint="97" w:themeShade="95"/>
        <w:sz w:val="22"/>
        <w:szCs w:val="22"/>
      </w:rPr>
      <w:tblPr/>
      <w:tcPr>
        <w:tcBorders>
          <w:top w:val="none" w:sz="0" w:space="0" w:color="auto"/>
          <w:left w:val="none" w:sz="0" w:space="0" w:color="auto"/>
          <w:bottom w:val="single" w:sz="4" w:space="0" w:color="F4A170" w:themeColor="accent2" w:themeTint="97"/>
          <w:right w:val="none" w:sz="0" w:space="0" w:color="auto"/>
        </w:tcBorders>
        <w:shd w:val="clear" w:color="auto" w:fill="FFFFFF" w:themeFill="light1"/>
      </w:tcPr>
    </w:tblStylePr>
    <w:tblStylePr w:type="lastRow">
      <w:rPr>
        <w:rFonts w:ascii="Arial" w:hAnsi="Arial" w:cs="Arial" w:hint="default"/>
        <w:i/>
        <w:color w:val="F4A170" w:themeColor="accent2" w:themeTint="97" w:themeShade="95"/>
        <w:sz w:val="22"/>
        <w:szCs w:val="22"/>
      </w:rPr>
      <w:tblPr/>
      <w:tcPr>
        <w:tcBorders>
          <w:top w:val="single" w:sz="4" w:space="0" w:color="F4A170"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4A170" w:themeColor="accent2" w:themeTint="97" w:themeShade="95"/>
        <w:sz w:val="22"/>
        <w:szCs w:val="22"/>
      </w:rPr>
      <w:tblPr/>
      <w:tcPr>
        <w:tcBorders>
          <w:top w:val="none" w:sz="0" w:space="0" w:color="auto"/>
          <w:left w:val="none" w:sz="0" w:space="0" w:color="auto"/>
          <w:bottom w:val="none" w:sz="0" w:space="0" w:color="auto"/>
          <w:right w:val="single" w:sz="4" w:space="0" w:color="F4A170" w:themeColor="accent2" w:themeTint="97"/>
        </w:tcBorders>
      </w:tcPr>
    </w:tblStylePr>
    <w:tblStylePr w:type="lastCol">
      <w:rPr>
        <w:rFonts w:ascii="Arial" w:hAnsi="Arial" w:cs="Arial" w:hint="default"/>
        <w:i/>
        <w:color w:val="F4A170" w:themeColor="accent2" w:themeTint="97" w:themeShade="95"/>
        <w:sz w:val="22"/>
        <w:szCs w:val="22"/>
      </w:rPr>
      <w:tblPr/>
      <w:tcPr>
        <w:tcBorders>
          <w:top w:val="none" w:sz="0" w:space="0" w:color="auto"/>
          <w:left w:val="single" w:sz="4" w:space="0" w:color="F4A170" w:themeColor="accent2" w:themeTint="97"/>
          <w:bottom w:val="none" w:sz="0" w:space="0" w:color="auto"/>
          <w:right w:val="none" w:sz="0" w:space="0" w:color="auto"/>
        </w:tcBorders>
      </w:tcPr>
    </w:tblStylePr>
    <w:tblStylePr w:type="band1Vert">
      <w:tblPr/>
      <w:tcPr>
        <w:shd w:val="clear" w:color="auto" w:fill="FAD7C2" w:themeFill="accent2" w:themeFillTint="40"/>
      </w:tcPr>
    </w:tblStylePr>
    <w:tblStylePr w:type="band1Horz">
      <w:rPr>
        <w:rFonts w:ascii="Arial" w:hAnsi="Arial" w:cs="Arial" w:hint="default"/>
        <w:color w:val="F4A170" w:themeColor="accent2" w:themeTint="97" w:themeShade="95"/>
        <w:sz w:val="22"/>
        <w:szCs w:val="22"/>
      </w:rPr>
      <w:tblPr/>
      <w:tcPr>
        <w:shd w:val="clear" w:color="auto" w:fill="FAD7C2" w:themeFill="accent2" w:themeFillTint="40"/>
      </w:tcPr>
    </w:tblStylePr>
    <w:tblStylePr w:type="band2Horz">
      <w:rPr>
        <w:rFonts w:ascii="Arial" w:hAnsi="Arial" w:cs="Arial" w:hint="default"/>
        <w:color w:val="F4A170" w:themeColor="accent2" w:themeTint="97" w:themeShade="95"/>
        <w:sz w:val="22"/>
        <w:szCs w:val="22"/>
      </w:rPr>
    </w:tblStylePr>
  </w:style>
  <w:style w:type="table" w:customStyle="1" w:styleId="ListTable7Colorful-Accent311">
    <w:name w:val="List Table 7 Colorful - Accent 3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F0D37F" w:themeColor="accent3" w:themeTint="98"/>
      </w:tblBorders>
    </w:tblPr>
    <w:tblStylePr w:type="firstRow">
      <w:rPr>
        <w:rFonts w:ascii="Arial" w:hAnsi="Arial" w:cs="Arial" w:hint="default"/>
        <w:i/>
        <w:color w:val="F0D37F" w:themeColor="accent3" w:themeTint="98" w:themeShade="95"/>
        <w:sz w:val="22"/>
        <w:szCs w:val="22"/>
      </w:rPr>
      <w:tblPr/>
      <w:tcPr>
        <w:tcBorders>
          <w:top w:val="none" w:sz="0" w:space="0" w:color="auto"/>
          <w:left w:val="none" w:sz="0" w:space="0" w:color="auto"/>
          <w:bottom w:val="single" w:sz="4" w:space="0" w:color="F0D37F" w:themeColor="accent3" w:themeTint="98"/>
          <w:right w:val="none" w:sz="0" w:space="0" w:color="auto"/>
        </w:tcBorders>
        <w:shd w:val="clear" w:color="auto" w:fill="FFFFFF" w:themeFill="light1"/>
      </w:tcPr>
    </w:tblStylePr>
    <w:tblStylePr w:type="lastRow">
      <w:rPr>
        <w:rFonts w:ascii="Arial" w:hAnsi="Arial" w:cs="Arial" w:hint="default"/>
        <w:i/>
        <w:color w:val="F0D37F" w:themeColor="accent3" w:themeTint="98" w:themeShade="95"/>
        <w:sz w:val="22"/>
        <w:szCs w:val="22"/>
      </w:rPr>
      <w:tblPr/>
      <w:tcPr>
        <w:tcBorders>
          <w:top w:val="single" w:sz="4" w:space="0" w:color="F0D37F"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F0D37F" w:themeColor="accent3" w:themeTint="98" w:themeShade="95"/>
        <w:sz w:val="22"/>
        <w:szCs w:val="22"/>
      </w:rPr>
      <w:tblPr/>
      <w:tcPr>
        <w:tcBorders>
          <w:top w:val="none" w:sz="0" w:space="0" w:color="auto"/>
          <w:left w:val="none" w:sz="0" w:space="0" w:color="auto"/>
          <w:bottom w:val="none" w:sz="0" w:space="0" w:color="auto"/>
          <w:right w:val="single" w:sz="4" w:space="0" w:color="F0D37F" w:themeColor="accent3" w:themeTint="98"/>
        </w:tcBorders>
      </w:tcPr>
    </w:tblStylePr>
    <w:tblStylePr w:type="lastCol">
      <w:rPr>
        <w:rFonts w:ascii="Arial" w:hAnsi="Arial" w:cs="Arial" w:hint="default"/>
        <w:i/>
        <w:color w:val="F0D37F" w:themeColor="accent3" w:themeTint="98" w:themeShade="95"/>
        <w:sz w:val="22"/>
        <w:szCs w:val="22"/>
      </w:rPr>
      <w:tblPr/>
      <w:tcPr>
        <w:tcBorders>
          <w:top w:val="none" w:sz="0" w:space="0" w:color="auto"/>
          <w:left w:val="single" w:sz="4" w:space="0" w:color="F0D37F" w:themeColor="accent3" w:themeTint="98"/>
          <w:bottom w:val="none" w:sz="0" w:space="0" w:color="auto"/>
          <w:right w:val="none" w:sz="0" w:space="0" w:color="auto"/>
        </w:tcBorders>
      </w:tcPr>
    </w:tblStylePr>
    <w:tblStylePr w:type="band1Vert">
      <w:tblPr/>
      <w:tcPr>
        <w:shd w:val="clear" w:color="auto" w:fill="F8ECC9" w:themeFill="accent3" w:themeFillTint="40"/>
      </w:tcPr>
    </w:tblStylePr>
    <w:tblStylePr w:type="band1Horz">
      <w:rPr>
        <w:rFonts w:ascii="Arial" w:hAnsi="Arial" w:cs="Arial" w:hint="default"/>
        <w:color w:val="F0D37F" w:themeColor="accent3" w:themeTint="98" w:themeShade="95"/>
        <w:sz w:val="22"/>
        <w:szCs w:val="22"/>
      </w:rPr>
      <w:tblPr/>
      <w:tcPr>
        <w:shd w:val="clear" w:color="auto" w:fill="F8ECC9" w:themeFill="accent3" w:themeFillTint="40"/>
      </w:tcPr>
    </w:tblStylePr>
    <w:tblStylePr w:type="band2Horz">
      <w:rPr>
        <w:rFonts w:ascii="Arial" w:hAnsi="Arial" w:cs="Arial" w:hint="default"/>
        <w:color w:val="F0D37F" w:themeColor="accent3" w:themeTint="98" w:themeShade="95"/>
        <w:sz w:val="22"/>
        <w:szCs w:val="22"/>
      </w:rPr>
    </w:tblStylePr>
  </w:style>
  <w:style w:type="table" w:customStyle="1" w:styleId="ListTable7Colorful-Accent411">
    <w:name w:val="List Table 7 Colorful - Accent 4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A4CCBB" w:themeColor="accent4" w:themeTint="9A"/>
      </w:tblBorders>
    </w:tblPr>
    <w:tblStylePr w:type="firstRow">
      <w:rPr>
        <w:rFonts w:ascii="Arial" w:hAnsi="Arial" w:cs="Arial" w:hint="default"/>
        <w:i/>
        <w:color w:val="A4CCBB" w:themeColor="accent4" w:themeTint="9A" w:themeShade="95"/>
        <w:sz w:val="22"/>
        <w:szCs w:val="22"/>
      </w:rPr>
      <w:tblPr/>
      <w:tcPr>
        <w:tcBorders>
          <w:top w:val="none" w:sz="0" w:space="0" w:color="auto"/>
          <w:left w:val="none" w:sz="0" w:space="0" w:color="auto"/>
          <w:bottom w:val="single" w:sz="4" w:space="0" w:color="A4CCBB" w:themeColor="accent4" w:themeTint="9A"/>
          <w:right w:val="none" w:sz="0" w:space="0" w:color="auto"/>
        </w:tcBorders>
        <w:shd w:val="clear" w:color="auto" w:fill="FFFFFF" w:themeFill="light1"/>
      </w:tcPr>
    </w:tblStylePr>
    <w:tblStylePr w:type="lastRow">
      <w:rPr>
        <w:rFonts w:ascii="Arial" w:hAnsi="Arial" w:cs="Arial" w:hint="default"/>
        <w:i/>
        <w:color w:val="A4CCBB" w:themeColor="accent4" w:themeTint="9A" w:themeShade="95"/>
        <w:sz w:val="22"/>
        <w:szCs w:val="22"/>
      </w:rPr>
      <w:tblPr/>
      <w:tcPr>
        <w:tcBorders>
          <w:top w:val="single" w:sz="4" w:space="0" w:color="A4CCBB"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A4CCBB" w:themeColor="accent4" w:themeTint="9A" w:themeShade="95"/>
        <w:sz w:val="22"/>
        <w:szCs w:val="22"/>
      </w:rPr>
      <w:tblPr/>
      <w:tcPr>
        <w:tcBorders>
          <w:top w:val="none" w:sz="0" w:space="0" w:color="auto"/>
          <w:left w:val="none" w:sz="0" w:space="0" w:color="auto"/>
          <w:bottom w:val="none" w:sz="0" w:space="0" w:color="auto"/>
          <w:right w:val="single" w:sz="4" w:space="0" w:color="A4CCBB" w:themeColor="accent4" w:themeTint="9A"/>
        </w:tcBorders>
      </w:tcPr>
    </w:tblStylePr>
    <w:tblStylePr w:type="lastCol">
      <w:rPr>
        <w:rFonts w:ascii="Arial" w:hAnsi="Arial" w:cs="Arial" w:hint="default"/>
        <w:i/>
        <w:color w:val="A4CCBB" w:themeColor="accent4" w:themeTint="9A" w:themeShade="95"/>
        <w:sz w:val="22"/>
        <w:szCs w:val="22"/>
      </w:rPr>
      <w:tblPr/>
      <w:tcPr>
        <w:tcBorders>
          <w:top w:val="none" w:sz="0" w:space="0" w:color="auto"/>
          <w:left w:val="single" w:sz="4" w:space="0" w:color="A4CCBB" w:themeColor="accent4" w:themeTint="9A"/>
          <w:bottom w:val="none" w:sz="0" w:space="0" w:color="auto"/>
          <w:right w:val="none" w:sz="0" w:space="0" w:color="auto"/>
        </w:tcBorders>
      </w:tcPr>
    </w:tblStylePr>
    <w:tblStylePr w:type="band1Vert">
      <w:tblPr/>
      <w:tcPr>
        <w:shd w:val="clear" w:color="auto" w:fill="D9EAE3" w:themeFill="accent4" w:themeFillTint="40"/>
      </w:tcPr>
    </w:tblStylePr>
    <w:tblStylePr w:type="band1Horz">
      <w:rPr>
        <w:rFonts w:ascii="Arial" w:hAnsi="Arial" w:cs="Arial" w:hint="default"/>
        <w:color w:val="A4CCBB" w:themeColor="accent4" w:themeTint="9A" w:themeShade="95"/>
        <w:sz w:val="22"/>
        <w:szCs w:val="22"/>
      </w:rPr>
      <w:tblPr/>
      <w:tcPr>
        <w:shd w:val="clear" w:color="auto" w:fill="D9EAE3" w:themeFill="accent4" w:themeFillTint="40"/>
      </w:tcPr>
    </w:tblStylePr>
    <w:tblStylePr w:type="band2Horz">
      <w:rPr>
        <w:rFonts w:ascii="Arial" w:hAnsi="Arial" w:cs="Arial" w:hint="default"/>
        <w:color w:val="A4CCBB" w:themeColor="accent4" w:themeTint="9A" w:themeShade="95"/>
        <w:sz w:val="22"/>
        <w:szCs w:val="22"/>
      </w:rPr>
    </w:tblStylePr>
  </w:style>
  <w:style w:type="table" w:customStyle="1" w:styleId="ListTable7Colorful-Accent511">
    <w:name w:val="List Table 7 Colorful - Accent 5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94B5C5" w:themeColor="accent5" w:themeTint="9A"/>
      </w:tblBorders>
    </w:tblPr>
    <w:tblStylePr w:type="firstRow">
      <w:rPr>
        <w:rFonts w:ascii="Arial" w:hAnsi="Arial" w:cs="Arial" w:hint="default"/>
        <w:i/>
        <w:color w:val="94B5C5" w:themeColor="accent5" w:themeTint="9A" w:themeShade="95"/>
        <w:sz w:val="22"/>
        <w:szCs w:val="22"/>
      </w:rPr>
      <w:tblPr/>
      <w:tcPr>
        <w:tcBorders>
          <w:top w:val="none" w:sz="0" w:space="0" w:color="auto"/>
          <w:left w:val="none" w:sz="0" w:space="0" w:color="auto"/>
          <w:bottom w:val="single" w:sz="4" w:space="0" w:color="94B5C5" w:themeColor="accent5" w:themeTint="9A"/>
          <w:right w:val="none" w:sz="0" w:space="0" w:color="auto"/>
        </w:tcBorders>
        <w:shd w:val="clear" w:color="auto" w:fill="FFFFFF" w:themeFill="light1"/>
      </w:tcPr>
    </w:tblStylePr>
    <w:tblStylePr w:type="lastRow">
      <w:rPr>
        <w:rFonts w:ascii="Arial" w:hAnsi="Arial" w:cs="Arial" w:hint="default"/>
        <w:i/>
        <w:color w:val="94B5C5" w:themeColor="accent5" w:themeTint="9A" w:themeShade="95"/>
        <w:sz w:val="22"/>
        <w:szCs w:val="22"/>
      </w:rPr>
      <w:tblPr/>
      <w:tcPr>
        <w:tcBorders>
          <w:top w:val="single" w:sz="4" w:space="0" w:color="94B5C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94B5C5" w:themeColor="accent5" w:themeTint="9A" w:themeShade="95"/>
        <w:sz w:val="22"/>
        <w:szCs w:val="22"/>
      </w:rPr>
      <w:tblPr/>
      <w:tcPr>
        <w:tcBorders>
          <w:top w:val="none" w:sz="0" w:space="0" w:color="auto"/>
          <w:left w:val="none" w:sz="0" w:space="0" w:color="auto"/>
          <w:bottom w:val="none" w:sz="0" w:space="0" w:color="auto"/>
          <w:right w:val="single" w:sz="4" w:space="0" w:color="94B5C5" w:themeColor="accent5" w:themeTint="9A"/>
        </w:tcBorders>
      </w:tcPr>
    </w:tblStylePr>
    <w:tblStylePr w:type="lastCol">
      <w:rPr>
        <w:rFonts w:ascii="Arial" w:hAnsi="Arial" w:cs="Arial" w:hint="default"/>
        <w:i/>
        <w:color w:val="94B5C5" w:themeColor="accent5" w:themeTint="9A" w:themeShade="95"/>
        <w:sz w:val="22"/>
        <w:szCs w:val="22"/>
      </w:rPr>
      <w:tblPr/>
      <w:tcPr>
        <w:tcBorders>
          <w:top w:val="none" w:sz="0" w:space="0" w:color="auto"/>
          <w:left w:val="single" w:sz="4" w:space="0" w:color="94B5C5" w:themeColor="accent5" w:themeTint="9A"/>
          <w:bottom w:val="none" w:sz="0" w:space="0" w:color="auto"/>
          <w:right w:val="none" w:sz="0" w:space="0" w:color="auto"/>
        </w:tcBorders>
      </w:tcPr>
    </w:tblStylePr>
    <w:tblStylePr w:type="band1Vert">
      <w:tblPr/>
      <w:tcPr>
        <w:shd w:val="clear" w:color="auto" w:fill="D2E0E7" w:themeFill="accent5" w:themeFillTint="40"/>
      </w:tcPr>
    </w:tblStylePr>
    <w:tblStylePr w:type="band1Horz">
      <w:rPr>
        <w:rFonts w:ascii="Arial" w:hAnsi="Arial" w:cs="Arial" w:hint="default"/>
        <w:color w:val="94B5C5" w:themeColor="accent5" w:themeTint="9A" w:themeShade="95"/>
        <w:sz w:val="22"/>
        <w:szCs w:val="22"/>
      </w:rPr>
      <w:tblPr/>
      <w:tcPr>
        <w:shd w:val="clear" w:color="auto" w:fill="D2E0E7" w:themeFill="accent5" w:themeFillTint="40"/>
      </w:tcPr>
    </w:tblStylePr>
    <w:tblStylePr w:type="band2Horz">
      <w:rPr>
        <w:rFonts w:ascii="Arial" w:hAnsi="Arial" w:cs="Arial" w:hint="default"/>
        <w:color w:val="94B5C5" w:themeColor="accent5" w:themeTint="9A" w:themeShade="95"/>
        <w:sz w:val="22"/>
        <w:szCs w:val="22"/>
      </w:rPr>
    </w:tblStylePr>
  </w:style>
  <w:style w:type="table" w:customStyle="1" w:styleId="ListTable7Colorful-Accent611">
    <w:name w:val="List Table 7 Colorful - Accent 611"/>
    <w:basedOn w:val="a5"/>
    <w:uiPriority w:val="99"/>
    <w:rsid w:val="004B4863"/>
    <w:pPr>
      <w:spacing w:after="0" w:line="240" w:lineRule="auto"/>
    </w:pPr>
    <w:rPr>
      <w:rFonts w:ascii="Century Gothic" w:hAnsi="Century Gothic" w:cs="Times New Roman"/>
    </w:rPr>
    <w:tblPr>
      <w:tblStyleRowBandSize w:val="1"/>
      <w:tblStyleColBandSize w:val="1"/>
      <w:tblInd w:w="0" w:type="nil"/>
      <w:tblBorders>
        <w:right w:val="single" w:sz="4" w:space="0" w:color="C59EC3" w:themeColor="accent6" w:themeTint="98"/>
      </w:tblBorders>
    </w:tblPr>
    <w:tblStylePr w:type="firstRow">
      <w:rPr>
        <w:rFonts w:ascii="Arial" w:hAnsi="Arial" w:cs="Arial" w:hint="default"/>
        <w:i/>
        <w:color w:val="C59EC3" w:themeColor="accent6" w:themeTint="98" w:themeShade="95"/>
        <w:sz w:val="22"/>
        <w:szCs w:val="22"/>
      </w:rPr>
      <w:tblPr/>
      <w:tcPr>
        <w:tcBorders>
          <w:top w:val="none" w:sz="0" w:space="0" w:color="auto"/>
          <w:left w:val="none" w:sz="0" w:space="0" w:color="auto"/>
          <w:bottom w:val="single" w:sz="4" w:space="0" w:color="C59EC3" w:themeColor="accent6" w:themeTint="98"/>
          <w:right w:val="none" w:sz="0" w:space="0" w:color="auto"/>
        </w:tcBorders>
        <w:shd w:val="clear" w:color="auto" w:fill="FFFFFF" w:themeFill="light1"/>
      </w:tcPr>
    </w:tblStylePr>
    <w:tblStylePr w:type="lastRow">
      <w:rPr>
        <w:rFonts w:ascii="Arial" w:hAnsi="Arial" w:cs="Arial" w:hint="default"/>
        <w:i/>
        <w:color w:val="C59EC3" w:themeColor="accent6" w:themeTint="98" w:themeShade="95"/>
        <w:sz w:val="22"/>
        <w:szCs w:val="22"/>
      </w:rPr>
      <w:tblPr/>
      <w:tcPr>
        <w:tcBorders>
          <w:top w:val="single" w:sz="4" w:space="0" w:color="C59EC3"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C59EC3" w:themeColor="accent6" w:themeTint="98" w:themeShade="95"/>
        <w:sz w:val="22"/>
        <w:szCs w:val="22"/>
      </w:rPr>
      <w:tblPr/>
      <w:tcPr>
        <w:tcBorders>
          <w:top w:val="none" w:sz="0" w:space="0" w:color="auto"/>
          <w:left w:val="none" w:sz="0" w:space="0" w:color="auto"/>
          <w:bottom w:val="none" w:sz="0" w:space="0" w:color="auto"/>
          <w:right w:val="single" w:sz="4" w:space="0" w:color="C59EC3" w:themeColor="accent6" w:themeTint="98"/>
        </w:tcBorders>
      </w:tcPr>
    </w:tblStylePr>
    <w:tblStylePr w:type="lastCol">
      <w:rPr>
        <w:rFonts w:ascii="Arial" w:hAnsi="Arial" w:cs="Arial" w:hint="default"/>
        <w:i/>
        <w:color w:val="C59EC3" w:themeColor="accent6" w:themeTint="98" w:themeShade="95"/>
        <w:sz w:val="22"/>
        <w:szCs w:val="22"/>
      </w:rPr>
      <w:tblPr/>
      <w:tcPr>
        <w:tcBorders>
          <w:top w:val="none" w:sz="0" w:space="0" w:color="auto"/>
          <w:left w:val="single" w:sz="4" w:space="0" w:color="C59EC3" w:themeColor="accent6" w:themeTint="98"/>
          <w:bottom w:val="none" w:sz="0" w:space="0" w:color="auto"/>
          <w:right w:val="none" w:sz="0" w:space="0" w:color="auto"/>
        </w:tcBorders>
      </w:tcPr>
    </w:tblStylePr>
    <w:tblStylePr w:type="band1Vert">
      <w:tblPr/>
      <w:tcPr>
        <w:shd w:val="clear" w:color="auto" w:fill="E6D6E6" w:themeFill="accent6" w:themeFillTint="40"/>
      </w:tcPr>
    </w:tblStylePr>
    <w:tblStylePr w:type="band1Horz">
      <w:rPr>
        <w:rFonts w:ascii="Arial" w:hAnsi="Arial" w:cs="Arial" w:hint="default"/>
        <w:color w:val="C59EC3" w:themeColor="accent6" w:themeTint="98" w:themeShade="95"/>
        <w:sz w:val="22"/>
        <w:szCs w:val="22"/>
      </w:rPr>
      <w:tblPr/>
      <w:tcPr>
        <w:shd w:val="clear" w:color="auto" w:fill="E6D6E6" w:themeFill="accent6" w:themeFillTint="40"/>
      </w:tcPr>
    </w:tblStylePr>
    <w:tblStylePr w:type="band2Horz">
      <w:rPr>
        <w:rFonts w:ascii="Arial" w:hAnsi="Arial" w:cs="Arial" w:hint="default"/>
        <w:color w:val="C59EC3" w:themeColor="accent6" w:themeTint="98" w:themeShade="95"/>
        <w:sz w:val="22"/>
        <w:szCs w:val="22"/>
      </w:rPr>
    </w:tblStylePr>
  </w:style>
  <w:style w:type="numbering" w:customStyle="1" w:styleId="WWNum11">
    <w:name w:val="WWNum11"/>
    <w:rsid w:val="004B4863"/>
  </w:style>
  <w:style w:type="numbering" w:customStyle="1" w:styleId="612">
    <w:name w:val="61"/>
    <w:rsid w:val="004B4863"/>
  </w:style>
  <w:style w:type="numbering" w:customStyle="1" w:styleId="513">
    <w:name w:val="Импортированный стиль 51"/>
    <w:rsid w:val="004B4863"/>
  </w:style>
  <w:style w:type="numbering" w:customStyle="1" w:styleId="WWNum61">
    <w:name w:val="WWNum61"/>
    <w:rsid w:val="004B4863"/>
  </w:style>
  <w:style w:type="table" w:customStyle="1" w:styleId="170">
    <w:name w:val="Сетка таблицы17"/>
    <w:basedOn w:val="a5"/>
    <w:next w:val="aff4"/>
    <w:uiPriority w:val="39"/>
    <w:rsid w:val="00B5646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5"/>
    <w:next w:val="aff4"/>
    <w:uiPriority w:val="39"/>
    <w:rsid w:val="006F2910"/>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6"/>
    <w:uiPriority w:val="99"/>
    <w:semiHidden/>
    <w:unhideWhenUsed/>
    <w:rsid w:val="00AB3E2D"/>
  </w:style>
  <w:style w:type="table" w:customStyle="1" w:styleId="190">
    <w:name w:val="Сетка таблицы19"/>
    <w:basedOn w:val="a5"/>
    <w:next w:val="aff4"/>
    <w:uiPriority w:val="59"/>
    <w:rsid w:val="00AB3E2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emibold">
    <w:name w:val="font-semibold"/>
    <w:basedOn w:val="a4"/>
    <w:rsid w:val="00AB3E2D"/>
  </w:style>
  <w:style w:type="paragraph" w:customStyle="1" w:styleId="min-w-0">
    <w:name w:val="min-w-0"/>
    <w:basedOn w:val="a3"/>
    <w:rsid w:val="00AB3E2D"/>
    <w:pPr>
      <w:spacing w:before="100" w:beforeAutospacing="1" w:after="100" w:afterAutospacing="1"/>
      <w:ind w:firstLine="0"/>
      <w:jc w:val="left"/>
    </w:pPr>
    <w:rPr>
      <w:rFonts w:eastAsia="Times New Roman" w:cs="Times New Roman"/>
      <w:sz w:val="24"/>
      <w:szCs w:val="24"/>
      <w:lang w:eastAsia="ru-RU"/>
    </w:rPr>
  </w:style>
  <w:style w:type="numbering" w:customStyle="1" w:styleId="132">
    <w:name w:val="Нет списка13"/>
    <w:next w:val="a6"/>
    <w:uiPriority w:val="99"/>
    <w:semiHidden/>
    <w:unhideWhenUsed/>
    <w:rsid w:val="00250BEC"/>
  </w:style>
  <w:style w:type="table" w:customStyle="1" w:styleId="-112">
    <w:name w:val="Список-таблица 1 светлая12"/>
    <w:basedOn w:val="a5"/>
    <w:uiPriority w:val="99"/>
    <w:rsid w:val="00250BEC"/>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Normal4">
    <w:name w:val="Table Normal4"/>
    <w:rsid w:val="00250BEC"/>
    <w:pPr>
      <w:pBdr>
        <w:top w:val="nil"/>
        <w:left w:val="nil"/>
        <w:bottom w:val="nil"/>
        <w:right w:val="nil"/>
        <w:between w:val="nil"/>
        <w:bar w:val="nil"/>
      </w:pBdr>
      <w:spacing w:after="8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200">
    <w:name w:val="Сетка таблицы20"/>
    <w:basedOn w:val="a5"/>
    <w:next w:val="aff4"/>
    <w:uiPriority w:val="3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Импортированный стиль 52"/>
    <w:rsid w:val="00250BEC"/>
  </w:style>
  <w:style w:type="numbering" w:customStyle="1" w:styleId="620">
    <w:name w:val="62"/>
    <w:rsid w:val="00250BEC"/>
  </w:style>
  <w:style w:type="table" w:customStyle="1" w:styleId="1100">
    <w:name w:val="Сетка таблицы110"/>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6"/>
    <w:uiPriority w:val="99"/>
    <w:semiHidden/>
    <w:unhideWhenUsed/>
    <w:rsid w:val="00250BEC"/>
  </w:style>
  <w:style w:type="table" w:customStyle="1" w:styleId="230">
    <w:name w:val="Сетка таблицы23"/>
    <w:basedOn w:val="a5"/>
    <w:next w:val="aff4"/>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5"/>
    <w:next w:val="aff4"/>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5"/>
    <w:next w:val="aff4"/>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62">
    <w:name w:val="WWNum62"/>
    <w:basedOn w:val="a6"/>
    <w:rsid w:val="00250BEC"/>
  </w:style>
  <w:style w:type="table" w:customStyle="1" w:styleId="-23">
    <w:name w:val="Светлая сетка - Акцент 23"/>
    <w:basedOn w:val="a5"/>
    <w:next w:val="-2"/>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3">
    <w:name w:val="Средняя сетка 3 - Акцент 23"/>
    <w:basedOn w:val="a5"/>
    <w:next w:val="3-2"/>
    <w:uiPriority w:val="69"/>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3">
    <w:name w:val="Средняя сетка 1 - Акцент 23"/>
    <w:basedOn w:val="a5"/>
    <w:next w:val="1-2"/>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3">
    <w:name w:val="Средняя сетка 1 - Акцент 13"/>
    <w:basedOn w:val="a5"/>
    <w:next w:val="1-1"/>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3">
    <w:name w:val="Средняя сетка 1 - Акцент 53"/>
    <w:basedOn w:val="a5"/>
    <w:next w:val="1-5"/>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30">
    <w:name w:val="Средняя заливка 1 - Акцент 53"/>
    <w:basedOn w:val="a5"/>
    <w:next w:val="1-5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3">
    <w:name w:val="Светлая сетка - Акцент 63"/>
    <w:basedOn w:val="a5"/>
    <w:next w:val="-6"/>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30">
    <w:name w:val="Светлая заливка - Акцент 23"/>
    <w:basedOn w:val="a5"/>
    <w:next w:val="-20"/>
    <w:uiPriority w:val="60"/>
    <w:rsid w:val="00250BEC"/>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31">
    <w:name w:val="Цветная заливка - Акцент 23"/>
    <w:basedOn w:val="a5"/>
    <w:next w:val="-21"/>
    <w:uiPriority w:val="71"/>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3">
    <w:name w:val="Цветная сетка - Акцент 53"/>
    <w:basedOn w:val="a5"/>
    <w:next w:val="-5"/>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3">
    <w:name w:val="Цветная сетка - Акцент 43"/>
    <w:basedOn w:val="a5"/>
    <w:next w:val="-4"/>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3f5">
    <w:name w:val="Светлая заливка3"/>
    <w:basedOn w:val="a5"/>
    <w:next w:val="affffc"/>
    <w:uiPriority w:val="60"/>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яя заливка 1 - Акцент 23"/>
    <w:basedOn w:val="a5"/>
    <w:next w:val="1-2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numbering" w:customStyle="1" w:styleId="21b">
    <w:name w:val="Нет списка21"/>
    <w:next w:val="a6"/>
    <w:uiPriority w:val="99"/>
    <w:semiHidden/>
    <w:unhideWhenUsed/>
    <w:rsid w:val="00250BEC"/>
  </w:style>
  <w:style w:type="table" w:customStyle="1" w:styleId="530">
    <w:name w:val="Сетка таблицы53"/>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
    <w:name w:val="Нет списка31"/>
    <w:next w:val="a6"/>
    <w:uiPriority w:val="99"/>
    <w:semiHidden/>
    <w:unhideWhenUsed/>
    <w:rsid w:val="00250BEC"/>
  </w:style>
  <w:style w:type="table" w:customStyle="1" w:styleId="621">
    <w:name w:val="Сетка таблицы62"/>
    <w:basedOn w:val="a5"/>
    <w:next w:val="aff4"/>
    <w:uiPriority w:val="39"/>
    <w:rsid w:val="00250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ветлая заливка - Акцент 12"/>
    <w:basedOn w:val="a5"/>
    <w:next w:val="-1"/>
    <w:uiPriority w:val="60"/>
    <w:rsid w:val="00250BEC"/>
    <w:pPr>
      <w:spacing w:after="0" w:line="240" w:lineRule="auto"/>
    </w:pPr>
    <w:rPr>
      <w:color w:val="830F0E" w:themeColor="accent1" w:themeShade="BF"/>
    </w:rPr>
    <w:tblPr>
      <w:tblStyleRowBandSize w:val="1"/>
      <w:tblStyleColBandSize w:val="1"/>
      <w:tblBorders>
        <w:top w:val="single" w:sz="8" w:space="0" w:color="B01513" w:themeColor="accent1"/>
        <w:bottom w:val="single" w:sz="8" w:space="0" w:color="B01513" w:themeColor="accent1"/>
      </w:tblBorders>
    </w:tblPr>
    <w:tblStylePr w:type="fir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la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B9B8" w:themeFill="accent1" w:themeFillTint="3F"/>
      </w:tcPr>
    </w:tblStylePr>
    <w:tblStylePr w:type="band1Horz">
      <w:tblPr/>
      <w:tcPr>
        <w:tcBorders>
          <w:left w:val="nil"/>
          <w:right w:val="nil"/>
          <w:insideH w:val="nil"/>
          <w:insideV w:val="nil"/>
        </w:tcBorders>
        <w:shd w:val="clear" w:color="auto" w:fill="F7B9B8" w:themeFill="accent1" w:themeFillTint="3F"/>
      </w:tcPr>
    </w:tblStylePr>
  </w:style>
  <w:style w:type="numbering" w:customStyle="1" w:styleId="413">
    <w:name w:val="Нет списка41"/>
    <w:next w:val="a6"/>
    <w:uiPriority w:val="99"/>
    <w:semiHidden/>
    <w:unhideWhenUsed/>
    <w:rsid w:val="00250BEC"/>
  </w:style>
  <w:style w:type="table" w:customStyle="1" w:styleId="1130">
    <w:name w:val="Сетка таблицы113"/>
    <w:basedOn w:val="a5"/>
    <w:next w:val="aff4"/>
    <w:uiPriority w:val="59"/>
    <w:rsid w:val="00250BE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6"/>
    <w:uiPriority w:val="99"/>
    <w:semiHidden/>
    <w:unhideWhenUsed/>
    <w:rsid w:val="00250BEC"/>
  </w:style>
  <w:style w:type="table" w:customStyle="1" w:styleId="720">
    <w:name w:val="Сетка таблицы72"/>
    <w:basedOn w:val="a5"/>
    <w:next w:val="aff4"/>
    <w:uiPriority w:val="59"/>
    <w:rsid w:val="00250BE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5"/>
    <w:next w:val="aff4"/>
    <w:uiPriority w:val="39"/>
    <w:rsid w:val="00250BE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
    <w:next w:val="a6"/>
    <w:uiPriority w:val="99"/>
    <w:semiHidden/>
    <w:unhideWhenUsed/>
    <w:rsid w:val="00250BEC"/>
  </w:style>
  <w:style w:type="table" w:customStyle="1" w:styleId="2130">
    <w:name w:val="Сетка таблицы213"/>
    <w:basedOn w:val="a5"/>
    <w:next w:val="aff4"/>
    <w:uiPriority w:val="5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ветлая сетка - Акцент 212"/>
    <w:basedOn w:val="a5"/>
    <w:next w:val="-2"/>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12">
    <w:name w:val="Средняя сетка 3 - Акцент 212"/>
    <w:basedOn w:val="a5"/>
    <w:next w:val="3-2"/>
    <w:uiPriority w:val="69"/>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12">
    <w:name w:val="Средняя сетка 1 - Акцент 212"/>
    <w:basedOn w:val="a5"/>
    <w:next w:val="1-2"/>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2">
    <w:name w:val="Средняя сетка 1 - Акцент 112"/>
    <w:basedOn w:val="a5"/>
    <w:next w:val="1-1"/>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12">
    <w:name w:val="Средняя сетка 1 - Акцент 512"/>
    <w:basedOn w:val="a5"/>
    <w:next w:val="1-5"/>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120">
    <w:name w:val="Средняя заливка 1 - Акцент 512"/>
    <w:basedOn w:val="a5"/>
    <w:next w:val="1-5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12">
    <w:name w:val="Светлая сетка - Акцент 612"/>
    <w:basedOn w:val="a5"/>
    <w:next w:val="-6"/>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21">
    <w:name w:val="Светлая заливка - Акцент 212"/>
    <w:basedOn w:val="a5"/>
    <w:next w:val="-20"/>
    <w:uiPriority w:val="60"/>
    <w:rsid w:val="00250BEC"/>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122">
    <w:name w:val="Цветная заливка - Акцент 212"/>
    <w:basedOn w:val="a5"/>
    <w:next w:val="-21"/>
    <w:uiPriority w:val="71"/>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12">
    <w:name w:val="Цветная сетка - Акцент 512"/>
    <w:basedOn w:val="a5"/>
    <w:next w:val="-5"/>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1120">
    <w:name w:val="Сетка таблицы1112"/>
    <w:basedOn w:val="a5"/>
    <w:next w:val="aff4"/>
    <w:uiPriority w:val="5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Цветная сетка - Акцент 412"/>
    <w:basedOn w:val="a5"/>
    <w:next w:val="-4"/>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23">
    <w:name w:val="Светлая заливка12"/>
    <w:basedOn w:val="a5"/>
    <w:next w:val="affffc"/>
    <w:uiPriority w:val="60"/>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яя заливка 1 - Акцент 212"/>
    <w:basedOn w:val="a5"/>
    <w:next w:val="1-2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5120">
    <w:name w:val="Сетка таблицы512"/>
    <w:basedOn w:val="a5"/>
    <w:next w:val="aff4"/>
    <w:uiPriority w:val="39"/>
    <w:unhideWhenUsed/>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5"/>
    <w:next w:val="aff4"/>
    <w:uiPriority w:val="59"/>
    <w:rsid w:val="00250BEC"/>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редний список 1 - Акцент 22"/>
    <w:basedOn w:val="a5"/>
    <w:next w:val="1-22"/>
    <w:uiPriority w:val="65"/>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820">
    <w:name w:val="Сетка таблицы82"/>
    <w:basedOn w:val="a5"/>
    <w:next w:val="aff4"/>
    <w:uiPriority w:val="3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
    <w:name w:val="Нет списка61"/>
    <w:next w:val="a6"/>
    <w:uiPriority w:val="99"/>
    <w:semiHidden/>
    <w:unhideWhenUsed/>
    <w:rsid w:val="00250BEC"/>
  </w:style>
  <w:style w:type="table" w:customStyle="1" w:styleId="920">
    <w:name w:val="Сетка таблицы92"/>
    <w:basedOn w:val="a5"/>
    <w:next w:val="aff4"/>
    <w:uiPriority w:val="5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6"/>
    <w:uiPriority w:val="99"/>
    <w:semiHidden/>
    <w:unhideWhenUsed/>
    <w:rsid w:val="00250BEC"/>
  </w:style>
  <w:style w:type="table" w:customStyle="1" w:styleId="TableGridLight2">
    <w:name w:val="Table Grid Light2"/>
    <w:basedOn w:val="a5"/>
    <w:uiPriority w:val="59"/>
    <w:rsid w:val="00250BE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21">
    <w:name w:val="Таблица простая 112"/>
    <w:basedOn w:val="a5"/>
    <w:uiPriority w:val="59"/>
    <w:rsid w:val="00250BE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21">
    <w:name w:val="Таблица простая 212"/>
    <w:basedOn w:val="a5"/>
    <w:uiPriority w:val="59"/>
    <w:rsid w:val="00250BEC"/>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20">
    <w:name w:val="Таблица простая 312"/>
    <w:basedOn w:val="a5"/>
    <w:uiPriority w:val="99"/>
    <w:rsid w:val="00250BEC"/>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20">
    <w:name w:val="Таблица простая 412"/>
    <w:basedOn w:val="a5"/>
    <w:uiPriority w:val="99"/>
    <w:rsid w:val="00250BEC"/>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21">
    <w:name w:val="Таблица простая 512"/>
    <w:basedOn w:val="a5"/>
    <w:uiPriority w:val="99"/>
    <w:rsid w:val="00250BEC"/>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20">
    <w:name w:val="Таблица-сетка 1 светлая12"/>
    <w:basedOn w:val="a5"/>
    <w:uiPriority w:val="99"/>
    <w:rsid w:val="00250BEC"/>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2">
    <w:name w:val="Grid Table 1 Light - Accent 12"/>
    <w:basedOn w:val="a5"/>
    <w:uiPriority w:val="99"/>
    <w:rsid w:val="00250BEC"/>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b/>
        <w:color w:val="404040"/>
      </w:rPr>
      <w:tblPr/>
      <w:tcPr>
        <w:tcBorders>
          <w:bottom w:val="single" w:sz="12" w:space="0" w:color="ED5A5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GridTable1Light-Accent22">
    <w:name w:val="Grid Table 1 Light - Accent 22"/>
    <w:basedOn w:val="a5"/>
    <w:uiPriority w:val="99"/>
    <w:rsid w:val="00250BEC"/>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b/>
        <w:color w:val="404040"/>
      </w:rPr>
      <w:tblPr/>
      <w:tcPr>
        <w:tcBorders>
          <w:bottom w:val="single" w:sz="12" w:space="0" w:color="F4A272"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GridTable1Light-Accent32">
    <w:name w:val="Grid Table 1 Light - Accent 32"/>
    <w:basedOn w:val="a5"/>
    <w:uiPriority w:val="99"/>
    <w:rsid w:val="00250BEC"/>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b/>
        <w:color w:val="404040"/>
      </w:rPr>
      <w:tblPr/>
      <w:tcPr>
        <w:tcBorders>
          <w:bottom w:val="single" w:sz="12" w:space="0" w:color="F0D481"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GridTable1Light-Accent42">
    <w:name w:val="Grid Table 1 Light - Accent 42"/>
    <w:basedOn w:val="a5"/>
    <w:uiPriority w:val="99"/>
    <w:rsid w:val="00250BEC"/>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b/>
        <w:color w:val="404040"/>
      </w:rPr>
      <w:tblPr/>
      <w:tcPr>
        <w:tcBorders>
          <w:bottom w:val="single" w:sz="12" w:space="0" w:color="A7CEBD"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GridTable1Light-Accent52">
    <w:name w:val="Grid Table 1 Light - Accent 52"/>
    <w:basedOn w:val="a5"/>
    <w:uiPriority w:val="99"/>
    <w:rsid w:val="00250BEC"/>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b/>
        <w:color w:val="404040"/>
      </w:rPr>
      <w:tblPr/>
      <w:tcPr>
        <w:tcBorders>
          <w:bottom w:val="single" w:sz="12" w:space="0" w:color="98B8C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GridTable1Light-Accent62">
    <w:name w:val="Grid Table 1 Light - Accent 62"/>
    <w:basedOn w:val="a5"/>
    <w:uiPriority w:val="99"/>
    <w:rsid w:val="00250BEC"/>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b/>
        <w:color w:val="404040"/>
      </w:rPr>
      <w:tblPr/>
      <w:tcPr>
        <w:tcBorders>
          <w:bottom w:val="single" w:sz="12" w:space="0" w:color="C6A0C4"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2123">
    <w:name w:val="Таблица-сетка 212"/>
    <w:basedOn w:val="a5"/>
    <w:uiPriority w:val="99"/>
    <w:rsid w:val="00250BE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2">
    <w:name w:val="Grid Table 2 - Accent 12"/>
    <w:basedOn w:val="a5"/>
    <w:uiPriority w:val="99"/>
    <w:rsid w:val="00250BEC"/>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single" w:sz="12" w:space="0" w:color="C71715" w:themeColor="accent1" w:themeTint="EA"/>
          <w:right w:val="none" w:sz="4" w:space="0" w:color="000000"/>
        </w:tcBorders>
        <w:shd w:val="clear" w:color="FFFFFF" w:fill="auto"/>
      </w:tcPr>
    </w:tblStylePr>
    <w:tblStylePr w:type="lastRow">
      <w:rPr>
        <w:b/>
        <w:color w:val="404040"/>
      </w:rPr>
      <w:tblPr/>
      <w:tcPr>
        <w:tcBorders>
          <w:top w:val="single" w:sz="4" w:space="0" w:color="C71715"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2-Accent22">
    <w:name w:val="Grid Table 2 - Accent 22"/>
    <w:basedOn w:val="a5"/>
    <w:uiPriority w:val="99"/>
    <w:rsid w:val="00250BEC"/>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single" w:sz="12" w:space="0" w:color="F4A170" w:themeColor="accent2" w:themeTint="97"/>
          <w:right w:val="none" w:sz="4" w:space="0" w:color="000000"/>
        </w:tcBorders>
        <w:shd w:val="clear" w:color="FFFFFF" w:fill="auto"/>
      </w:tcPr>
    </w:tblStylePr>
    <w:tblStylePr w:type="lastRow">
      <w:rPr>
        <w:b/>
        <w:color w:val="404040"/>
      </w:rPr>
      <w:tblPr/>
      <w:tcPr>
        <w:tcBorders>
          <w:top w:val="single" w:sz="4" w:space="0" w:color="F4A170"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2-Accent32">
    <w:name w:val="Grid Table 2 - Accent 32"/>
    <w:basedOn w:val="a5"/>
    <w:uiPriority w:val="99"/>
    <w:rsid w:val="00250BEC"/>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single" w:sz="12" w:space="0" w:color="E6B629" w:themeColor="accent3" w:themeTint="FE"/>
          <w:right w:val="none" w:sz="4" w:space="0" w:color="000000"/>
        </w:tcBorders>
        <w:shd w:val="clear" w:color="FFFFFF" w:fill="auto"/>
      </w:tcPr>
    </w:tblStylePr>
    <w:tblStylePr w:type="lastRow">
      <w:rPr>
        <w:b/>
        <w:color w:val="404040"/>
      </w:rPr>
      <w:tblPr/>
      <w:tcPr>
        <w:tcBorders>
          <w:top w:val="single" w:sz="4" w:space="0" w:color="E6B62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2-Accent42">
    <w:name w:val="Grid Table 2 - Accent 42"/>
    <w:basedOn w:val="a5"/>
    <w:uiPriority w:val="99"/>
    <w:rsid w:val="00250BEC"/>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single" w:sz="12" w:space="0" w:color="A4CCBB" w:themeColor="accent4" w:themeTint="9A"/>
          <w:right w:val="none" w:sz="4" w:space="0" w:color="000000"/>
        </w:tcBorders>
        <w:shd w:val="clear" w:color="FFFFFF" w:fill="auto"/>
      </w:tcPr>
    </w:tblStylePr>
    <w:tblStylePr w:type="lastRow">
      <w:rPr>
        <w:b/>
        <w:color w:val="404040"/>
      </w:rPr>
      <w:tblPr/>
      <w:tcPr>
        <w:tcBorders>
          <w:top w:val="single" w:sz="4" w:space="0" w:color="A4CCBB"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2-Accent52">
    <w:name w:val="Grid Table 2 - Accent 52"/>
    <w:basedOn w:val="a5"/>
    <w:uiPriority w:val="99"/>
    <w:rsid w:val="00250BEC"/>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single" w:sz="12" w:space="0" w:color="54849A" w:themeColor="accent5"/>
          <w:right w:val="none" w:sz="4" w:space="0" w:color="000000"/>
        </w:tcBorders>
        <w:shd w:val="clear" w:color="FFFFFF" w:fill="auto"/>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2-Accent62">
    <w:name w:val="Grid Table 2 - Accent 62"/>
    <w:basedOn w:val="a5"/>
    <w:uiPriority w:val="99"/>
    <w:rsid w:val="00250BEC"/>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single" w:sz="12" w:space="0" w:color="9E5E9B" w:themeColor="accent6"/>
          <w:right w:val="none" w:sz="4" w:space="0" w:color="000000"/>
        </w:tcBorders>
        <w:shd w:val="clear" w:color="FFFFFF" w:fill="auto"/>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312">
    <w:name w:val="Таблица-сетка 312"/>
    <w:basedOn w:val="a5"/>
    <w:uiPriority w:val="99"/>
    <w:rsid w:val="00250BE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2">
    <w:name w:val="Grid Table 3 - Accent 12"/>
    <w:basedOn w:val="a5"/>
    <w:uiPriority w:val="99"/>
    <w:rsid w:val="00250BEC"/>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3-Accent22">
    <w:name w:val="Grid Table 3 - Accent 22"/>
    <w:basedOn w:val="a5"/>
    <w:uiPriority w:val="99"/>
    <w:rsid w:val="00250BEC"/>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3-Accent32">
    <w:name w:val="Grid Table 3 - Accent 32"/>
    <w:basedOn w:val="a5"/>
    <w:uiPriority w:val="99"/>
    <w:rsid w:val="00250BEC"/>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3-Accent42">
    <w:name w:val="Grid Table 3 - Accent 42"/>
    <w:basedOn w:val="a5"/>
    <w:uiPriority w:val="99"/>
    <w:rsid w:val="00250BEC"/>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3-Accent52">
    <w:name w:val="Grid Table 3 - Accent 52"/>
    <w:basedOn w:val="a5"/>
    <w:uiPriority w:val="99"/>
    <w:rsid w:val="00250BEC"/>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3-Accent62">
    <w:name w:val="Grid Table 3 - Accent 62"/>
    <w:basedOn w:val="a5"/>
    <w:uiPriority w:val="99"/>
    <w:rsid w:val="00250BEC"/>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4120">
    <w:name w:val="Таблица-сетка 412"/>
    <w:basedOn w:val="a5"/>
    <w:uiPriority w:val="59"/>
    <w:rsid w:val="00250BEC"/>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2">
    <w:name w:val="Grid Table 4 - Accent 12"/>
    <w:basedOn w:val="a5"/>
    <w:uiPriority w:val="59"/>
    <w:rsid w:val="00250BEC"/>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insideV w:val="single" w:sz="4" w:space="0" w:color="ED605E" w:themeColor="accent1" w:themeTint="90"/>
      </w:tblBorders>
    </w:tblPr>
    <w:tblStylePr w:type="firstRow">
      <w:rPr>
        <w:rFonts w:ascii="Arial" w:hAnsi="Arial"/>
        <w:b/>
        <w:color w:val="FFFFFF"/>
        <w:sz w:val="22"/>
      </w:rPr>
      <w:tblPr/>
      <w:tcPr>
        <w:tcBorders>
          <w:top w:val="single" w:sz="4" w:space="0" w:color="C71715" w:themeColor="accent1" w:themeTint="EA"/>
          <w:left w:val="single" w:sz="4" w:space="0" w:color="C71715" w:themeColor="accent1" w:themeTint="EA"/>
          <w:bottom w:val="single" w:sz="4" w:space="0" w:color="C71715" w:themeColor="accent1" w:themeTint="EA"/>
          <w:right w:val="single" w:sz="4" w:space="0" w:color="C71715" w:themeColor="accent1" w:themeTint="EA"/>
        </w:tcBorders>
        <w:shd w:val="clear" w:color="C71715" w:themeColor="accent1" w:themeTint="EA" w:fill="C71715" w:themeFill="accent1" w:themeFillTint="EA"/>
      </w:tcPr>
    </w:tblStylePr>
    <w:tblStylePr w:type="lastRow">
      <w:rPr>
        <w:b/>
        <w:color w:val="404040"/>
      </w:rPr>
      <w:tblPr/>
      <w:tcPr>
        <w:tcBorders>
          <w:top w:val="single" w:sz="4" w:space="0" w:color="C71715"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C7C7" w:themeColor="accent1" w:themeTint="32" w:fill="F9C7C7" w:themeFill="accent1" w:themeFillTint="32"/>
      </w:tcPr>
    </w:tblStylePr>
    <w:tblStylePr w:type="band1Horz">
      <w:rPr>
        <w:rFonts w:ascii="Arial" w:hAnsi="Arial"/>
        <w:color w:val="404040"/>
        <w:sz w:val="22"/>
      </w:rPr>
      <w:tblPr/>
      <w:tcPr>
        <w:shd w:val="clear" w:color="F9C7C7" w:themeColor="accent1" w:themeTint="32" w:fill="F9C7C7" w:themeFill="accent1" w:themeFillTint="32"/>
      </w:tcPr>
    </w:tblStylePr>
  </w:style>
  <w:style w:type="table" w:customStyle="1" w:styleId="GridTable4-Accent22">
    <w:name w:val="Grid Table 4 - Accent 22"/>
    <w:basedOn w:val="a5"/>
    <w:uiPriority w:val="59"/>
    <w:rsid w:val="00250BEC"/>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insideV w:val="single" w:sz="4" w:space="0" w:color="F4A677" w:themeColor="accent2" w:themeTint="90"/>
      </w:tblBorders>
    </w:tblPr>
    <w:tblStylePr w:type="firstRow">
      <w:rPr>
        <w:rFonts w:ascii="Arial" w:hAnsi="Arial"/>
        <w:b/>
        <w:color w:val="FFFFFF"/>
        <w:sz w:val="22"/>
      </w:rPr>
      <w:tblPr/>
      <w:tcPr>
        <w:tc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cBorders>
        <w:shd w:val="clear" w:color="F4A170" w:themeColor="accent2" w:themeTint="97" w:fill="F4A170" w:themeFill="accent2" w:themeFillTint="97"/>
      </w:tcPr>
    </w:tblStylePr>
    <w:tblStylePr w:type="lastRow">
      <w:rPr>
        <w:b/>
        <w:color w:val="404040"/>
      </w:rPr>
      <w:tblPr/>
      <w:tcPr>
        <w:tcBorders>
          <w:top w:val="single" w:sz="4" w:space="0" w:color="F4A170"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4-Accent32">
    <w:name w:val="Grid Table 4 - Accent 32"/>
    <w:basedOn w:val="a5"/>
    <w:uiPriority w:val="59"/>
    <w:rsid w:val="00250BEC"/>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insideV w:val="single" w:sz="4" w:space="0" w:color="F1D686" w:themeColor="accent3" w:themeTint="90"/>
      </w:tblBorders>
    </w:tblPr>
    <w:tblStylePr w:type="firstRow">
      <w:rPr>
        <w:rFonts w:ascii="Arial" w:hAnsi="Arial"/>
        <w:b/>
        <w:color w:val="FFFFFF"/>
        <w:sz w:val="22"/>
      </w:rPr>
      <w:tblPr/>
      <w:tcPr>
        <w:tc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tcBorders>
        <w:shd w:val="clear" w:color="E6B629" w:themeColor="accent3" w:themeTint="FE" w:fill="E6B629" w:themeFill="accent3" w:themeFillTint="FE"/>
      </w:tcPr>
    </w:tblStylePr>
    <w:tblStylePr w:type="lastRow">
      <w:rPr>
        <w:b/>
        <w:color w:val="404040"/>
      </w:rPr>
      <w:tblPr/>
      <w:tcPr>
        <w:tcBorders>
          <w:top w:val="single" w:sz="4" w:space="0" w:color="E6B62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4-Accent42">
    <w:name w:val="Grid Table 4 - Accent 42"/>
    <w:basedOn w:val="a5"/>
    <w:uiPriority w:val="59"/>
    <w:rsid w:val="00250BEC"/>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insideV w:val="single" w:sz="4" w:space="0" w:color="AAD0C0" w:themeColor="accent4" w:themeTint="90"/>
      </w:tblBorders>
    </w:tblPr>
    <w:tblStylePr w:type="firstRow">
      <w:rPr>
        <w:rFonts w:ascii="Arial" w:hAnsi="Arial"/>
        <w:b/>
        <w:color w:val="FFFFFF"/>
        <w:sz w:val="22"/>
      </w:rPr>
      <w:tblPr/>
      <w:tcPr>
        <w:tc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cBorders>
        <w:shd w:val="clear" w:color="A4CCBB" w:themeColor="accent4" w:themeTint="9A" w:fill="A4CCBB" w:themeFill="accent4" w:themeFillTint="9A"/>
      </w:tcPr>
    </w:tblStylePr>
    <w:tblStylePr w:type="lastRow">
      <w:rPr>
        <w:b/>
        <w:color w:val="404040"/>
      </w:rPr>
      <w:tblPr/>
      <w:tcPr>
        <w:tcBorders>
          <w:top w:val="single" w:sz="4" w:space="0" w:color="A4CCBB"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4-Accent52">
    <w:name w:val="Grid Table 4 - Accent 52"/>
    <w:basedOn w:val="a5"/>
    <w:uiPriority w:val="59"/>
    <w:rsid w:val="00250BEC"/>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FFFFFF"/>
        <w:sz w:val="22"/>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tcBorders>
        <w:shd w:val="clear" w:color="54849A" w:themeColor="accent5" w:fill="54849A" w:themeFill="accent5"/>
      </w:tcPr>
    </w:tblStylePr>
    <w:tblStylePr w:type="lastRow">
      <w:rPr>
        <w:b/>
        <w:color w:val="404040"/>
      </w:rPr>
      <w:tblPr/>
      <w:tcPr>
        <w:tcBorders>
          <w:top w:val="single" w:sz="4" w:space="0" w:color="54849A"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4-Accent62">
    <w:name w:val="Grid Table 4 - Accent 62"/>
    <w:basedOn w:val="a5"/>
    <w:uiPriority w:val="59"/>
    <w:rsid w:val="00250BEC"/>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FFFFFF"/>
        <w:sz w:val="22"/>
      </w:rPr>
      <w:tblPr/>
      <w:tcPr>
        <w:tcBorders>
          <w:top w:val="single" w:sz="4" w:space="0" w:color="9E5E9B" w:themeColor="accent6"/>
          <w:left w:val="single" w:sz="4" w:space="0" w:color="9E5E9B" w:themeColor="accent6"/>
          <w:bottom w:val="single" w:sz="4" w:space="0" w:color="9E5E9B" w:themeColor="accent6"/>
          <w:right w:val="single" w:sz="4" w:space="0" w:color="9E5E9B" w:themeColor="accent6"/>
        </w:tcBorders>
        <w:shd w:val="clear" w:color="9E5E9B" w:themeColor="accent6" w:fill="9E5E9B" w:themeFill="accent6"/>
      </w:tcPr>
    </w:tblStylePr>
    <w:tblStylePr w:type="lastRow">
      <w:rPr>
        <w:b/>
        <w:color w:val="404040"/>
      </w:rPr>
      <w:tblPr/>
      <w:tcPr>
        <w:tcBorders>
          <w:top w:val="single" w:sz="4" w:space="0" w:color="9E5E9B"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5120">
    <w:name w:val="Таблица-сетка 5 темная1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2">
    <w:name w:val="Grid Table 5 Dark- Accent 1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8C5C4" w:themeColor="accent1" w:themeTint="34" w:fill="F8C5C4" w:themeFill="accent1" w:themeFillTint="34"/>
    </w:tblPr>
    <w:tblStylePr w:type="firstRow">
      <w:rPr>
        <w:rFonts w:ascii="Arial" w:hAnsi="Arial"/>
        <w:b/>
        <w:color w:val="FFFFFF"/>
        <w:sz w:val="22"/>
      </w:rPr>
      <w:tblPr/>
      <w:tcPr>
        <w:shd w:val="clear" w:color="B01513" w:themeColor="accent1" w:fill="B01513" w:themeFill="accent1"/>
      </w:tcPr>
    </w:tblStylePr>
    <w:tblStylePr w:type="lastRow">
      <w:rPr>
        <w:rFonts w:ascii="Arial" w:hAnsi="Arial"/>
        <w:b/>
        <w:color w:val="FFFFFF"/>
        <w:sz w:val="22"/>
      </w:rPr>
      <w:tblPr/>
      <w:tcPr>
        <w:tcBorders>
          <w:top w:val="single" w:sz="4" w:space="0" w:color="FFFFFF" w:themeColor="light1"/>
        </w:tcBorders>
        <w:shd w:val="clear" w:color="B01513" w:themeColor="accent1" w:fill="B01513" w:themeFill="accent1"/>
      </w:tcPr>
    </w:tblStylePr>
    <w:tblStylePr w:type="firstCol">
      <w:rPr>
        <w:rFonts w:ascii="Arial" w:hAnsi="Arial"/>
        <w:b/>
        <w:color w:val="FFFFFF"/>
        <w:sz w:val="22"/>
      </w:rPr>
      <w:tblPr/>
      <w:tcPr>
        <w:shd w:val="clear" w:color="B01513" w:themeColor="accent1" w:fill="B01513" w:themeFill="accent1"/>
      </w:tcPr>
    </w:tblStylePr>
    <w:tblStylePr w:type="lastCol">
      <w:rPr>
        <w:rFonts w:ascii="Arial" w:hAnsi="Arial"/>
        <w:b/>
        <w:color w:val="FFFFFF"/>
        <w:sz w:val="22"/>
      </w:rPr>
      <w:tblPr/>
      <w:tcPr>
        <w:shd w:val="clear" w:color="B01513" w:themeColor="accent1" w:fill="B01513" w:themeFill="accent1"/>
      </w:tcPr>
    </w:tblStylePr>
    <w:tblStylePr w:type="band1Vert">
      <w:tblPr/>
      <w:tcPr>
        <w:shd w:val="clear" w:color="F17D7C" w:themeColor="accent1" w:themeTint="75" w:fill="F17D7C" w:themeFill="accent1" w:themeFillTint="75"/>
      </w:tcPr>
    </w:tblStylePr>
    <w:tblStylePr w:type="band1Horz">
      <w:tblPr/>
      <w:tcPr>
        <w:shd w:val="clear" w:color="F17D7C" w:themeColor="accent1" w:themeTint="75" w:fill="F17D7C" w:themeFill="accent1" w:themeFillTint="75"/>
      </w:tcPr>
    </w:tblStylePr>
  </w:style>
  <w:style w:type="table" w:customStyle="1" w:styleId="GridTable5Dark-Accent22">
    <w:name w:val="Grid Table 5 Dark - Accent 2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0CF" w:themeColor="accent2" w:themeTint="32" w:fill="FBE0CF" w:themeFill="accent2" w:themeFillTint="32"/>
    </w:tblPr>
    <w:tblStylePr w:type="firstRow">
      <w:rPr>
        <w:rFonts w:ascii="Arial" w:hAnsi="Arial"/>
        <w:b/>
        <w:color w:val="FFFFFF"/>
        <w:sz w:val="22"/>
      </w:rPr>
      <w:tblPr/>
      <w:tcPr>
        <w:shd w:val="clear" w:color="EA6312" w:themeColor="accent2" w:fill="EA6312" w:themeFill="accent2"/>
      </w:tcPr>
    </w:tblStylePr>
    <w:tblStylePr w:type="lastRow">
      <w:rPr>
        <w:rFonts w:ascii="Arial" w:hAnsi="Arial"/>
        <w:b/>
        <w:color w:val="FFFFFF"/>
        <w:sz w:val="22"/>
      </w:rPr>
      <w:tblPr/>
      <w:tcPr>
        <w:tcBorders>
          <w:top w:val="single" w:sz="4" w:space="0" w:color="FFFFFF" w:themeColor="light1"/>
        </w:tcBorders>
        <w:shd w:val="clear" w:color="EA6312" w:themeColor="accent2" w:fill="EA6312" w:themeFill="accent2"/>
      </w:tcPr>
    </w:tblStylePr>
    <w:tblStylePr w:type="firstCol">
      <w:rPr>
        <w:rFonts w:ascii="Arial" w:hAnsi="Arial"/>
        <w:b/>
        <w:color w:val="FFFFFF"/>
        <w:sz w:val="22"/>
      </w:rPr>
      <w:tblPr/>
      <w:tcPr>
        <w:shd w:val="clear" w:color="EA6312" w:themeColor="accent2" w:fill="EA6312" w:themeFill="accent2"/>
      </w:tcPr>
    </w:tblStylePr>
    <w:tblStylePr w:type="lastCol">
      <w:rPr>
        <w:rFonts w:ascii="Arial" w:hAnsi="Arial"/>
        <w:b/>
        <w:color w:val="FFFFFF"/>
        <w:sz w:val="22"/>
      </w:rPr>
      <w:tblPr/>
      <w:tcPr>
        <w:shd w:val="clear" w:color="EA6312" w:themeColor="accent2" w:fill="EA6312" w:themeFill="accent2"/>
      </w:tcPr>
    </w:tblStylePr>
    <w:tblStylePr w:type="band1Vert">
      <w:tblPr/>
      <w:tcPr>
        <w:shd w:val="clear" w:color="F6B690" w:themeColor="accent2" w:themeTint="75" w:fill="F6B690" w:themeFill="accent2" w:themeFillTint="75"/>
      </w:tcPr>
    </w:tblStylePr>
    <w:tblStylePr w:type="band1Horz">
      <w:tblPr/>
      <w:tcPr>
        <w:shd w:val="clear" w:color="F6B690" w:themeColor="accent2" w:themeTint="75" w:fill="F6B690" w:themeFill="accent2" w:themeFillTint="75"/>
      </w:tcPr>
    </w:tblStylePr>
  </w:style>
  <w:style w:type="table" w:customStyle="1" w:styleId="GridTable5Dark-Accent32">
    <w:name w:val="Grid Table 5 Dark - Accent 3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F0D3" w:themeColor="accent3" w:themeTint="34" w:fill="FAF0D3" w:themeFill="accent3" w:themeFillTint="34"/>
    </w:tblPr>
    <w:tblStylePr w:type="firstRow">
      <w:rPr>
        <w:rFonts w:ascii="Arial" w:hAnsi="Arial"/>
        <w:b/>
        <w:color w:val="FFFFFF"/>
        <w:sz w:val="22"/>
      </w:rPr>
      <w:tblPr/>
      <w:tcPr>
        <w:shd w:val="clear" w:color="E6B729" w:themeColor="accent3" w:fill="E6B729" w:themeFill="accent3"/>
      </w:tcPr>
    </w:tblStylePr>
    <w:tblStylePr w:type="lastRow">
      <w:rPr>
        <w:rFonts w:ascii="Arial" w:hAnsi="Arial"/>
        <w:b/>
        <w:color w:val="FFFFFF"/>
        <w:sz w:val="22"/>
      </w:rPr>
      <w:tblPr/>
      <w:tcPr>
        <w:tcBorders>
          <w:top w:val="single" w:sz="4" w:space="0" w:color="FFFFFF" w:themeColor="light1"/>
        </w:tcBorders>
        <w:shd w:val="clear" w:color="E6B729" w:themeColor="accent3" w:fill="E6B729" w:themeFill="accent3"/>
      </w:tcPr>
    </w:tblStylePr>
    <w:tblStylePr w:type="firstCol">
      <w:rPr>
        <w:rFonts w:ascii="Arial" w:hAnsi="Arial"/>
        <w:b/>
        <w:color w:val="FFFFFF"/>
        <w:sz w:val="22"/>
      </w:rPr>
      <w:tblPr/>
      <w:tcPr>
        <w:shd w:val="clear" w:color="E6B729" w:themeColor="accent3" w:fill="E6B729" w:themeFill="accent3"/>
      </w:tcPr>
    </w:tblStylePr>
    <w:tblStylePr w:type="lastCol">
      <w:rPr>
        <w:rFonts w:ascii="Arial" w:hAnsi="Arial"/>
        <w:b/>
        <w:color w:val="FFFFFF"/>
        <w:sz w:val="22"/>
      </w:rPr>
      <w:tblPr/>
      <w:tcPr>
        <w:shd w:val="clear" w:color="E6B729" w:themeColor="accent3" w:fill="E6B729" w:themeFill="accent3"/>
      </w:tcPr>
    </w:tblStylePr>
    <w:tblStylePr w:type="band1Vert">
      <w:tblPr/>
      <w:tcPr>
        <w:shd w:val="clear" w:color="F3DD9C" w:themeColor="accent3" w:themeTint="75" w:fill="F3DD9C" w:themeFill="accent3" w:themeFillTint="75"/>
      </w:tcPr>
    </w:tblStylePr>
    <w:tblStylePr w:type="band1Horz">
      <w:tblPr/>
      <w:tcPr>
        <w:shd w:val="clear" w:color="F3DD9C" w:themeColor="accent3" w:themeTint="75" w:fill="F3DD9C" w:themeFill="accent3" w:themeFillTint="75"/>
      </w:tcPr>
    </w:tblStylePr>
  </w:style>
  <w:style w:type="table" w:customStyle="1" w:styleId="GridTable5Dark-Accent42">
    <w:name w:val="Grid Table 5 Dark- Accent 4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0EEE8" w:themeColor="accent4" w:themeTint="34" w:fill="E0EEE8" w:themeFill="accent4" w:themeFillTint="34"/>
    </w:tblPr>
    <w:tblStylePr w:type="firstRow">
      <w:rPr>
        <w:rFonts w:ascii="Arial" w:hAnsi="Arial"/>
        <w:b/>
        <w:color w:val="FFFFFF"/>
        <w:sz w:val="22"/>
      </w:rPr>
      <w:tblPr/>
      <w:tcPr>
        <w:shd w:val="clear" w:color="6AAC90" w:themeColor="accent4" w:fill="6AAC90" w:themeFill="accent4"/>
      </w:tcPr>
    </w:tblStylePr>
    <w:tblStylePr w:type="lastRow">
      <w:rPr>
        <w:rFonts w:ascii="Arial" w:hAnsi="Arial"/>
        <w:b/>
        <w:color w:val="FFFFFF"/>
        <w:sz w:val="22"/>
      </w:rPr>
      <w:tblPr/>
      <w:tcPr>
        <w:tcBorders>
          <w:top w:val="single" w:sz="4" w:space="0" w:color="FFFFFF" w:themeColor="light1"/>
        </w:tcBorders>
        <w:shd w:val="clear" w:color="6AAC90" w:themeColor="accent4" w:fill="6AAC90" w:themeFill="accent4"/>
      </w:tcPr>
    </w:tblStylePr>
    <w:tblStylePr w:type="firstCol">
      <w:rPr>
        <w:rFonts w:ascii="Arial" w:hAnsi="Arial"/>
        <w:b/>
        <w:color w:val="FFFFFF"/>
        <w:sz w:val="22"/>
      </w:rPr>
      <w:tblPr/>
      <w:tcPr>
        <w:shd w:val="clear" w:color="6AAC90" w:themeColor="accent4" w:fill="6AAC90" w:themeFill="accent4"/>
      </w:tcPr>
    </w:tblStylePr>
    <w:tblStylePr w:type="lastCol">
      <w:rPr>
        <w:rFonts w:ascii="Arial" w:hAnsi="Arial"/>
        <w:b/>
        <w:color w:val="FFFFFF"/>
        <w:sz w:val="22"/>
      </w:rPr>
      <w:tblPr/>
      <w:tcPr>
        <w:shd w:val="clear" w:color="6AAC90" w:themeColor="accent4" w:fill="6AAC90" w:themeFill="accent4"/>
      </w:tcPr>
    </w:tblStylePr>
    <w:tblStylePr w:type="band1Vert">
      <w:tblPr/>
      <w:tcPr>
        <w:shd w:val="clear" w:color="BAD8CB" w:themeColor="accent4" w:themeTint="75" w:fill="BAD8CB" w:themeFill="accent4" w:themeFillTint="75"/>
      </w:tcPr>
    </w:tblStylePr>
    <w:tblStylePr w:type="band1Horz">
      <w:tblPr/>
      <w:tcPr>
        <w:shd w:val="clear" w:color="BAD8CB" w:themeColor="accent4" w:themeTint="75" w:fill="BAD8CB" w:themeFill="accent4" w:themeFillTint="75"/>
      </w:tcPr>
    </w:tblStylePr>
  </w:style>
  <w:style w:type="table" w:customStyle="1" w:styleId="GridTable5Dark-Accent52">
    <w:name w:val="Grid Table 5 Dark - Accent 5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6EB" w:themeColor="accent5" w:themeTint="34" w:fill="DAE6EB" w:themeFill="accent5" w:themeFillTint="34"/>
    </w:tblPr>
    <w:tblStylePr w:type="firstRow">
      <w:rPr>
        <w:rFonts w:ascii="Arial" w:hAnsi="Arial"/>
        <w:b/>
        <w:color w:val="FFFFFF"/>
        <w:sz w:val="22"/>
      </w:rPr>
      <w:tblPr/>
      <w:tcPr>
        <w:shd w:val="clear" w:color="54849A" w:themeColor="accent5" w:fill="54849A" w:themeFill="accent5"/>
      </w:tcPr>
    </w:tblStylePr>
    <w:tblStylePr w:type="lastRow">
      <w:rPr>
        <w:rFonts w:ascii="Arial" w:hAnsi="Arial"/>
        <w:b/>
        <w:color w:val="FFFFFF"/>
        <w:sz w:val="22"/>
      </w:rPr>
      <w:tblPr/>
      <w:tcPr>
        <w:tcBorders>
          <w:top w:val="single" w:sz="4" w:space="0" w:color="FFFFFF" w:themeColor="light1"/>
        </w:tcBorders>
        <w:shd w:val="clear" w:color="54849A" w:themeColor="accent5" w:fill="54849A" w:themeFill="accent5"/>
      </w:tcPr>
    </w:tblStylePr>
    <w:tblStylePr w:type="firstCol">
      <w:rPr>
        <w:rFonts w:ascii="Arial" w:hAnsi="Arial"/>
        <w:b/>
        <w:color w:val="FFFFFF"/>
        <w:sz w:val="22"/>
      </w:rPr>
      <w:tblPr/>
      <w:tcPr>
        <w:shd w:val="clear" w:color="54849A" w:themeColor="accent5" w:fill="54849A" w:themeFill="accent5"/>
      </w:tcPr>
    </w:tblStylePr>
    <w:tblStylePr w:type="lastCol">
      <w:rPr>
        <w:rFonts w:ascii="Arial" w:hAnsi="Arial"/>
        <w:b/>
        <w:color w:val="FFFFFF"/>
        <w:sz w:val="22"/>
      </w:rPr>
      <w:tblPr/>
      <w:tcPr>
        <w:shd w:val="clear" w:color="54849A" w:themeColor="accent5" w:fill="54849A" w:themeFill="accent5"/>
      </w:tcPr>
    </w:tblStylePr>
    <w:tblStylePr w:type="band1Vert">
      <w:tblPr/>
      <w:tcPr>
        <w:shd w:val="clear" w:color="AEC7D3" w:themeColor="accent5" w:themeTint="75" w:fill="AEC7D3" w:themeFill="accent5" w:themeFillTint="75"/>
      </w:tcPr>
    </w:tblStylePr>
    <w:tblStylePr w:type="band1Horz">
      <w:tblPr/>
      <w:tcPr>
        <w:shd w:val="clear" w:color="AEC7D3" w:themeColor="accent5" w:themeTint="75" w:fill="AEC7D3" w:themeFill="accent5" w:themeFillTint="75"/>
      </w:tcPr>
    </w:tblStylePr>
  </w:style>
  <w:style w:type="table" w:customStyle="1" w:styleId="GridTable5Dark-Accent62">
    <w:name w:val="Grid Table 5 Dark - Accent 62"/>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BDDEA" w:themeColor="accent6" w:themeTint="34" w:fill="EBDDEA" w:themeFill="accent6" w:themeFillTint="34"/>
    </w:tblPr>
    <w:tblStylePr w:type="firstRow">
      <w:rPr>
        <w:rFonts w:ascii="Arial" w:hAnsi="Arial"/>
        <w:b/>
        <w:color w:val="FFFFFF"/>
        <w:sz w:val="22"/>
      </w:rPr>
      <w:tblPr/>
      <w:tcPr>
        <w:shd w:val="clear" w:color="9E5E9B" w:themeColor="accent6" w:fill="9E5E9B" w:themeFill="accent6"/>
      </w:tcPr>
    </w:tblStylePr>
    <w:tblStylePr w:type="lastRow">
      <w:rPr>
        <w:rFonts w:ascii="Arial" w:hAnsi="Arial"/>
        <w:b/>
        <w:color w:val="FFFFFF"/>
        <w:sz w:val="22"/>
      </w:rPr>
      <w:tblPr/>
      <w:tcPr>
        <w:tcBorders>
          <w:top w:val="single" w:sz="4" w:space="0" w:color="FFFFFF" w:themeColor="light1"/>
        </w:tcBorders>
        <w:shd w:val="clear" w:color="9E5E9B" w:themeColor="accent6" w:fill="9E5E9B" w:themeFill="accent6"/>
      </w:tcPr>
    </w:tblStylePr>
    <w:tblStylePr w:type="firstCol">
      <w:rPr>
        <w:rFonts w:ascii="Arial" w:hAnsi="Arial"/>
        <w:b/>
        <w:color w:val="FFFFFF"/>
        <w:sz w:val="22"/>
      </w:rPr>
      <w:tblPr/>
      <w:tcPr>
        <w:shd w:val="clear" w:color="9E5E9B" w:themeColor="accent6" w:fill="9E5E9B" w:themeFill="accent6"/>
      </w:tcPr>
    </w:tblStylePr>
    <w:tblStylePr w:type="lastCol">
      <w:rPr>
        <w:rFonts w:ascii="Arial" w:hAnsi="Arial"/>
        <w:b/>
        <w:color w:val="FFFFFF"/>
        <w:sz w:val="22"/>
      </w:rPr>
      <w:tblPr/>
      <w:tcPr>
        <w:shd w:val="clear" w:color="9E5E9B" w:themeColor="accent6" w:fill="9E5E9B" w:themeFill="accent6"/>
      </w:tcPr>
    </w:tblStylePr>
    <w:tblStylePr w:type="band1Vert">
      <w:tblPr/>
      <w:tcPr>
        <w:shd w:val="clear" w:color="D2B4D1" w:themeColor="accent6" w:themeTint="75" w:fill="D2B4D1" w:themeFill="accent6" w:themeFillTint="75"/>
      </w:tcPr>
    </w:tblStylePr>
    <w:tblStylePr w:type="band1Horz">
      <w:tblPr/>
      <w:tcPr>
        <w:shd w:val="clear" w:color="D2B4D1" w:themeColor="accent6" w:themeTint="75" w:fill="D2B4D1" w:themeFill="accent6" w:themeFillTint="75"/>
      </w:tcPr>
    </w:tblStylePr>
  </w:style>
  <w:style w:type="table" w:customStyle="1" w:styleId="-6120">
    <w:name w:val="Таблица-сетка 6 цветная12"/>
    <w:basedOn w:val="a5"/>
    <w:uiPriority w:val="99"/>
    <w:rsid w:val="00250BEC"/>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2">
    <w:name w:val="Grid Table 6 Colorful - Accent 12"/>
    <w:basedOn w:val="a5"/>
    <w:uiPriority w:val="99"/>
    <w:rsid w:val="00250BEC"/>
    <w:pPr>
      <w:spacing w:after="0" w:line="240" w:lineRule="auto"/>
    </w:pPr>
    <w:tblPr>
      <w:tblStyleRowBandSize w:val="1"/>
      <w:tblStyleColBandSize w:val="1"/>
      <w:tblBorders>
        <w:top w:val="single" w:sz="4" w:space="0" w:color="EF7170" w:themeColor="accent1" w:themeTint="80"/>
        <w:left w:val="single" w:sz="4" w:space="0" w:color="EF7170" w:themeColor="accent1" w:themeTint="80"/>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b/>
        <w:color w:val="EF7170" w:themeColor="accent1" w:themeTint="80" w:themeShade="95"/>
      </w:rPr>
      <w:tblPr/>
      <w:tcPr>
        <w:tcBorders>
          <w:bottom w:val="single" w:sz="12" w:space="0" w:color="EF7170" w:themeColor="accent1" w:themeTint="80"/>
        </w:tcBorders>
      </w:tcPr>
    </w:tblStylePr>
    <w:tblStylePr w:type="lastRow">
      <w:rPr>
        <w:b/>
        <w:color w:val="EF7170" w:themeColor="accent1" w:themeTint="80" w:themeShade="95"/>
      </w:rPr>
    </w:tblStylePr>
    <w:tblStylePr w:type="firstCol">
      <w:rPr>
        <w:b/>
        <w:color w:val="EF7170" w:themeColor="accent1" w:themeTint="80" w:themeShade="95"/>
      </w:rPr>
    </w:tblStylePr>
    <w:tblStylePr w:type="lastCol">
      <w:rPr>
        <w:b/>
        <w:color w:val="EF7170" w:themeColor="accent1" w:themeTint="80" w:themeShade="95"/>
      </w:r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6Colorful-Accent22">
    <w:name w:val="Grid Table 6 Colorful - Accent 22"/>
    <w:basedOn w:val="a5"/>
    <w:uiPriority w:val="99"/>
    <w:rsid w:val="00250BEC"/>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F4A170" w:themeColor="accent2" w:themeTint="97" w:themeShade="95"/>
      </w:rPr>
      <w:tblPr/>
      <w:tcPr>
        <w:tcBorders>
          <w:bottom w:val="single" w:sz="12" w:space="0" w:color="F4A170" w:themeColor="accent2" w:themeTint="97"/>
        </w:tcBorders>
      </w:tcPr>
    </w:tblStylePr>
    <w:tblStylePr w:type="lastRow">
      <w:rPr>
        <w:b/>
        <w:color w:val="F4A170" w:themeColor="accent2" w:themeTint="97" w:themeShade="95"/>
      </w:r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6Colorful-Accent32">
    <w:name w:val="Grid Table 6 Colorful - Accent 32"/>
    <w:basedOn w:val="a5"/>
    <w:uiPriority w:val="99"/>
    <w:rsid w:val="00250BEC"/>
    <w:pPr>
      <w:spacing w:after="0" w:line="240" w:lineRule="auto"/>
    </w:pPr>
    <w:tblPr>
      <w:tblStyleRowBandSize w:val="1"/>
      <w:tblStyleColBandSize w:val="1"/>
      <w:tbl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E6B629" w:themeColor="accent3" w:themeTint="FE" w:themeShade="95"/>
      </w:rPr>
      <w:tblPr/>
      <w:tcPr>
        <w:tcBorders>
          <w:bottom w:val="single" w:sz="12" w:space="0" w:color="E6B629" w:themeColor="accent3" w:themeTint="FE"/>
        </w:tcBorders>
      </w:tcPr>
    </w:tblStylePr>
    <w:tblStylePr w:type="lastRow">
      <w:rPr>
        <w:b/>
        <w:color w:val="E6B629" w:themeColor="accent3" w:themeTint="FE" w:themeShade="95"/>
      </w:rPr>
    </w:tblStylePr>
    <w:tblStylePr w:type="firstCol">
      <w:rPr>
        <w:b/>
        <w:color w:val="E6B629" w:themeColor="accent3" w:themeTint="FE" w:themeShade="95"/>
      </w:rPr>
    </w:tblStylePr>
    <w:tblStylePr w:type="lastCol">
      <w:rPr>
        <w:b/>
        <w:color w:val="E6B629" w:themeColor="accent3" w:themeTint="FE" w:themeShade="95"/>
      </w:r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6Colorful-Accent42">
    <w:name w:val="Grid Table 6 Colorful - Accent 42"/>
    <w:basedOn w:val="a5"/>
    <w:uiPriority w:val="99"/>
    <w:rsid w:val="00250BEC"/>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A4CCBB" w:themeColor="accent4" w:themeTint="9A" w:themeShade="95"/>
      </w:rPr>
      <w:tblPr/>
      <w:tcPr>
        <w:tcBorders>
          <w:bottom w:val="single" w:sz="12" w:space="0" w:color="A4CCBB" w:themeColor="accent4" w:themeTint="9A"/>
        </w:tcBorders>
      </w:tcPr>
    </w:tblStylePr>
    <w:tblStylePr w:type="lastRow">
      <w:rPr>
        <w:b/>
        <w:color w:val="A4CCBB" w:themeColor="accent4" w:themeTint="9A" w:themeShade="95"/>
      </w:r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6Colorful-Accent52">
    <w:name w:val="Grid Table 6 Colorful - Accent 52"/>
    <w:basedOn w:val="a5"/>
    <w:uiPriority w:val="99"/>
    <w:rsid w:val="00250BEC"/>
    <w:pPr>
      <w:spacing w:after="0" w:line="240" w:lineRule="auto"/>
    </w:pPr>
    <w:tblPr>
      <w:tblStyleRowBandSize w:val="1"/>
      <w:tblStyleColBandSize w:val="1"/>
      <w:tblBorders>
        <w:top w:val="single" w:sz="4" w:space="0" w:color="54849A" w:themeColor="accent5"/>
        <w:left w:val="single" w:sz="4" w:space="0" w:color="54849A" w:themeColor="accent5"/>
        <w:bottom w:val="single" w:sz="4" w:space="0" w:color="54849A" w:themeColor="accent5"/>
        <w:right w:val="single" w:sz="4" w:space="0" w:color="54849A" w:themeColor="accent5"/>
        <w:insideH w:val="single" w:sz="4" w:space="0" w:color="54849A" w:themeColor="accent5"/>
        <w:insideV w:val="single" w:sz="4" w:space="0" w:color="54849A" w:themeColor="accent5"/>
      </w:tblBorders>
    </w:tblPr>
    <w:tblStylePr w:type="firstRow">
      <w:rPr>
        <w:b/>
        <w:color w:val="314C59" w:themeColor="accent5" w:themeShade="95"/>
      </w:rPr>
      <w:tblPr/>
      <w:tcPr>
        <w:tcBorders>
          <w:bottom w:val="single" w:sz="12" w:space="0" w:color="54849A" w:themeColor="accent5"/>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6Colorful-Accent62">
    <w:name w:val="Grid Table 6 Colorful - Accent 62"/>
    <w:basedOn w:val="a5"/>
    <w:uiPriority w:val="99"/>
    <w:rsid w:val="00250BEC"/>
    <w:pPr>
      <w:spacing w:after="0" w:line="240" w:lineRule="auto"/>
    </w:pPr>
    <w:tblPr>
      <w:tblStyleRowBandSize w:val="1"/>
      <w:tblStyleColBandSize w:val="1"/>
      <w:tblBorders>
        <w:top w:val="single" w:sz="4" w:space="0" w:color="9E5E9B" w:themeColor="accent6"/>
        <w:left w:val="single" w:sz="4" w:space="0" w:color="9E5E9B" w:themeColor="accent6"/>
        <w:bottom w:val="single" w:sz="4" w:space="0" w:color="9E5E9B" w:themeColor="accent6"/>
        <w:right w:val="single" w:sz="4" w:space="0" w:color="9E5E9B" w:themeColor="accent6"/>
        <w:insideH w:val="single" w:sz="4" w:space="0" w:color="9E5E9B" w:themeColor="accent6"/>
        <w:insideV w:val="single" w:sz="4" w:space="0" w:color="9E5E9B" w:themeColor="accent6"/>
      </w:tblBorders>
    </w:tblPr>
    <w:tblStylePr w:type="firstRow">
      <w:rPr>
        <w:b/>
        <w:color w:val="314C59" w:themeColor="accent5" w:themeShade="95"/>
      </w:rPr>
      <w:tblPr/>
      <w:tcPr>
        <w:tcBorders>
          <w:bottom w:val="single" w:sz="12" w:space="0" w:color="9E5E9B" w:themeColor="accent6"/>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EBDDEA" w:themeColor="accent6" w:themeTint="34" w:fill="EBDDEA" w:themeFill="accent6" w:themeFillTint="34"/>
      </w:tcPr>
    </w:tblStylePr>
    <w:tblStylePr w:type="band1Horz">
      <w:rPr>
        <w:rFonts w:ascii="Arial" w:hAnsi="Arial"/>
        <w:color w:val="314C59" w:themeColor="accent5" w:themeShade="95"/>
        <w:sz w:val="22"/>
      </w:rPr>
      <w:tblPr/>
      <w:tcPr>
        <w:shd w:val="clear" w:color="EBDDEA" w:themeColor="accent6" w:themeTint="34" w:fill="EBDDEA" w:themeFill="accent6" w:themeFillTint="34"/>
      </w:tcPr>
    </w:tblStylePr>
    <w:tblStylePr w:type="band2Horz">
      <w:rPr>
        <w:rFonts w:ascii="Arial" w:hAnsi="Arial"/>
        <w:color w:val="314C59" w:themeColor="accent5" w:themeShade="95"/>
        <w:sz w:val="22"/>
      </w:rPr>
    </w:tblStylePr>
  </w:style>
  <w:style w:type="table" w:customStyle="1" w:styleId="-712">
    <w:name w:val="Таблица-сетка 7 цветная12"/>
    <w:basedOn w:val="a5"/>
    <w:uiPriority w:val="99"/>
    <w:rsid w:val="00250BEC"/>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2">
    <w:name w:val="Grid Table 7 Colorful - Accent 12"/>
    <w:basedOn w:val="a5"/>
    <w:uiPriority w:val="99"/>
    <w:rsid w:val="00250BEC"/>
    <w:pPr>
      <w:spacing w:after="0" w:line="240" w:lineRule="auto"/>
    </w:pPr>
    <w:tblPr>
      <w:tblStyleRowBandSize w:val="1"/>
      <w:tblStyleColBandSize w:val="1"/>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b/>
        <w:color w:val="EF7170" w:themeColor="accent1" w:themeTint="80" w:themeShade="95"/>
        <w:sz w:val="22"/>
      </w:rPr>
      <w:tblPr/>
      <w:tcPr>
        <w:tcBorders>
          <w:top w:val="none" w:sz="4" w:space="0" w:color="000000"/>
          <w:left w:val="none" w:sz="4" w:space="0" w:color="000000"/>
          <w:bottom w:val="single" w:sz="4" w:space="0" w:color="EF7170" w:themeColor="accent1" w:themeTint="80"/>
          <w:right w:val="none" w:sz="4" w:space="0" w:color="000000"/>
        </w:tcBorders>
        <w:shd w:val="clear" w:color="FFFFFF" w:themeColor="light1" w:fill="FFFFFF" w:themeFill="light1"/>
      </w:tcPr>
    </w:tblStylePr>
    <w:tblStylePr w:type="lastRow">
      <w:rPr>
        <w:rFonts w:ascii="Arial" w:hAnsi="Arial"/>
        <w:b/>
        <w:color w:val="EF7170" w:themeColor="accent1" w:themeTint="80" w:themeShade="95"/>
        <w:sz w:val="22"/>
      </w:rPr>
      <w:tblPr/>
      <w:tcPr>
        <w:tcBorders>
          <w:top w:val="single" w:sz="4" w:space="0" w:color="EF7170"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7170" w:themeColor="accent1" w:themeTint="80" w:themeShade="95"/>
        <w:sz w:val="22"/>
      </w:rPr>
      <w:tblPr/>
      <w:tcPr>
        <w:tcBorders>
          <w:top w:val="none" w:sz="4" w:space="0" w:color="000000"/>
          <w:left w:val="none" w:sz="4" w:space="0" w:color="000000"/>
          <w:bottom w:val="none" w:sz="4" w:space="0" w:color="000000"/>
          <w:right w:val="single" w:sz="4" w:space="0" w:color="EF7170" w:themeColor="accent1" w:themeTint="80"/>
        </w:tcBorders>
        <w:shd w:val="clear" w:color="FFFFFF" w:fill="auto"/>
      </w:tcPr>
    </w:tblStylePr>
    <w:tblStylePr w:type="lastCol">
      <w:rPr>
        <w:rFonts w:ascii="Arial" w:hAnsi="Arial"/>
        <w:i/>
        <w:color w:val="EF7170" w:themeColor="accent1" w:themeTint="80" w:themeShade="95"/>
        <w:sz w:val="22"/>
      </w:rPr>
      <w:tblPr/>
      <w:tcPr>
        <w:tcBorders>
          <w:top w:val="none" w:sz="4" w:space="0" w:color="000000"/>
          <w:left w:val="single" w:sz="4" w:space="0" w:color="EF7170" w:themeColor="accent1" w:themeTint="80"/>
          <w:bottom w:val="none" w:sz="4" w:space="0" w:color="000000"/>
          <w:right w:val="none" w:sz="4" w:space="0" w:color="000000"/>
        </w:tcBorders>
        <w:shd w:val="clear" w:color="FFFFFF" w:fill="auto"/>
      </w:tc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7Colorful-Accent22">
    <w:name w:val="Grid Table 7 Colorful - Accent 22"/>
    <w:basedOn w:val="a5"/>
    <w:uiPriority w:val="99"/>
    <w:rsid w:val="00250BEC"/>
    <w:pPr>
      <w:spacing w:after="0" w:line="240" w:lineRule="auto"/>
    </w:pPr>
    <w:tblPr>
      <w:tblStyleRowBandSize w:val="1"/>
      <w:tblStyleColBandSize w:val="1"/>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b/>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b/>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7Colorful-Accent32">
    <w:name w:val="Grid Table 7 Colorful - Accent 32"/>
    <w:basedOn w:val="a5"/>
    <w:uiPriority w:val="99"/>
    <w:rsid w:val="00250BEC"/>
    <w:pPr>
      <w:spacing w:after="0" w:line="240" w:lineRule="auto"/>
    </w:pPr>
    <w:tblPr>
      <w:tblStyleRowBandSize w:val="1"/>
      <w:tblStyleColBandSize w:val="1"/>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b/>
        <w:color w:val="E6B629" w:themeColor="accent3" w:themeTint="FE" w:themeShade="95"/>
        <w:sz w:val="22"/>
      </w:rPr>
      <w:tblPr/>
      <w:tcPr>
        <w:tcBorders>
          <w:top w:val="none" w:sz="4" w:space="0" w:color="000000"/>
          <w:left w:val="none" w:sz="4" w:space="0" w:color="000000"/>
          <w:bottom w:val="single" w:sz="4" w:space="0" w:color="E6B629" w:themeColor="accent3" w:themeTint="FE"/>
          <w:right w:val="none" w:sz="4" w:space="0" w:color="000000"/>
        </w:tcBorders>
        <w:shd w:val="clear" w:color="FFFFFF" w:themeColor="light1" w:fill="FFFFFF" w:themeFill="light1"/>
      </w:tcPr>
    </w:tblStylePr>
    <w:tblStylePr w:type="lastRow">
      <w:rPr>
        <w:rFonts w:ascii="Arial" w:hAnsi="Arial"/>
        <w:b/>
        <w:color w:val="E6B629" w:themeColor="accent3" w:themeTint="FE" w:themeShade="95"/>
        <w:sz w:val="22"/>
      </w:rPr>
      <w:tblPr/>
      <w:tcPr>
        <w:tcBorders>
          <w:top w:val="single" w:sz="4" w:space="0" w:color="E6B62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6B629" w:themeColor="accent3" w:themeTint="FE" w:themeShade="95"/>
        <w:sz w:val="22"/>
      </w:rPr>
      <w:tblPr/>
      <w:tcPr>
        <w:tcBorders>
          <w:top w:val="none" w:sz="4" w:space="0" w:color="000000"/>
          <w:left w:val="none" w:sz="4" w:space="0" w:color="000000"/>
          <w:bottom w:val="none" w:sz="4" w:space="0" w:color="000000"/>
          <w:right w:val="single" w:sz="4" w:space="0" w:color="E6B629" w:themeColor="accent3" w:themeTint="FE"/>
        </w:tcBorders>
        <w:shd w:val="clear" w:color="FFFFFF" w:fill="auto"/>
      </w:tcPr>
    </w:tblStylePr>
    <w:tblStylePr w:type="lastCol">
      <w:rPr>
        <w:rFonts w:ascii="Arial" w:hAnsi="Arial"/>
        <w:i/>
        <w:color w:val="E6B629" w:themeColor="accent3" w:themeTint="FE" w:themeShade="95"/>
        <w:sz w:val="22"/>
      </w:rPr>
      <w:tblPr/>
      <w:tcPr>
        <w:tcBorders>
          <w:top w:val="none" w:sz="4" w:space="0" w:color="000000"/>
          <w:left w:val="single" w:sz="4" w:space="0" w:color="E6B629" w:themeColor="accent3" w:themeTint="FE"/>
          <w:bottom w:val="none" w:sz="4" w:space="0" w:color="000000"/>
          <w:right w:val="none" w:sz="4" w:space="0" w:color="000000"/>
        </w:tcBorders>
        <w:shd w:val="clear" w:color="FFFFFF" w:fill="auto"/>
      </w:tc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7Colorful-Accent42">
    <w:name w:val="Grid Table 7 Colorful - Accent 42"/>
    <w:basedOn w:val="a5"/>
    <w:uiPriority w:val="99"/>
    <w:rsid w:val="00250BEC"/>
    <w:pPr>
      <w:spacing w:after="0" w:line="240" w:lineRule="auto"/>
    </w:pPr>
    <w:tblPr>
      <w:tblStyleRowBandSize w:val="1"/>
      <w:tblStyleColBandSize w:val="1"/>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b/>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b/>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7Colorful-Accent52">
    <w:name w:val="Grid Table 7 Colorful - Accent 52"/>
    <w:basedOn w:val="a5"/>
    <w:uiPriority w:val="99"/>
    <w:rsid w:val="00250BEC"/>
    <w:pPr>
      <w:spacing w:after="0" w:line="240" w:lineRule="auto"/>
    </w:pPr>
    <w:tblPr>
      <w:tblStyleRowBandSize w:val="1"/>
      <w:tblStyleColBandSize w:val="1"/>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314C59" w:themeColor="accent5" w:themeShade="95"/>
        <w:sz w:val="22"/>
      </w:rPr>
      <w:tblPr/>
      <w:tcPr>
        <w:tcBorders>
          <w:top w:val="none" w:sz="4" w:space="0" w:color="000000"/>
          <w:left w:val="none" w:sz="4" w:space="0" w:color="000000"/>
          <w:bottom w:val="single" w:sz="4" w:space="0" w:color="9BBAC8" w:themeColor="accent5" w:themeTint="90"/>
          <w:right w:val="none" w:sz="4" w:space="0" w:color="000000"/>
        </w:tcBorders>
        <w:shd w:val="clear" w:color="FFFFFF" w:themeColor="light1" w:fill="FFFFFF" w:themeFill="light1"/>
      </w:tcPr>
    </w:tblStylePr>
    <w:tblStylePr w:type="lastRow">
      <w:rPr>
        <w:rFonts w:ascii="Arial" w:hAnsi="Arial"/>
        <w:b/>
        <w:color w:val="314C59" w:themeColor="accent5" w:themeShade="95"/>
        <w:sz w:val="22"/>
      </w:rPr>
      <w:tblPr/>
      <w:tcPr>
        <w:tcBorders>
          <w:top w:val="single" w:sz="4" w:space="0" w:color="9BBAC8"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14C59" w:themeColor="accent5" w:themeShade="95"/>
        <w:sz w:val="22"/>
      </w:rPr>
      <w:tblPr/>
      <w:tcPr>
        <w:tcBorders>
          <w:top w:val="none" w:sz="4" w:space="0" w:color="000000"/>
          <w:left w:val="none" w:sz="4" w:space="0" w:color="000000"/>
          <w:bottom w:val="none" w:sz="4" w:space="0" w:color="000000"/>
          <w:right w:val="single" w:sz="4" w:space="0" w:color="9BBAC8" w:themeColor="accent5" w:themeTint="90"/>
        </w:tcBorders>
        <w:shd w:val="clear" w:color="FFFFFF" w:fill="auto"/>
      </w:tcPr>
    </w:tblStylePr>
    <w:tblStylePr w:type="lastCol">
      <w:rPr>
        <w:rFonts w:ascii="Arial" w:hAnsi="Arial"/>
        <w:i/>
        <w:color w:val="314C59" w:themeColor="accent5" w:themeShade="95"/>
        <w:sz w:val="22"/>
      </w:rPr>
      <w:tblPr/>
      <w:tcPr>
        <w:tcBorders>
          <w:top w:val="none" w:sz="4" w:space="0" w:color="000000"/>
          <w:left w:val="single" w:sz="4" w:space="0" w:color="9BBAC8" w:themeColor="accent5" w:themeTint="90"/>
          <w:bottom w:val="none" w:sz="4" w:space="0" w:color="000000"/>
          <w:right w:val="none" w:sz="4" w:space="0" w:color="000000"/>
        </w:tcBorders>
        <w:shd w:val="clear" w:color="FFFFFF" w:fill="auto"/>
      </w:tc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7Colorful-Accent62">
    <w:name w:val="Grid Table 7 Colorful - Accent 62"/>
    <w:basedOn w:val="a5"/>
    <w:uiPriority w:val="99"/>
    <w:rsid w:val="00250BEC"/>
    <w:pPr>
      <w:spacing w:after="0" w:line="240" w:lineRule="auto"/>
    </w:pPr>
    <w:tblPr>
      <w:tblStyleRowBandSize w:val="1"/>
      <w:tblStyleColBandSize w:val="1"/>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5C375A" w:themeColor="accent6" w:themeShade="95"/>
        <w:sz w:val="22"/>
      </w:rPr>
      <w:tblPr/>
      <w:tcPr>
        <w:tcBorders>
          <w:top w:val="none" w:sz="4" w:space="0" w:color="000000"/>
          <w:left w:val="none" w:sz="4" w:space="0" w:color="000000"/>
          <w:bottom w:val="single" w:sz="4" w:space="0" w:color="C8A3C6" w:themeColor="accent6" w:themeTint="90"/>
          <w:right w:val="none" w:sz="4" w:space="0" w:color="000000"/>
        </w:tcBorders>
        <w:shd w:val="clear" w:color="FFFFFF" w:themeColor="light1" w:fill="FFFFFF" w:themeFill="light1"/>
      </w:tcPr>
    </w:tblStylePr>
    <w:tblStylePr w:type="lastRow">
      <w:rPr>
        <w:rFonts w:ascii="Arial" w:hAnsi="Arial"/>
        <w:b/>
        <w:color w:val="5C375A" w:themeColor="accent6" w:themeShade="95"/>
        <w:sz w:val="22"/>
      </w:rPr>
      <w:tblPr/>
      <w:tcPr>
        <w:tcBorders>
          <w:top w:val="single" w:sz="4" w:space="0" w:color="C8A3C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C375A" w:themeColor="accent6" w:themeShade="95"/>
        <w:sz w:val="22"/>
      </w:rPr>
      <w:tblPr/>
      <w:tcPr>
        <w:tcBorders>
          <w:top w:val="none" w:sz="4" w:space="0" w:color="000000"/>
          <w:left w:val="none" w:sz="4" w:space="0" w:color="000000"/>
          <w:bottom w:val="none" w:sz="4" w:space="0" w:color="000000"/>
          <w:right w:val="single" w:sz="4" w:space="0" w:color="C8A3C6" w:themeColor="accent6" w:themeTint="90"/>
        </w:tcBorders>
        <w:shd w:val="clear" w:color="FFFFFF" w:fill="auto"/>
      </w:tcPr>
    </w:tblStylePr>
    <w:tblStylePr w:type="lastCol">
      <w:rPr>
        <w:rFonts w:ascii="Arial" w:hAnsi="Arial"/>
        <w:i/>
        <w:color w:val="5C375A" w:themeColor="accent6" w:themeShade="95"/>
        <w:sz w:val="22"/>
      </w:rPr>
      <w:tblPr/>
      <w:tcPr>
        <w:tcBorders>
          <w:top w:val="none" w:sz="4" w:space="0" w:color="000000"/>
          <w:left w:val="single" w:sz="4" w:space="0" w:color="C8A3C6" w:themeColor="accent6" w:themeTint="90"/>
          <w:bottom w:val="none" w:sz="4" w:space="0" w:color="000000"/>
          <w:right w:val="none" w:sz="4" w:space="0" w:color="000000"/>
        </w:tcBorders>
        <w:shd w:val="clear" w:color="FFFFFF" w:fill="auto"/>
      </w:tcPr>
    </w:tblStylePr>
    <w:tblStylePr w:type="band1Vert">
      <w:tblPr/>
      <w:tcPr>
        <w:shd w:val="clear" w:color="EBDDEA" w:themeColor="accent6" w:themeTint="34" w:fill="EBDDEA" w:themeFill="accent6" w:themeFillTint="34"/>
      </w:tcPr>
    </w:tblStylePr>
    <w:tblStylePr w:type="band1Horz">
      <w:rPr>
        <w:rFonts w:ascii="Arial" w:hAnsi="Arial"/>
        <w:color w:val="5C375A" w:themeColor="accent6" w:themeShade="95"/>
        <w:sz w:val="22"/>
      </w:rPr>
      <w:tblPr/>
      <w:tcPr>
        <w:shd w:val="clear" w:color="EBDDEA" w:themeColor="accent6" w:themeTint="34" w:fill="EBDDEA" w:themeFill="accent6" w:themeFillTint="34"/>
      </w:tcPr>
    </w:tblStylePr>
    <w:tblStylePr w:type="band2Horz">
      <w:rPr>
        <w:rFonts w:ascii="Arial" w:hAnsi="Arial"/>
        <w:color w:val="5C375A" w:themeColor="accent6" w:themeShade="95"/>
        <w:sz w:val="22"/>
      </w:rPr>
    </w:tblStylePr>
  </w:style>
  <w:style w:type="table" w:customStyle="1" w:styleId="ListTable1Light-Accent12">
    <w:name w:val="List Table 1 Light - Accent 1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01513" w:themeColor="accent1"/>
          <w:right w:val="none" w:sz="4" w:space="0" w:color="000000"/>
        </w:tcBorders>
      </w:tcPr>
    </w:tblStylePr>
    <w:tblStylePr w:type="lastRow">
      <w:rPr>
        <w:b/>
        <w:color w:val="404040"/>
      </w:rPr>
      <w:tblPr/>
      <w:tcPr>
        <w:tcBorders>
          <w:top w:val="single" w:sz="4" w:space="0" w:color="B01513"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7B8B7" w:themeColor="accent1" w:themeTint="40" w:fill="F7B8B7" w:themeFill="accent1" w:themeFillTint="40"/>
      </w:tcPr>
    </w:tblStylePr>
    <w:tblStylePr w:type="band1Horz">
      <w:tblPr/>
      <w:tcPr>
        <w:shd w:val="clear" w:color="F7B8B7" w:themeColor="accent1" w:themeTint="40" w:fill="F7B8B7" w:themeFill="accent1" w:themeFillTint="40"/>
      </w:tcPr>
    </w:tblStylePr>
  </w:style>
  <w:style w:type="table" w:customStyle="1" w:styleId="ListTable1Light-Accent22">
    <w:name w:val="List Table 1 Light - Accent 2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A6312" w:themeColor="accent2"/>
          <w:right w:val="none" w:sz="4" w:space="0" w:color="000000"/>
        </w:tcBorders>
      </w:tcPr>
    </w:tblStylePr>
    <w:tblStylePr w:type="lastRow">
      <w:rPr>
        <w:b/>
        <w:color w:val="404040"/>
      </w:rPr>
      <w:tblPr/>
      <w:tcPr>
        <w:tcBorders>
          <w:top w:val="single" w:sz="4" w:space="0" w:color="EA631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7C2" w:themeColor="accent2" w:themeTint="40" w:fill="FAD7C2" w:themeFill="accent2" w:themeFillTint="40"/>
      </w:tcPr>
    </w:tblStylePr>
    <w:tblStylePr w:type="band1Horz">
      <w:tblPr/>
      <w:tcPr>
        <w:shd w:val="clear" w:color="FAD7C2" w:themeColor="accent2" w:themeTint="40" w:fill="FAD7C2" w:themeFill="accent2" w:themeFillTint="40"/>
      </w:tcPr>
    </w:tblStylePr>
  </w:style>
  <w:style w:type="table" w:customStyle="1" w:styleId="ListTable1Light-Accent32">
    <w:name w:val="List Table 1 Light - Accent 3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6B729" w:themeColor="accent3"/>
          <w:right w:val="none" w:sz="4" w:space="0" w:color="000000"/>
        </w:tcBorders>
      </w:tcPr>
    </w:tblStylePr>
    <w:tblStylePr w:type="lastRow">
      <w:rPr>
        <w:b/>
        <w:color w:val="404040"/>
      </w:rPr>
      <w:tblPr/>
      <w:tcPr>
        <w:tcBorders>
          <w:top w:val="single" w:sz="4" w:space="0" w:color="E6B72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8ECC9" w:themeColor="accent3" w:themeTint="40" w:fill="F8ECC9" w:themeFill="accent3" w:themeFillTint="40"/>
      </w:tcPr>
    </w:tblStylePr>
    <w:tblStylePr w:type="band1Horz">
      <w:tblPr/>
      <w:tcPr>
        <w:shd w:val="clear" w:color="F8ECC9" w:themeColor="accent3" w:themeTint="40" w:fill="F8ECC9" w:themeFill="accent3" w:themeFillTint="40"/>
      </w:tcPr>
    </w:tblStylePr>
  </w:style>
  <w:style w:type="table" w:customStyle="1" w:styleId="ListTable1Light-Accent42">
    <w:name w:val="List Table 1 Light - Accent 4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AAC90" w:themeColor="accent4"/>
          <w:right w:val="none" w:sz="4" w:space="0" w:color="000000"/>
        </w:tcBorders>
      </w:tcPr>
    </w:tblStylePr>
    <w:tblStylePr w:type="lastRow">
      <w:rPr>
        <w:b/>
        <w:color w:val="404040"/>
      </w:rPr>
      <w:tblPr/>
      <w:tcPr>
        <w:tcBorders>
          <w:top w:val="single" w:sz="4" w:space="0" w:color="6AAC9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9EAE3" w:themeColor="accent4" w:themeTint="40" w:fill="D9EAE3" w:themeFill="accent4" w:themeFillTint="40"/>
      </w:tcPr>
    </w:tblStylePr>
    <w:tblStylePr w:type="band1Horz">
      <w:tblPr/>
      <w:tcPr>
        <w:shd w:val="clear" w:color="D9EAE3" w:themeColor="accent4" w:themeTint="40" w:fill="D9EAE3" w:themeFill="accent4" w:themeFillTint="40"/>
      </w:tcPr>
    </w:tblStylePr>
  </w:style>
  <w:style w:type="table" w:customStyle="1" w:styleId="ListTable1Light-Accent52">
    <w:name w:val="List Table 1 Light - Accent 5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4849A" w:themeColor="accent5"/>
          <w:right w:val="none" w:sz="4" w:space="0" w:color="000000"/>
        </w:tcBorders>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E0E7" w:themeColor="accent5" w:themeTint="40" w:fill="D2E0E7" w:themeFill="accent5" w:themeFillTint="40"/>
      </w:tcPr>
    </w:tblStylePr>
    <w:tblStylePr w:type="band1Horz">
      <w:tblPr/>
      <w:tcPr>
        <w:shd w:val="clear" w:color="D2E0E7" w:themeColor="accent5" w:themeTint="40" w:fill="D2E0E7" w:themeFill="accent5" w:themeFillTint="40"/>
      </w:tcPr>
    </w:tblStylePr>
  </w:style>
  <w:style w:type="table" w:customStyle="1" w:styleId="ListTable1Light-Accent62">
    <w:name w:val="List Table 1 Light - Accent 62"/>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E5E9B" w:themeColor="accent6"/>
          <w:right w:val="none" w:sz="4" w:space="0" w:color="000000"/>
        </w:tcBorders>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6D6E6" w:themeColor="accent6" w:themeTint="40" w:fill="E6D6E6" w:themeFill="accent6" w:themeFillTint="40"/>
      </w:tcPr>
    </w:tblStylePr>
    <w:tblStylePr w:type="band1Horz">
      <w:tblPr/>
      <w:tcPr>
        <w:shd w:val="clear" w:color="E6D6E6" w:themeColor="accent6" w:themeTint="40" w:fill="E6D6E6" w:themeFill="accent6" w:themeFillTint="40"/>
      </w:tcPr>
    </w:tblStylePr>
  </w:style>
  <w:style w:type="table" w:customStyle="1" w:styleId="-2124">
    <w:name w:val="Список-таблица 212"/>
    <w:basedOn w:val="a5"/>
    <w:uiPriority w:val="99"/>
    <w:rsid w:val="00250BEC"/>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2">
    <w:name w:val="List Table 2 - Accent 12"/>
    <w:basedOn w:val="a5"/>
    <w:uiPriority w:val="99"/>
    <w:rsid w:val="00250BEC"/>
    <w:pPr>
      <w:spacing w:after="0" w:line="240" w:lineRule="auto"/>
    </w:pPr>
    <w:tblPr>
      <w:tblStyleRowBandSize w:val="1"/>
      <w:tblStyleColBandSize w:val="1"/>
      <w:tblBorders>
        <w:top w:val="single" w:sz="4" w:space="0" w:color="ED605E" w:themeColor="accent1" w:themeTint="90"/>
        <w:bottom w:val="single" w:sz="4" w:space="0" w:color="ED605E" w:themeColor="accent1" w:themeTint="90"/>
        <w:insideH w:val="single" w:sz="4" w:space="0" w:color="ED605E" w:themeColor="accent1" w:themeTint="90"/>
      </w:tblBorders>
    </w:tblPr>
    <w:tblStylePr w:type="fir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la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2-Accent22">
    <w:name w:val="List Table 2 - Accent 22"/>
    <w:basedOn w:val="a5"/>
    <w:uiPriority w:val="99"/>
    <w:rsid w:val="00250BEC"/>
    <w:pPr>
      <w:spacing w:after="0" w:line="240" w:lineRule="auto"/>
    </w:pPr>
    <w:tblPr>
      <w:tblStyleRowBandSize w:val="1"/>
      <w:tblStyleColBandSize w:val="1"/>
      <w:tblBorders>
        <w:top w:val="single" w:sz="4" w:space="0" w:color="F4A677" w:themeColor="accent2" w:themeTint="90"/>
        <w:bottom w:val="single" w:sz="4" w:space="0" w:color="F4A677" w:themeColor="accent2" w:themeTint="90"/>
        <w:insideH w:val="single" w:sz="4" w:space="0" w:color="F4A677" w:themeColor="accent2" w:themeTint="90"/>
      </w:tblBorders>
    </w:tblPr>
    <w:tblStylePr w:type="fir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la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2-Accent32">
    <w:name w:val="List Table 2 - Accent 32"/>
    <w:basedOn w:val="a5"/>
    <w:uiPriority w:val="99"/>
    <w:rsid w:val="00250BEC"/>
    <w:pPr>
      <w:spacing w:after="0" w:line="240" w:lineRule="auto"/>
    </w:pPr>
    <w:tblPr>
      <w:tblStyleRowBandSize w:val="1"/>
      <w:tblStyleColBandSize w:val="1"/>
      <w:tblBorders>
        <w:top w:val="single" w:sz="4" w:space="0" w:color="F1D686" w:themeColor="accent3" w:themeTint="90"/>
        <w:bottom w:val="single" w:sz="4" w:space="0" w:color="F1D686" w:themeColor="accent3" w:themeTint="90"/>
        <w:insideH w:val="single" w:sz="4" w:space="0" w:color="F1D686" w:themeColor="accent3" w:themeTint="90"/>
      </w:tblBorders>
    </w:tblPr>
    <w:tblStylePr w:type="fir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la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2-Accent42">
    <w:name w:val="List Table 2 - Accent 42"/>
    <w:basedOn w:val="a5"/>
    <w:uiPriority w:val="99"/>
    <w:rsid w:val="00250BEC"/>
    <w:pPr>
      <w:spacing w:after="0" w:line="240" w:lineRule="auto"/>
    </w:pPr>
    <w:tblPr>
      <w:tblStyleRowBandSize w:val="1"/>
      <w:tblStyleColBandSize w:val="1"/>
      <w:tblBorders>
        <w:top w:val="single" w:sz="4" w:space="0" w:color="AAD0C0" w:themeColor="accent4" w:themeTint="90"/>
        <w:bottom w:val="single" w:sz="4" w:space="0" w:color="AAD0C0" w:themeColor="accent4" w:themeTint="90"/>
        <w:insideH w:val="single" w:sz="4" w:space="0" w:color="AAD0C0" w:themeColor="accent4" w:themeTint="90"/>
      </w:tblBorders>
    </w:tblPr>
    <w:tblStylePr w:type="fir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la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2-Accent52">
    <w:name w:val="List Table 2 - Accent 52"/>
    <w:basedOn w:val="a5"/>
    <w:uiPriority w:val="99"/>
    <w:rsid w:val="00250BEC"/>
    <w:pPr>
      <w:spacing w:after="0" w:line="240" w:lineRule="auto"/>
    </w:pPr>
    <w:tblPr>
      <w:tblStyleRowBandSize w:val="1"/>
      <w:tblStyleColBandSize w:val="1"/>
      <w:tblBorders>
        <w:top w:val="single" w:sz="4" w:space="0" w:color="9BBAC8" w:themeColor="accent5" w:themeTint="90"/>
        <w:bottom w:val="single" w:sz="4" w:space="0" w:color="9BBAC8" w:themeColor="accent5" w:themeTint="90"/>
        <w:insideH w:val="single" w:sz="4" w:space="0" w:color="9BBAC8" w:themeColor="accent5" w:themeTint="90"/>
      </w:tblBorders>
    </w:tblPr>
    <w:tblStylePr w:type="fir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la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2-Accent62">
    <w:name w:val="List Table 2 - Accent 62"/>
    <w:basedOn w:val="a5"/>
    <w:uiPriority w:val="99"/>
    <w:rsid w:val="00250BEC"/>
    <w:pPr>
      <w:spacing w:after="0" w:line="240" w:lineRule="auto"/>
    </w:pPr>
    <w:tblPr>
      <w:tblStyleRowBandSize w:val="1"/>
      <w:tblStyleColBandSize w:val="1"/>
      <w:tblBorders>
        <w:top w:val="single" w:sz="4" w:space="0" w:color="C8A3C6" w:themeColor="accent6" w:themeTint="90"/>
        <w:bottom w:val="single" w:sz="4" w:space="0" w:color="C8A3C6" w:themeColor="accent6" w:themeTint="90"/>
        <w:insideH w:val="single" w:sz="4" w:space="0" w:color="C8A3C6" w:themeColor="accent6" w:themeTint="90"/>
      </w:tblBorders>
    </w:tblPr>
    <w:tblStylePr w:type="fir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la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3120">
    <w:name w:val="Список-таблица 312"/>
    <w:basedOn w:val="a5"/>
    <w:uiPriority w:val="99"/>
    <w:rsid w:val="00250BE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2">
    <w:name w:val="List Table 3 - Accent 12"/>
    <w:basedOn w:val="a5"/>
    <w:uiPriority w:val="99"/>
    <w:rsid w:val="00250BEC"/>
    <w:pPr>
      <w:spacing w:after="0" w:line="240" w:lineRule="auto"/>
    </w:pPr>
    <w:tblPr>
      <w:tblStyleRowBandSize w:val="1"/>
      <w:tblStyleColBandSize w:val="1"/>
      <w:tblBorders>
        <w:top w:val="single" w:sz="4" w:space="0" w:color="B01513" w:themeColor="accent1"/>
        <w:left w:val="single" w:sz="4" w:space="0" w:color="B01513" w:themeColor="accent1"/>
        <w:bottom w:val="single" w:sz="4" w:space="0" w:color="B01513" w:themeColor="accent1"/>
        <w:right w:val="single" w:sz="4" w:space="0" w:color="B01513" w:themeColor="accent1"/>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01513" w:themeColor="accent1"/>
          <w:right w:val="single" w:sz="4" w:space="0" w:color="B01513" w:themeColor="accent1"/>
        </w:tcBorders>
      </w:tcPr>
    </w:tblStylePr>
    <w:tblStylePr w:type="band1Horz">
      <w:rPr>
        <w:rFonts w:ascii="Arial" w:hAnsi="Arial"/>
        <w:color w:val="404040"/>
        <w:sz w:val="22"/>
      </w:rPr>
      <w:tblPr/>
      <w:tcPr>
        <w:tcBorders>
          <w:top w:val="single" w:sz="4" w:space="0" w:color="B01513" w:themeColor="accent1"/>
          <w:bottom w:val="single" w:sz="4" w:space="0" w:color="B01513" w:themeColor="accent1"/>
        </w:tcBorders>
      </w:tcPr>
    </w:tblStylePr>
  </w:style>
  <w:style w:type="table" w:customStyle="1" w:styleId="ListTable3-Accent22">
    <w:name w:val="List Table 3 - Accent 22"/>
    <w:basedOn w:val="a5"/>
    <w:uiPriority w:val="99"/>
    <w:rsid w:val="00250BEC"/>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blBorders>
    </w:tblPr>
    <w:tblStylePr w:type="firstRow">
      <w:rPr>
        <w:rFonts w:ascii="Arial" w:hAnsi="Arial"/>
        <w:b/>
        <w:color w:val="FFFFFF"/>
        <w:sz w:val="22"/>
      </w:rPr>
      <w:tblPr/>
      <w:tcPr>
        <w:shd w:val="clear" w:color="F4A170" w:themeColor="accent2" w:themeTint="97" w:fill="F4A17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A170" w:themeColor="accent2" w:themeTint="97"/>
          <w:right w:val="single" w:sz="4" w:space="0" w:color="F4A170" w:themeColor="accent2" w:themeTint="97"/>
        </w:tcBorders>
      </w:tcPr>
    </w:tblStylePr>
    <w:tblStylePr w:type="band1Horz">
      <w:rPr>
        <w:rFonts w:ascii="Arial" w:hAnsi="Arial"/>
        <w:color w:val="404040"/>
        <w:sz w:val="22"/>
      </w:rPr>
      <w:tblPr/>
      <w:tcPr>
        <w:tcBorders>
          <w:top w:val="single" w:sz="4" w:space="0" w:color="F4A170" w:themeColor="accent2" w:themeTint="97"/>
          <w:bottom w:val="single" w:sz="4" w:space="0" w:color="F4A170" w:themeColor="accent2" w:themeTint="97"/>
        </w:tcBorders>
      </w:tcPr>
    </w:tblStylePr>
  </w:style>
  <w:style w:type="table" w:customStyle="1" w:styleId="ListTable3-Accent32">
    <w:name w:val="List Table 3 - Accent 32"/>
    <w:basedOn w:val="a5"/>
    <w:uiPriority w:val="99"/>
    <w:rsid w:val="00250BEC"/>
    <w:pPr>
      <w:spacing w:after="0" w:line="240" w:lineRule="auto"/>
    </w:pPr>
    <w:tblPr>
      <w:tblStyleRowBandSize w:val="1"/>
      <w:tblStyleColBandSize w:val="1"/>
      <w:tblBorders>
        <w:top w:val="single" w:sz="4" w:space="0" w:color="F0D37F" w:themeColor="accent3" w:themeTint="98"/>
        <w:left w:val="single" w:sz="4" w:space="0" w:color="F0D37F" w:themeColor="accent3" w:themeTint="98"/>
        <w:bottom w:val="single" w:sz="4" w:space="0" w:color="F0D37F" w:themeColor="accent3" w:themeTint="98"/>
        <w:right w:val="single" w:sz="4" w:space="0" w:color="F0D37F" w:themeColor="accent3" w:themeTint="98"/>
      </w:tblBorders>
    </w:tblPr>
    <w:tblStylePr w:type="firstRow">
      <w:rPr>
        <w:rFonts w:ascii="Arial" w:hAnsi="Arial"/>
        <w:b/>
        <w:color w:val="FFFFFF"/>
        <w:sz w:val="22"/>
      </w:rPr>
      <w:tblPr/>
      <w:tcPr>
        <w:shd w:val="clear" w:color="F0D37F" w:themeColor="accent3" w:themeTint="98" w:fill="F0D37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0D37F" w:themeColor="accent3" w:themeTint="98"/>
          <w:right w:val="single" w:sz="4" w:space="0" w:color="F0D37F" w:themeColor="accent3" w:themeTint="98"/>
        </w:tcBorders>
      </w:tcPr>
    </w:tblStylePr>
    <w:tblStylePr w:type="band1Horz">
      <w:rPr>
        <w:rFonts w:ascii="Arial" w:hAnsi="Arial"/>
        <w:color w:val="404040"/>
        <w:sz w:val="22"/>
      </w:rPr>
      <w:tblPr/>
      <w:tcPr>
        <w:tcBorders>
          <w:top w:val="single" w:sz="4" w:space="0" w:color="F0D37F" w:themeColor="accent3" w:themeTint="98"/>
          <w:bottom w:val="single" w:sz="4" w:space="0" w:color="F0D37F" w:themeColor="accent3" w:themeTint="98"/>
        </w:tcBorders>
      </w:tcPr>
    </w:tblStylePr>
  </w:style>
  <w:style w:type="table" w:customStyle="1" w:styleId="ListTable3-Accent42">
    <w:name w:val="List Table 3 - Accent 42"/>
    <w:basedOn w:val="a5"/>
    <w:uiPriority w:val="99"/>
    <w:rsid w:val="00250BEC"/>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blBorders>
    </w:tblPr>
    <w:tblStylePr w:type="firstRow">
      <w:rPr>
        <w:rFonts w:ascii="Arial" w:hAnsi="Arial"/>
        <w:b/>
        <w:color w:val="FFFFFF"/>
        <w:sz w:val="22"/>
      </w:rPr>
      <w:tblPr/>
      <w:tcPr>
        <w:shd w:val="clear" w:color="A4CCBB" w:themeColor="accent4" w:themeTint="9A" w:fill="A4CCB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4CCBB" w:themeColor="accent4" w:themeTint="9A"/>
          <w:right w:val="single" w:sz="4" w:space="0" w:color="A4CCBB" w:themeColor="accent4" w:themeTint="9A"/>
        </w:tcBorders>
      </w:tcPr>
    </w:tblStylePr>
    <w:tblStylePr w:type="band1Horz">
      <w:rPr>
        <w:rFonts w:ascii="Arial" w:hAnsi="Arial"/>
        <w:color w:val="404040"/>
        <w:sz w:val="22"/>
      </w:rPr>
      <w:tblPr/>
      <w:tcPr>
        <w:tcBorders>
          <w:top w:val="single" w:sz="4" w:space="0" w:color="A4CCBB" w:themeColor="accent4" w:themeTint="9A"/>
          <w:bottom w:val="single" w:sz="4" w:space="0" w:color="A4CCBB" w:themeColor="accent4" w:themeTint="9A"/>
        </w:tcBorders>
      </w:tcPr>
    </w:tblStylePr>
  </w:style>
  <w:style w:type="table" w:customStyle="1" w:styleId="ListTable3-Accent52">
    <w:name w:val="List Table 3 - Accent 52"/>
    <w:basedOn w:val="a5"/>
    <w:uiPriority w:val="99"/>
    <w:rsid w:val="00250BEC"/>
    <w:pPr>
      <w:spacing w:after="0" w:line="240" w:lineRule="auto"/>
    </w:pPr>
    <w:tblPr>
      <w:tblStyleRowBandSize w:val="1"/>
      <w:tblStyleColBandSize w:val="1"/>
      <w:tblBorders>
        <w:top w:val="single" w:sz="4" w:space="0" w:color="94B5C5" w:themeColor="accent5" w:themeTint="9A"/>
        <w:left w:val="single" w:sz="4" w:space="0" w:color="94B5C5" w:themeColor="accent5" w:themeTint="9A"/>
        <w:bottom w:val="single" w:sz="4" w:space="0" w:color="94B5C5" w:themeColor="accent5" w:themeTint="9A"/>
        <w:right w:val="single" w:sz="4" w:space="0" w:color="94B5C5" w:themeColor="accent5" w:themeTint="9A"/>
      </w:tblBorders>
    </w:tblPr>
    <w:tblStylePr w:type="firstRow">
      <w:rPr>
        <w:rFonts w:ascii="Arial" w:hAnsi="Arial"/>
        <w:b/>
        <w:color w:val="FFFFFF"/>
        <w:sz w:val="22"/>
      </w:rPr>
      <w:tblPr/>
      <w:tcPr>
        <w:shd w:val="clear" w:color="94B5C5" w:themeColor="accent5" w:themeTint="9A" w:fill="94B5C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4B5C5" w:themeColor="accent5" w:themeTint="9A"/>
          <w:right w:val="single" w:sz="4" w:space="0" w:color="94B5C5" w:themeColor="accent5" w:themeTint="9A"/>
        </w:tcBorders>
      </w:tcPr>
    </w:tblStylePr>
    <w:tblStylePr w:type="band1Horz">
      <w:rPr>
        <w:rFonts w:ascii="Arial" w:hAnsi="Arial"/>
        <w:color w:val="404040"/>
        <w:sz w:val="22"/>
      </w:rPr>
      <w:tblPr/>
      <w:tcPr>
        <w:tcBorders>
          <w:top w:val="single" w:sz="4" w:space="0" w:color="94B5C5" w:themeColor="accent5" w:themeTint="9A"/>
          <w:bottom w:val="single" w:sz="4" w:space="0" w:color="94B5C5" w:themeColor="accent5" w:themeTint="9A"/>
        </w:tcBorders>
      </w:tcPr>
    </w:tblStylePr>
  </w:style>
  <w:style w:type="table" w:customStyle="1" w:styleId="ListTable3-Accent62">
    <w:name w:val="List Table 3 - Accent 62"/>
    <w:basedOn w:val="a5"/>
    <w:uiPriority w:val="99"/>
    <w:rsid w:val="00250BEC"/>
    <w:pPr>
      <w:spacing w:after="0" w:line="240" w:lineRule="auto"/>
    </w:pPr>
    <w:tblPr>
      <w:tblStyleRowBandSize w:val="1"/>
      <w:tblStyleColBandSize w:val="1"/>
      <w:tblBorders>
        <w:top w:val="single" w:sz="4" w:space="0" w:color="C59EC3" w:themeColor="accent6" w:themeTint="98"/>
        <w:left w:val="single" w:sz="4" w:space="0" w:color="C59EC3" w:themeColor="accent6" w:themeTint="98"/>
        <w:bottom w:val="single" w:sz="4" w:space="0" w:color="C59EC3" w:themeColor="accent6" w:themeTint="98"/>
        <w:right w:val="single" w:sz="4" w:space="0" w:color="C59EC3" w:themeColor="accent6" w:themeTint="98"/>
      </w:tblBorders>
    </w:tblPr>
    <w:tblStylePr w:type="firstRow">
      <w:rPr>
        <w:rFonts w:ascii="Arial" w:hAnsi="Arial"/>
        <w:b/>
        <w:color w:val="FFFFFF"/>
        <w:sz w:val="22"/>
      </w:rPr>
      <w:tblPr/>
      <w:tcPr>
        <w:shd w:val="clear" w:color="C59EC3" w:themeColor="accent6" w:themeTint="98" w:fill="C59EC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59EC3" w:themeColor="accent6" w:themeTint="98"/>
          <w:right w:val="single" w:sz="4" w:space="0" w:color="C59EC3" w:themeColor="accent6" w:themeTint="98"/>
        </w:tcBorders>
      </w:tcPr>
    </w:tblStylePr>
    <w:tblStylePr w:type="band1Horz">
      <w:rPr>
        <w:rFonts w:ascii="Arial" w:hAnsi="Arial"/>
        <w:color w:val="404040"/>
        <w:sz w:val="22"/>
      </w:rPr>
      <w:tblPr/>
      <w:tcPr>
        <w:tcBorders>
          <w:top w:val="single" w:sz="4" w:space="0" w:color="C59EC3" w:themeColor="accent6" w:themeTint="98"/>
          <w:bottom w:val="single" w:sz="4" w:space="0" w:color="C59EC3" w:themeColor="accent6" w:themeTint="98"/>
        </w:tcBorders>
      </w:tcPr>
    </w:tblStylePr>
  </w:style>
  <w:style w:type="table" w:customStyle="1" w:styleId="-4121">
    <w:name w:val="Список-таблица 412"/>
    <w:basedOn w:val="a5"/>
    <w:uiPriority w:val="99"/>
    <w:rsid w:val="00250BE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2">
    <w:name w:val="List Table 4 - Accent 12"/>
    <w:basedOn w:val="a5"/>
    <w:uiPriority w:val="99"/>
    <w:rsid w:val="00250BEC"/>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4-Accent22">
    <w:name w:val="List Table 4 - Accent 22"/>
    <w:basedOn w:val="a5"/>
    <w:uiPriority w:val="99"/>
    <w:rsid w:val="00250BEC"/>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tblBorders>
    </w:tblPr>
    <w:tblStylePr w:type="firstRow">
      <w:rPr>
        <w:rFonts w:ascii="Arial" w:hAnsi="Arial"/>
        <w:b/>
        <w:color w:val="FFFFFF"/>
        <w:sz w:val="22"/>
      </w:rPr>
      <w:tblPr/>
      <w:tcPr>
        <w:shd w:val="clear" w:color="EA6312" w:themeColor="accent2" w:fill="EA631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4-Accent32">
    <w:name w:val="List Table 4 - Accent 32"/>
    <w:basedOn w:val="a5"/>
    <w:uiPriority w:val="99"/>
    <w:rsid w:val="00250BEC"/>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tblBorders>
    </w:tblPr>
    <w:tblStylePr w:type="firstRow">
      <w:rPr>
        <w:rFonts w:ascii="Arial" w:hAnsi="Arial"/>
        <w:b/>
        <w:color w:val="FFFFFF"/>
        <w:sz w:val="22"/>
      </w:rPr>
      <w:tblPr/>
      <w:tcPr>
        <w:shd w:val="clear" w:color="E6B729" w:themeColor="accent3" w:fill="E6B72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4-Accent42">
    <w:name w:val="List Table 4 - Accent 42"/>
    <w:basedOn w:val="a5"/>
    <w:uiPriority w:val="99"/>
    <w:rsid w:val="00250BEC"/>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tblBorders>
    </w:tblPr>
    <w:tblStylePr w:type="firstRow">
      <w:rPr>
        <w:rFonts w:ascii="Arial" w:hAnsi="Arial"/>
        <w:b/>
        <w:color w:val="FFFFFF"/>
        <w:sz w:val="22"/>
      </w:rPr>
      <w:tblPr/>
      <w:tcPr>
        <w:shd w:val="clear" w:color="6AAC90" w:themeColor="accent4" w:fill="6AAC9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4-Accent52">
    <w:name w:val="List Table 4 - Accent 52"/>
    <w:basedOn w:val="a5"/>
    <w:uiPriority w:val="99"/>
    <w:rsid w:val="00250BEC"/>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tblBorders>
    </w:tblPr>
    <w:tblStylePr w:type="firstRow">
      <w:rPr>
        <w:rFonts w:ascii="Arial" w:hAnsi="Arial"/>
        <w:b/>
        <w:color w:val="FFFFFF"/>
        <w:sz w:val="22"/>
      </w:rPr>
      <w:tblPr/>
      <w:tcPr>
        <w:shd w:val="clear" w:color="54849A" w:themeColor="accent5" w:fill="54849A"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4-Accent62">
    <w:name w:val="List Table 4 - Accent 62"/>
    <w:basedOn w:val="a5"/>
    <w:uiPriority w:val="99"/>
    <w:rsid w:val="00250BEC"/>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tblBorders>
    </w:tblPr>
    <w:tblStylePr w:type="firstRow">
      <w:rPr>
        <w:rFonts w:ascii="Arial" w:hAnsi="Arial"/>
        <w:b/>
        <w:color w:val="FFFFFF"/>
        <w:sz w:val="22"/>
      </w:rPr>
      <w:tblPr/>
      <w:tcPr>
        <w:shd w:val="clear" w:color="9E5E9B" w:themeColor="accent6" w:fill="9E5E9B"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5121">
    <w:name w:val="Список-таблица 5 темная12"/>
    <w:basedOn w:val="a5"/>
    <w:uiPriority w:val="99"/>
    <w:rsid w:val="00250BEC"/>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2">
    <w:name w:val="List Table 5 Dark - Accent 12"/>
    <w:basedOn w:val="a5"/>
    <w:uiPriority w:val="99"/>
    <w:rsid w:val="00250BEC"/>
    <w:pPr>
      <w:spacing w:after="0" w:line="240" w:lineRule="auto"/>
    </w:pPr>
    <w:tblPr>
      <w:tblStyleRowBandSize w:val="1"/>
      <w:tblStyleColBandSize w:val="1"/>
      <w:tblBorders>
        <w:top w:val="single" w:sz="32" w:space="0" w:color="B01513" w:themeColor="accent1"/>
        <w:left w:val="single" w:sz="32" w:space="0" w:color="B01513" w:themeColor="accent1"/>
        <w:bottom w:val="single" w:sz="32" w:space="0" w:color="B01513" w:themeColor="accent1"/>
        <w:right w:val="single" w:sz="32" w:space="0" w:color="B01513" w:themeColor="accent1"/>
      </w:tblBorders>
      <w:shd w:val="clear" w:color="B01513" w:themeColor="accent1" w:fill="B01513" w:themeFill="accent1"/>
    </w:tblPr>
    <w:tblStylePr w:type="firstRow">
      <w:rPr>
        <w:rFonts w:ascii="Arial" w:hAnsi="Arial"/>
        <w:b/>
        <w:color w:val="FFFFFF" w:themeColor="light1"/>
        <w:sz w:val="22"/>
      </w:rPr>
      <w:tblPr/>
      <w:tcPr>
        <w:tcBorders>
          <w:top w:val="single" w:sz="32" w:space="0" w:color="B01513" w:themeColor="accent1"/>
          <w:bottom w:val="single" w:sz="12" w:space="0" w:color="FFFFFF" w:themeColor="light1"/>
        </w:tcBorders>
        <w:shd w:val="clear" w:color="B01513" w:themeColor="accent1" w:fill="B01513"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01513" w:themeColor="accent1"/>
          <w:right w:val="single" w:sz="4" w:space="0" w:color="FFFFFF" w:themeColor="light1"/>
        </w:tcBorders>
      </w:tcPr>
    </w:tblStylePr>
    <w:tblStylePr w:type="lastCol">
      <w:tblPr/>
      <w:tcPr>
        <w:tcBorders>
          <w:left w:val="single" w:sz="4" w:space="0" w:color="FFFFFF" w:themeColor="light1"/>
          <w:right w:val="single" w:sz="32" w:space="0" w:color="B01513" w:themeColor="accent1"/>
        </w:tcBorders>
      </w:tcPr>
    </w:tblStylePr>
    <w:tblStylePr w:type="band1Vert">
      <w:tblPr/>
      <w:tcPr>
        <w:tcBorders>
          <w:left w:val="single" w:sz="4" w:space="0" w:color="FFFFFF" w:themeColor="light1"/>
          <w:right w:val="single" w:sz="4" w:space="0" w:color="FFFFFF" w:themeColor="light1"/>
        </w:tcBorders>
        <w:shd w:val="clear" w:color="B01513" w:themeColor="accent1" w:fill="B01513"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01513" w:themeColor="accent1" w:fill="B01513" w:themeFill="accent1"/>
      </w:tcPr>
    </w:tblStylePr>
    <w:tblStylePr w:type="band2Horz">
      <w:tblPr/>
      <w:tcPr>
        <w:tcBorders>
          <w:top w:val="single" w:sz="4" w:space="0" w:color="FFFFFF" w:themeColor="light1"/>
          <w:bottom w:val="single" w:sz="4" w:space="0" w:color="FFFFFF" w:themeColor="light1"/>
        </w:tcBorders>
        <w:shd w:val="clear" w:color="B01513" w:themeColor="accent1" w:fill="B01513" w:themeFill="accent1"/>
      </w:tcPr>
    </w:tblStylePr>
  </w:style>
  <w:style w:type="table" w:customStyle="1" w:styleId="ListTable5Dark-Accent22">
    <w:name w:val="List Table 5 Dark - Accent 22"/>
    <w:basedOn w:val="a5"/>
    <w:uiPriority w:val="99"/>
    <w:rsid w:val="00250BEC"/>
    <w:pPr>
      <w:spacing w:after="0" w:line="240" w:lineRule="auto"/>
    </w:pPr>
    <w:tblPr>
      <w:tblStyleRowBandSize w:val="1"/>
      <w:tblStyleColBandSize w:val="1"/>
      <w:tblBorders>
        <w:top w:val="single" w:sz="32" w:space="0" w:color="F4A170" w:themeColor="accent2" w:themeTint="97"/>
        <w:left w:val="single" w:sz="32" w:space="0" w:color="F4A170" w:themeColor="accent2" w:themeTint="97"/>
        <w:bottom w:val="single" w:sz="32" w:space="0" w:color="F4A170" w:themeColor="accent2" w:themeTint="97"/>
        <w:right w:val="single" w:sz="32" w:space="0" w:color="F4A170" w:themeColor="accent2" w:themeTint="97"/>
      </w:tblBorders>
      <w:shd w:val="clear" w:color="F4A170" w:themeColor="accent2" w:themeTint="97" w:fill="F4A170" w:themeFill="accent2" w:themeFillTint="97"/>
    </w:tblPr>
    <w:tblStylePr w:type="firstRow">
      <w:rPr>
        <w:rFonts w:ascii="Arial" w:hAnsi="Arial"/>
        <w:b/>
        <w:color w:val="FFFFFF" w:themeColor="light1"/>
        <w:sz w:val="22"/>
      </w:rPr>
      <w:tblPr/>
      <w:tcPr>
        <w:tcBorders>
          <w:top w:val="single" w:sz="32" w:space="0" w:color="F4A170" w:themeColor="accent2" w:themeTint="97"/>
          <w:bottom w:val="single" w:sz="12" w:space="0" w:color="FFFFFF" w:themeColor="light1"/>
        </w:tcBorders>
        <w:shd w:val="clear" w:color="F4A170" w:themeColor="accent2" w:themeTint="97" w:fill="F4A170"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A170" w:themeColor="accent2" w:themeTint="97"/>
          <w:right w:val="single" w:sz="4" w:space="0" w:color="FFFFFF" w:themeColor="light1"/>
        </w:tcBorders>
      </w:tcPr>
    </w:tblStylePr>
    <w:tblStylePr w:type="lastCol">
      <w:tblPr/>
      <w:tcPr>
        <w:tcBorders>
          <w:left w:val="single" w:sz="4" w:space="0" w:color="FFFFFF" w:themeColor="light1"/>
          <w:right w:val="single" w:sz="32" w:space="0" w:color="F4A170" w:themeColor="accent2" w:themeTint="97"/>
        </w:tcBorders>
      </w:tcPr>
    </w:tblStylePr>
    <w:tblStylePr w:type="band1Vert">
      <w:tblPr/>
      <w:tcPr>
        <w:tcBorders>
          <w:left w:val="single" w:sz="4" w:space="0" w:color="FFFFFF" w:themeColor="light1"/>
          <w:right w:val="single" w:sz="4" w:space="0" w:color="FFFFFF" w:themeColor="light1"/>
        </w:tcBorders>
        <w:shd w:val="clear" w:color="F4A170" w:themeColor="accent2" w:themeTint="97" w:fill="F4A17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tblStylePr w:type="band2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style>
  <w:style w:type="table" w:customStyle="1" w:styleId="ListTable5Dark-Accent32">
    <w:name w:val="List Table 5 Dark - Accent 32"/>
    <w:basedOn w:val="a5"/>
    <w:uiPriority w:val="99"/>
    <w:rsid w:val="00250BEC"/>
    <w:pPr>
      <w:spacing w:after="0" w:line="240" w:lineRule="auto"/>
    </w:pPr>
    <w:tblPr>
      <w:tblStyleRowBandSize w:val="1"/>
      <w:tblStyleColBandSize w:val="1"/>
      <w:tblBorders>
        <w:top w:val="single" w:sz="32" w:space="0" w:color="F0D37F" w:themeColor="accent3" w:themeTint="98"/>
        <w:left w:val="single" w:sz="32" w:space="0" w:color="F0D37F" w:themeColor="accent3" w:themeTint="98"/>
        <w:bottom w:val="single" w:sz="32" w:space="0" w:color="F0D37F" w:themeColor="accent3" w:themeTint="98"/>
        <w:right w:val="single" w:sz="32" w:space="0" w:color="F0D37F" w:themeColor="accent3" w:themeTint="98"/>
      </w:tblBorders>
      <w:shd w:val="clear" w:color="F0D37F" w:themeColor="accent3" w:themeTint="98" w:fill="F0D37F" w:themeFill="accent3" w:themeFillTint="98"/>
    </w:tblPr>
    <w:tblStylePr w:type="firstRow">
      <w:rPr>
        <w:rFonts w:ascii="Arial" w:hAnsi="Arial"/>
        <w:b/>
        <w:color w:val="FFFFFF" w:themeColor="light1"/>
        <w:sz w:val="22"/>
      </w:rPr>
      <w:tblPr/>
      <w:tcPr>
        <w:tcBorders>
          <w:top w:val="single" w:sz="32" w:space="0" w:color="F0D37F" w:themeColor="accent3" w:themeTint="98"/>
          <w:bottom w:val="single" w:sz="12" w:space="0" w:color="FFFFFF" w:themeColor="light1"/>
        </w:tcBorders>
        <w:shd w:val="clear" w:color="F0D37F" w:themeColor="accent3" w:themeTint="98" w:fill="F0D37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0D37F" w:themeColor="accent3" w:themeTint="98"/>
          <w:right w:val="single" w:sz="4" w:space="0" w:color="FFFFFF" w:themeColor="light1"/>
        </w:tcBorders>
      </w:tcPr>
    </w:tblStylePr>
    <w:tblStylePr w:type="lastCol">
      <w:tblPr/>
      <w:tcPr>
        <w:tcBorders>
          <w:left w:val="single" w:sz="4" w:space="0" w:color="FFFFFF" w:themeColor="light1"/>
          <w:right w:val="single" w:sz="32" w:space="0" w:color="F0D37F" w:themeColor="accent3" w:themeTint="98"/>
        </w:tcBorders>
      </w:tcPr>
    </w:tblStylePr>
    <w:tblStylePr w:type="band1Vert">
      <w:tblPr/>
      <w:tcPr>
        <w:tcBorders>
          <w:left w:val="single" w:sz="4" w:space="0" w:color="FFFFFF" w:themeColor="light1"/>
          <w:right w:val="single" w:sz="4" w:space="0" w:color="FFFFFF" w:themeColor="light1"/>
        </w:tcBorders>
        <w:shd w:val="clear" w:color="F0D37F" w:themeColor="accent3" w:themeTint="98" w:fill="F0D37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tblStylePr w:type="band2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style>
  <w:style w:type="table" w:customStyle="1" w:styleId="ListTable5Dark-Accent42">
    <w:name w:val="List Table 5 Dark - Accent 42"/>
    <w:basedOn w:val="a5"/>
    <w:uiPriority w:val="99"/>
    <w:rsid w:val="00250BEC"/>
    <w:pPr>
      <w:spacing w:after="0" w:line="240" w:lineRule="auto"/>
    </w:pPr>
    <w:tblPr>
      <w:tblStyleRowBandSize w:val="1"/>
      <w:tblStyleColBandSize w:val="1"/>
      <w:tblBorders>
        <w:top w:val="single" w:sz="32" w:space="0" w:color="A4CCBB" w:themeColor="accent4" w:themeTint="9A"/>
        <w:left w:val="single" w:sz="32" w:space="0" w:color="A4CCBB" w:themeColor="accent4" w:themeTint="9A"/>
        <w:bottom w:val="single" w:sz="32" w:space="0" w:color="A4CCBB" w:themeColor="accent4" w:themeTint="9A"/>
        <w:right w:val="single" w:sz="32" w:space="0" w:color="A4CCBB" w:themeColor="accent4" w:themeTint="9A"/>
      </w:tblBorders>
      <w:shd w:val="clear" w:color="A4CCBB" w:themeColor="accent4" w:themeTint="9A" w:fill="A4CCBB" w:themeFill="accent4" w:themeFillTint="9A"/>
    </w:tblPr>
    <w:tblStylePr w:type="firstRow">
      <w:rPr>
        <w:rFonts w:ascii="Arial" w:hAnsi="Arial"/>
        <w:b/>
        <w:color w:val="FFFFFF" w:themeColor="light1"/>
        <w:sz w:val="22"/>
      </w:rPr>
      <w:tblPr/>
      <w:tcPr>
        <w:tcBorders>
          <w:top w:val="single" w:sz="32" w:space="0" w:color="A4CCBB" w:themeColor="accent4" w:themeTint="9A"/>
          <w:bottom w:val="single" w:sz="12" w:space="0" w:color="FFFFFF" w:themeColor="light1"/>
        </w:tcBorders>
        <w:shd w:val="clear" w:color="A4CCBB" w:themeColor="accent4" w:themeTint="9A" w:fill="A4CCBB"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4CCBB" w:themeColor="accent4" w:themeTint="9A"/>
          <w:right w:val="single" w:sz="4" w:space="0" w:color="FFFFFF" w:themeColor="light1"/>
        </w:tcBorders>
      </w:tcPr>
    </w:tblStylePr>
    <w:tblStylePr w:type="lastCol">
      <w:tblPr/>
      <w:tcPr>
        <w:tcBorders>
          <w:left w:val="single" w:sz="4" w:space="0" w:color="FFFFFF" w:themeColor="light1"/>
          <w:right w:val="single" w:sz="32" w:space="0" w:color="A4CCBB" w:themeColor="accent4" w:themeTint="9A"/>
        </w:tcBorders>
      </w:tcPr>
    </w:tblStylePr>
    <w:tblStylePr w:type="band1Vert">
      <w:tblPr/>
      <w:tcPr>
        <w:tcBorders>
          <w:left w:val="single" w:sz="4" w:space="0" w:color="FFFFFF" w:themeColor="light1"/>
          <w:right w:val="single" w:sz="4" w:space="0" w:color="FFFFFF" w:themeColor="light1"/>
        </w:tcBorders>
        <w:shd w:val="clear" w:color="A4CCBB" w:themeColor="accent4" w:themeTint="9A" w:fill="A4CCBB"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tblStylePr w:type="band2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style>
  <w:style w:type="table" w:customStyle="1" w:styleId="ListTable5Dark-Accent52">
    <w:name w:val="List Table 5 Dark - Accent 52"/>
    <w:basedOn w:val="a5"/>
    <w:uiPriority w:val="99"/>
    <w:rsid w:val="00250BEC"/>
    <w:pPr>
      <w:spacing w:after="0" w:line="240" w:lineRule="auto"/>
    </w:pPr>
    <w:tblPr>
      <w:tblStyleRowBandSize w:val="1"/>
      <w:tblStyleColBandSize w:val="1"/>
      <w:tblBorders>
        <w:top w:val="single" w:sz="32" w:space="0" w:color="94B5C5" w:themeColor="accent5" w:themeTint="9A"/>
        <w:left w:val="single" w:sz="32" w:space="0" w:color="94B5C5" w:themeColor="accent5" w:themeTint="9A"/>
        <w:bottom w:val="single" w:sz="32" w:space="0" w:color="94B5C5" w:themeColor="accent5" w:themeTint="9A"/>
        <w:right w:val="single" w:sz="32" w:space="0" w:color="94B5C5" w:themeColor="accent5" w:themeTint="9A"/>
      </w:tblBorders>
      <w:shd w:val="clear" w:color="94B5C5" w:themeColor="accent5" w:themeTint="9A" w:fill="94B5C5" w:themeFill="accent5" w:themeFillTint="9A"/>
    </w:tblPr>
    <w:tblStylePr w:type="firstRow">
      <w:rPr>
        <w:rFonts w:ascii="Arial" w:hAnsi="Arial"/>
        <w:b/>
        <w:color w:val="FFFFFF" w:themeColor="light1"/>
        <w:sz w:val="22"/>
      </w:rPr>
      <w:tblPr/>
      <w:tcPr>
        <w:tcBorders>
          <w:top w:val="single" w:sz="32" w:space="0" w:color="94B5C5" w:themeColor="accent5" w:themeTint="9A"/>
          <w:bottom w:val="single" w:sz="12" w:space="0" w:color="FFFFFF" w:themeColor="light1"/>
        </w:tcBorders>
        <w:shd w:val="clear" w:color="94B5C5" w:themeColor="accent5" w:themeTint="9A" w:fill="94B5C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4B5C5" w:themeColor="accent5" w:themeTint="9A"/>
          <w:right w:val="single" w:sz="4" w:space="0" w:color="FFFFFF" w:themeColor="light1"/>
        </w:tcBorders>
      </w:tcPr>
    </w:tblStylePr>
    <w:tblStylePr w:type="lastCol">
      <w:tblPr/>
      <w:tcPr>
        <w:tcBorders>
          <w:left w:val="single" w:sz="4" w:space="0" w:color="FFFFFF" w:themeColor="light1"/>
          <w:right w:val="single" w:sz="32" w:space="0" w:color="94B5C5" w:themeColor="accent5" w:themeTint="9A"/>
        </w:tcBorders>
      </w:tcPr>
    </w:tblStylePr>
    <w:tblStylePr w:type="band1Vert">
      <w:tblPr/>
      <w:tcPr>
        <w:tcBorders>
          <w:left w:val="single" w:sz="4" w:space="0" w:color="FFFFFF" w:themeColor="light1"/>
          <w:right w:val="single" w:sz="4" w:space="0" w:color="FFFFFF" w:themeColor="light1"/>
        </w:tcBorders>
        <w:shd w:val="clear" w:color="94B5C5" w:themeColor="accent5" w:themeTint="9A" w:fill="94B5C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tblStylePr w:type="band2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style>
  <w:style w:type="table" w:customStyle="1" w:styleId="ListTable5Dark-Accent62">
    <w:name w:val="List Table 5 Dark - Accent 62"/>
    <w:basedOn w:val="a5"/>
    <w:uiPriority w:val="99"/>
    <w:rsid w:val="00250BEC"/>
    <w:pPr>
      <w:spacing w:after="0" w:line="240" w:lineRule="auto"/>
    </w:pPr>
    <w:tblPr>
      <w:tblStyleRowBandSize w:val="1"/>
      <w:tblStyleColBandSize w:val="1"/>
      <w:tblBorders>
        <w:top w:val="single" w:sz="32" w:space="0" w:color="C59EC3" w:themeColor="accent6" w:themeTint="98"/>
        <w:left w:val="single" w:sz="32" w:space="0" w:color="C59EC3" w:themeColor="accent6" w:themeTint="98"/>
        <w:bottom w:val="single" w:sz="32" w:space="0" w:color="C59EC3" w:themeColor="accent6" w:themeTint="98"/>
        <w:right w:val="single" w:sz="32" w:space="0" w:color="C59EC3" w:themeColor="accent6" w:themeTint="98"/>
      </w:tblBorders>
      <w:shd w:val="clear" w:color="C59EC3" w:themeColor="accent6" w:themeTint="98" w:fill="C59EC3" w:themeFill="accent6" w:themeFillTint="98"/>
    </w:tblPr>
    <w:tblStylePr w:type="firstRow">
      <w:rPr>
        <w:rFonts w:ascii="Arial" w:hAnsi="Arial"/>
        <w:b/>
        <w:color w:val="FFFFFF" w:themeColor="light1"/>
        <w:sz w:val="22"/>
      </w:rPr>
      <w:tblPr/>
      <w:tcPr>
        <w:tcBorders>
          <w:top w:val="single" w:sz="32" w:space="0" w:color="C59EC3" w:themeColor="accent6" w:themeTint="98"/>
          <w:bottom w:val="single" w:sz="12" w:space="0" w:color="FFFFFF" w:themeColor="light1"/>
        </w:tcBorders>
        <w:shd w:val="clear" w:color="C59EC3" w:themeColor="accent6" w:themeTint="98" w:fill="C59EC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59EC3" w:themeColor="accent6" w:themeTint="98"/>
          <w:right w:val="single" w:sz="4" w:space="0" w:color="FFFFFF" w:themeColor="light1"/>
        </w:tcBorders>
      </w:tcPr>
    </w:tblStylePr>
    <w:tblStylePr w:type="lastCol">
      <w:tblPr/>
      <w:tcPr>
        <w:tcBorders>
          <w:left w:val="single" w:sz="4" w:space="0" w:color="FFFFFF" w:themeColor="light1"/>
          <w:right w:val="single" w:sz="32" w:space="0" w:color="C59EC3" w:themeColor="accent6" w:themeTint="98"/>
        </w:tcBorders>
      </w:tcPr>
    </w:tblStylePr>
    <w:tblStylePr w:type="band1Vert">
      <w:tblPr/>
      <w:tcPr>
        <w:tcBorders>
          <w:left w:val="single" w:sz="4" w:space="0" w:color="FFFFFF" w:themeColor="light1"/>
          <w:right w:val="single" w:sz="4" w:space="0" w:color="FFFFFF" w:themeColor="light1"/>
        </w:tcBorders>
        <w:shd w:val="clear" w:color="C59EC3" w:themeColor="accent6" w:themeTint="98" w:fill="C59EC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tblStylePr w:type="band2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style>
  <w:style w:type="table" w:customStyle="1" w:styleId="-6121">
    <w:name w:val="Список-таблица 6 цветная12"/>
    <w:basedOn w:val="a5"/>
    <w:uiPriority w:val="99"/>
    <w:rsid w:val="00250BE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2">
    <w:name w:val="List Table 6 Colorful - Accent 12"/>
    <w:basedOn w:val="a5"/>
    <w:uiPriority w:val="99"/>
    <w:rsid w:val="00250BEC"/>
    <w:pPr>
      <w:spacing w:after="0" w:line="240" w:lineRule="auto"/>
    </w:pPr>
    <w:tblPr>
      <w:tblStyleRowBandSize w:val="1"/>
      <w:tblStyleColBandSize w:val="1"/>
      <w:tblBorders>
        <w:top w:val="single" w:sz="4" w:space="0" w:color="B01513" w:themeColor="accent1"/>
        <w:bottom w:val="single" w:sz="4" w:space="0" w:color="B01513" w:themeColor="accent1"/>
      </w:tblBorders>
    </w:tblPr>
    <w:tblStylePr w:type="firstRow">
      <w:rPr>
        <w:b/>
        <w:color w:val="660C0B" w:themeColor="accent1" w:themeShade="95"/>
      </w:rPr>
      <w:tblPr/>
      <w:tcPr>
        <w:tcBorders>
          <w:bottom w:val="single" w:sz="4" w:space="0" w:color="B01513" w:themeColor="accent1"/>
        </w:tcBorders>
      </w:tcPr>
    </w:tblStylePr>
    <w:tblStylePr w:type="lastRow">
      <w:rPr>
        <w:b/>
        <w:color w:val="660C0B" w:themeColor="accent1" w:themeShade="95"/>
      </w:rPr>
      <w:tblPr/>
      <w:tcPr>
        <w:tcBorders>
          <w:top w:val="single" w:sz="4" w:space="0" w:color="B01513" w:themeColor="accent1"/>
        </w:tcBorders>
      </w:tcPr>
    </w:tblStylePr>
    <w:tblStylePr w:type="firstCol">
      <w:rPr>
        <w:b/>
        <w:color w:val="660C0B" w:themeColor="accent1" w:themeShade="95"/>
      </w:rPr>
    </w:tblStylePr>
    <w:tblStylePr w:type="lastCol">
      <w:rPr>
        <w:b/>
        <w:color w:val="660C0B" w:themeColor="accent1" w:themeShade="95"/>
      </w:r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6Colorful-Accent22">
    <w:name w:val="List Table 6 Colorful - Accent 22"/>
    <w:basedOn w:val="a5"/>
    <w:uiPriority w:val="99"/>
    <w:rsid w:val="00250BEC"/>
    <w:pPr>
      <w:spacing w:after="0" w:line="240" w:lineRule="auto"/>
    </w:pPr>
    <w:tblPr>
      <w:tblStyleRowBandSize w:val="1"/>
      <w:tblStyleColBandSize w:val="1"/>
      <w:tblBorders>
        <w:top w:val="single" w:sz="4" w:space="0" w:color="F4A170" w:themeColor="accent2" w:themeTint="97"/>
        <w:bottom w:val="single" w:sz="4" w:space="0" w:color="F4A170" w:themeColor="accent2" w:themeTint="97"/>
      </w:tblBorders>
    </w:tblPr>
    <w:tblStylePr w:type="firstRow">
      <w:rPr>
        <w:b/>
        <w:color w:val="F4A170" w:themeColor="accent2" w:themeTint="97" w:themeShade="95"/>
      </w:rPr>
      <w:tblPr/>
      <w:tcPr>
        <w:tcBorders>
          <w:bottom w:val="single" w:sz="4" w:space="0" w:color="F4A170" w:themeColor="accent2" w:themeTint="97"/>
        </w:tcBorders>
      </w:tcPr>
    </w:tblStylePr>
    <w:tblStylePr w:type="lastRow">
      <w:rPr>
        <w:b/>
        <w:color w:val="F4A170" w:themeColor="accent2" w:themeTint="97" w:themeShade="95"/>
      </w:rPr>
      <w:tblPr/>
      <w:tcPr>
        <w:tcBorders>
          <w:top w:val="single" w:sz="4" w:space="0" w:color="F4A170" w:themeColor="accent2" w:themeTint="97"/>
        </w:tcBorders>
      </w:tc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6Colorful-Accent32">
    <w:name w:val="List Table 6 Colorful - Accent 32"/>
    <w:basedOn w:val="a5"/>
    <w:uiPriority w:val="99"/>
    <w:rsid w:val="00250BEC"/>
    <w:pPr>
      <w:spacing w:after="0" w:line="240" w:lineRule="auto"/>
    </w:pPr>
    <w:tblPr>
      <w:tblStyleRowBandSize w:val="1"/>
      <w:tblStyleColBandSize w:val="1"/>
      <w:tblBorders>
        <w:top w:val="single" w:sz="4" w:space="0" w:color="F0D37F" w:themeColor="accent3" w:themeTint="98"/>
        <w:bottom w:val="single" w:sz="4" w:space="0" w:color="F0D37F" w:themeColor="accent3" w:themeTint="98"/>
      </w:tblBorders>
    </w:tblPr>
    <w:tblStylePr w:type="firstRow">
      <w:rPr>
        <w:b/>
        <w:color w:val="F0D37F" w:themeColor="accent3" w:themeTint="98" w:themeShade="95"/>
      </w:rPr>
      <w:tblPr/>
      <w:tcPr>
        <w:tcBorders>
          <w:bottom w:val="single" w:sz="4" w:space="0" w:color="F0D37F" w:themeColor="accent3" w:themeTint="98"/>
        </w:tcBorders>
      </w:tcPr>
    </w:tblStylePr>
    <w:tblStylePr w:type="lastRow">
      <w:rPr>
        <w:b/>
        <w:color w:val="F0D37F" w:themeColor="accent3" w:themeTint="98" w:themeShade="95"/>
      </w:rPr>
      <w:tblPr/>
      <w:tcPr>
        <w:tcBorders>
          <w:top w:val="single" w:sz="4" w:space="0" w:color="F0D37F" w:themeColor="accent3" w:themeTint="98"/>
        </w:tcBorders>
      </w:tcPr>
    </w:tblStylePr>
    <w:tblStylePr w:type="firstCol">
      <w:rPr>
        <w:b/>
        <w:color w:val="F0D37F" w:themeColor="accent3" w:themeTint="98" w:themeShade="95"/>
      </w:rPr>
    </w:tblStylePr>
    <w:tblStylePr w:type="lastCol">
      <w:rPr>
        <w:b/>
        <w:color w:val="F0D37F" w:themeColor="accent3" w:themeTint="98" w:themeShade="95"/>
      </w:r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6Colorful-Accent42">
    <w:name w:val="List Table 6 Colorful - Accent 42"/>
    <w:basedOn w:val="a5"/>
    <w:uiPriority w:val="99"/>
    <w:rsid w:val="00250BEC"/>
    <w:pPr>
      <w:spacing w:after="0" w:line="240" w:lineRule="auto"/>
    </w:pPr>
    <w:tblPr>
      <w:tblStyleRowBandSize w:val="1"/>
      <w:tblStyleColBandSize w:val="1"/>
      <w:tblBorders>
        <w:top w:val="single" w:sz="4" w:space="0" w:color="A4CCBB" w:themeColor="accent4" w:themeTint="9A"/>
        <w:bottom w:val="single" w:sz="4" w:space="0" w:color="A4CCBB" w:themeColor="accent4" w:themeTint="9A"/>
      </w:tblBorders>
    </w:tblPr>
    <w:tblStylePr w:type="firstRow">
      <w:rPr>
        <w:b/>
        <w:color w:val="A4CCBB" w:themeColor="accent4" w:themeTint="9A" w:themeShade="95"/>
      </w:rPr>
      <w:tblPr/>
      <w:tcPr>
        <w:tcBorders>
          <w:bottom w:val="single" w:sz="4" w:space="0" w:color="A4CCBB" w:themeColor="accent4" w:themeTint="9A"/>
        </w:tcBorders>
      </w:tcPr>
    </w:tblStylePr>
    <w:tblStylePr w:type="lastRow">
      <w:rPr>
        <w:b/>
        <w:color w:val="A4CCBB" w:themeColor="accent4" w:themeTint="9A" w:themeShade="95"/>
      </w:rPr>
      <w:tblPr/>
      <w:tcPr>
        <w:tcBorders>
          <w:top w:val="single" w:sz="4" w:space="0" w:color="A4CCBB" w:themeColor="accent4" w:themeTint="9A"/>
        </w:tcBorders>
      </w:tc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6Colorful-Accent52">
    <w:name w:val="List Table 6 Colorful - Accent 52"/>
    <w:basedOn w:val="a5"/>
    <w:uiPriority w:val="99"/>
    <w:rsid w:val="00250BEC"/>
    <w:pPr>
      <w:spacing w:after="0" w:line="240" w:lineRule="auto"/>
    </w:pPr>
    <w:tblPr>
      <w:tblStyleRowBandSize w:val="1"/>
      <w:tblStyleColBandSize w:val="1"/>
      <w:tblBorders>
        <w:top w:val="single" w:sz="4" w:space="0" w:color="94B5C5" w:themeColor="accent5" w:themeTint="9A"/>
        <w:bottom w:val="single" w:sz="4" w:space="0" w:color="94B5C5" w:themeColor="accent5" w:themeTint="9A"/>
      </w:tblBorders>
    </w:tblPr>
    <w:tblStylePr w:type="firstRow">
      <w:rPr>
        <w:b/>
        <w:color w:val="94B5C5" w:themeColor="accent5" w:themeTint="9A" w:themeShade="95"/>
      </w:rPr>
      <w:tblPr/>
      <w:tcPr>
        <w:tcBorders>
          <w:bottom w:val="single" w:sz="4" w:space="0" w:color="94B5C5" w:themeColor="accent5" w:themeTint="9A"/>
        </w:tcBorders>
      </w:tcPr>
    </w:tblStylePr>
    <w:tblStylePr w:type="lastRow">
      <w:rPr>
        <w:b/>
        <w:color w:val="94B5C5" w:themeColor="accent5" w:themeTint="9A" w:themeShade="95"/>
      </w:rPr>
      <w:tblPr/>
      <w:tcPr>
        <w:tcBorders>
          <w:top w:val="single" w:sz="4" w:space="0" w:color="94B5C5" w:themeColor="accent5" w:themeTint="9A"/>
        </w:tcBorders>
      </w:tcPr>
    </w:tblStylePr>
    <w:tblStylePr w:type="firstCol">
      <w:rPr>
        <w:b/>
        <w:color w:val="94B5C5" w:themeColor="accent5" w:themeTint="9A" w:themeShade="95"/>
      </w:rPr>
    </w:tblStylePr>
    <w:tblStylePr w:type="lastCol">
      <w:rPr>
        <w:b/>
        <w:color w:val="94B5C5" w:themeColor="accent5" w:themeTint="9A" w:themeShade="95"/>
      </w:r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6Colorful-Accent62">
    <w:name w:val="List Table 6 Colorful - Accent 62"/>
    <w:basedOn w:val="a5"/>
    <w:uiPriority w:val="99"/>
    <w:rsid w:val="00250BEC"/>
    <w:pPr>
      <w:spacing w:after="0" w:line="240" w:lineRule="auto"/>
    </w:pPr>
    <w:tblPr>
      <w:tblStyleRowBandSize w:val="1"/>
      <w:tblStyleColBandSize w:val="1"/>
      <w:tblBorders>
        <w:top w:val="single" w:sz="4" w:space="0" w:color="C59EC3" w:themeColor="accent6" w:themeTint="98"/>
        <w:bottom w:val="single" w:sz="4" w:space="0" w:color="C59EC3" w:themeColor="accent6" w:themeTint="98"/>
      </w:tblBorders>
    </w:tblPr>
    <w:tblStylePr w:type="firstRow">
      <w:rPr>
        <w:b/>
        <w:color w:val="C59EC3" w:themeColor="accent6" w:themeTint="98" w:themeShade="95"/>
      </w:rPr>
      <w:tblPr/>
      <w:tcPr>
        <w:tcBorders>
          <w:bottom w:val="single" w:sz="4" w:space="0" w:color="C59EC3" w:themeColor="accent6" w:themeTint="98"/>
        </w:tcBorders>
      </w:tcPr>
    </w:tblStylePr>
    <w:tblStylePr w:type="lastRow">
      <w:rPr>
        <w:b/>
        <w:color w:val="C59EC3" w:themeColor="accent6" w:themeTint="98" w:themeShade="95"/>
      </w:rPr>
      <w:tblPr/>
      <w:tcPr>
        <w:tcBorders>
          <w:top w:val="single" w:sz="4" w:space="0" w:color="C59EC3" w:themeColor="accent6" w:themeTint="98"/>
        </w:tcBorders>
      </w:tcPr>
    </w:tblStylePr>
    <w:tblStylePr w:type="firstCol">
      <w:rPr>
        <w:b/>
        <w:color w:val="C59EC3" w:themeColor="accent6" w:themeTint="98" w:themeShade="95"/>
      </w:rPr>
    </w:tblStylePr>
    <w:tblStylePr w:type="lastCol">
      <w:rPr>
        <w:b/>
        <w:color w:val="C59EC3" w:themeColor="accent6" w:themeTint="98" w:themeShade="95"/>
      </w:r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7120">
    <w:name w:val="Список-таблица 7 цветная12"/>
    <w:basedOn w:val="a5"/>
    <w:uiPriority w:val="99"/>
    <w:rsid w:val="00250BEC"/>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2">
    <w:name w:val="List Table 7 Colorful - Accent 12"/>
    <w:basedOn w:val="a5"/>
    <w:uiPriority w:val="99"/>
    <w:rsid w:val="00250BEC"/>
    <w:pPr>
      <w:spacing w:after="0" w:line="240" w:lineRule="auto"/>
    </w:pPr>
    <w:tblPr>
      <w:tblStyleRowBandSize w:val="1"/>
      <w:tblStyleColBandSize w:val="1"/>
      <w:tblBorders>
        <w:right w:val="single" w:sz="4" w:space="0" w:color="B01513" w:themeColor="accent1"/>
      </w:tblBorders>
    </w:tblPr>
    <w:tblStylePr w:type="firstRow">
      <w:rPr>
        <w:rFonts w:ascii="Arial" w:hAnsi="Arial"/>
        <w:i/>
        <w:color w:val="660C0B" w:themeColor="accent1" w:themeShade="95"/>
        <w:sz w:val="22"/>
      </w:rPr>
      <w:tblPr/>
      <w:tcPr>
        <w:tcBorders>
          <w:top w:val="none" w:sz="4" w:space="0" w:color="000000"/>
          <w:left w:val="none" w:sz="4" w:space="0" w:color="000000"/>
          <w:bottom w:val="single" w:sz="4" w:space="0" w:color="B01513" w:themeColor="accent1"/>
          <w:right w:val="none" w:sz="4" w:space="0" w:color="000000"/>
        </w:tcBorders>
        <w:shd w:val="clear" w:color="FFFFFF" w:themeColor="light1" w:fill="FFFFFF" w:themeFill="light1"/>
      </w:tcPr>
    </w:tblStylePr>
    <w:tblStylePr w:type="lastRow">
      <w:rPr>
        <w:rFonts w:ascii="Arial" w:hAnsi="Arial"/>
        <w:i/>
        <w:color w:val="660C0B" w:themeColor="accent1" w:themeShade="95"/>
        <w:sz w:val="22"/>
      </w:rPr>
      <w:tblPr/>
      <w:tcPr>
        <w:tcBorders>
          <w:top w:val="single" w:sz="4" w:space="0" w:color="B01513"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60C0B" w:themeColor="accent1" w:themeShade="95"/>
        <w:sz w:val="22"/>
      </w:rPr>
      <w:tblPr/>
      <w:tcPr>
        <w:tcBorders>
          <w:top w:val="none" w:sz="4" w:space="0" w:color="000000"/>
          <w:left w:val="none" w:sz="4" w:space="0" w:color="000000"/>
          <w:bottom w:val="none" w:sz="4" w:space="0" w:color="000000"/>
          <w:right w:val="single" w:sz="4" w:space="0" w:color="B01513" w:themeColor="accent1"/>
        </w:tcBorders>
        <w:shd w:val="clear" w:color="FFFFFF" w:fill="auto"/>
      </w:tcPr>
    </w:tblStylePr>
    <w:tblStylePr w:type="lastCol">
      <w:rPr>
        <w:rFonts w:ascii="Arial" w:hAnsi="Arial"/>
        <w:i/>
        <w:color w:val="660C0B" w:themeColor="accent1" w:themeShade="95"/>
        <w:sz w:val="22"/>
      </w:rPr>
      <w:tblPr/>
      <w:tcPr>
        <w:tcBorders>
          <w:top w:val="none" w:sz="4" w:space="0" w:color="000000"/>
          <w:left w:val="single" w:sz="4" w:space="0" w:color="B01513" w:themeColor="accent1"/>
          <w:bottom w:val="none" w:sz="4" w:space="0" w:color="000000"/>
          <w:right w:val="none" w:sz="4" w:space="0" w:color="000000"/>
        </w:tcBorders>
        <w:shd w:val="clear" w:color="FFFFFF" w:fill="auto"/>
      </w:tc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7Colorful-Accent22">
    <w:name w:val="List Table 7 Colorful - Accent 22"/>
    <w:basedOn w:val="a5"/>
    <w:uiPriority w:val="99"/>
    <w:rsid w:val="00250BEC"/>
    <w:pPr>
      <w:spacing w:after="0" w:line="240" w:lineRule="auto"/>
    </w:pPr>
    <w:tblPr>
      <w:tblStyleRowBandSize w:val="1"/>
      <w:tblStyleColBandSize w:val="1"/>
      <w:tblBorders>
        <w:right w:val="single" w:sz="4" w:space="0" w:color="F4A170" w:themeColor="accent2" w:themeTint="97"/>
      </w:tblBorders>
    </w:tblPr>
    <w:tblStylePr w:type="firstRow">
      <w:rPr>
        <w:rFonts w:ascii="Arial" w:hAnsi="Arial"/>
        <w:i/>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i/>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7Colorful-Accent32">
    <w:name w:val="List Table 7 Colorful - Accent 32"/>
    <w:basedOn w:val="a5"/>
    <w:uiPriority w:val="99"/>
    <w:rsid w:val="00250BEC"/>
    <w:pPr>
      <w:spacing w:after="0" w:line="240" w:lineRule="auto"/>
    </w:pPr>
    <w:tblPr>
      <w:tblStyleRowBandSize w:val="1"/>
      <w:tblStyleColBandSize w:val="1"/>
      <w:tblBorders>
        <w:right w:val="single" w:sz="4" w:space="0" w:color="F0D37F" w:themeColor="accent3" w:themeTint="98"/>
      </w:tblBorders>
    </w:tblPr>
    <w:tblStylePr w:type="firstRow">
      <w:rPr>
        <w:rFonts w:ascii="Arial" w:hAnsi="Arial"/>
        <w:i/>
        <w:color w:val="F0D37F" w:themeColor="accent3" w:themeTint="98" w:themeShade="95"/>
        <w:sz w:val="22"/>
      </w:rPr>
      <w:tblPr/>
      <w:tcPr>
        <w:tcBorders>
          <w:top w:val="none" w:sz="4" w:space="0" w:color="000000"/>
          <w:left w:val="none" w:sz="4" w:space="0" w:color="000000"/>
          <w:bottom w:val="single" w:sz="4" w:space="0" w:color="F0D37F" w:themeColor="accent3" w:themeTint="98"/>
          <w:right w:val="none" w:sz="4" w:space="0" w:color="000000"/>
        </w:tcBorders>
        <w:shd w:val="clear" w:color="FFFFFF" w:themeColor="light1" w:fill="FFFFFF" w:themeFill="light1"/>
      </w:tcPr>
    </w:tblStylePr>
    <w:tblStylePr w:type="lastRow">
      <w:rPr>
        <w:rFonts w:ascii="Arial" w:hAnsi="Arial"/>
        <w:i/>
        <w:color w:val="F0D37F" w:themeColor="accent3" w:themeTint="98" w:themeShade="95"/>
        <w:sz w:val="22"/>
      </w:rPr>
      <w:tblPr/>
      <w:tcPr>
        <w:tcBorders>
          <w:top w:val="single" w:sz="4" w:space="0" w:color="F0D37F"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0D37F" w:themeColor="accent3" w:themeTint="98" w:themeShade="95"/>
        <w:sz w:val="22"/>
      </w:rPr>
      <w:tblPr/>
      <w:tcPr>
        <w:tcBorders>
          <w:top w:val="none" w:sz="4" w:space="0" w:color="000000"/>
          <w:left w:val="none" w:sz="4" w:space="0" w:color="000000"/>
          <w:bottom w:val="none" w:sz="4" w:space="0" w:color="000000"/>
          <w:right w:val="single" w:sz="4" w:space="0" w:color="F0D37F" w:themeColor="accent3" w:themeTint="98"/>
        </w:tcBorders>
        <w:shd w:val="clear" w:color="FFFFFF" w:fill="auto"/>
      </w:tcPr>
    </w:tblStylePr>
    <w:tblStylePr w:type="lastCol">
      <w:rPr>
        <w:rFonts w:ascii="Arial" w:hAnsi="Arial"/>
        <w:i/>
        <w:color w:val="F0D37F" w:themeColor="accent3" w:themeTint="98" w:themeShade="95"/>
        <w:sz w:val="22"/>
      </w:rPr>
      <w:tblPr/>
      <w:tcPr>
        <w:tcBorders>
          <w:top w:val="none" w:sz="4" w:space="0" w:color="000000"/>
          <w:left w:val="single" w:sz="4" w:space="0" w:color="F0D37F" w:themeColor="accent3" w:themeTint="98"/>
          <w:bottom w:val="none" w:sz="4" w:space="0" w:color="000000"/>
          <w:right w:val="none" w:sz="4" w:space="0" w:color="000000"/>
        </w:tcBorders>
        <w:shd w:val="clear" w:color="FFFFFF" w:fill="auto"/>
      </w:tc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7Colorful-Accent42">
    <w:name w:val="List Table 7 Colorful - Accent 42"/>
    <w:basedOn w:val="a5"/>
    <w:uiPriority w:val="99"/>
    <w:rsid w:val="00250BEC"/>
    <w:pPr>
      <w:spacing w:after="0" w:line="240" w:lineRule="auto"/>
    </w:pPr>
    <w:tblPr>
      <w:tblStyleRowBandSize w:val="1"/>
      <w:tblStyleColBandSize w:val="1"/>
      <w:tblBorders>
        <w:right w:val="single" w:sz="4" w:space="0" w:color="A4CCBB" w:themeColor="accent4" w:themeTint="9A"/>
      </w:tblBorders>
    </w:tblPr>
    <w:tblStylePr w:type="firstRow">
      <w:rPr>
        <w:rFonts w:ascii="Arial" w:hAnsi="Arial"/>
        <w:i/>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i/>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7Colorful-Accent52">
    <w:name w:val="List Table 7 Colorful - Accent 52"/>
    <w:basedOn w:val="a5"/>
    <w:uiPriority w:val="99"/>
    <w:rsid w:val="00250BEC"/>
    <w:pPr>
      <w:spacing w:after="0" w:line="240" w:lineRule="auto"/>
    </w:pPr>
    <w:tblPr>
      <w:tblStyleRowBandSize w:val="1"/>
      <w:tblStyleColBandSize w:val="1"/>
      <w:tblBorders>
        <w:right w:val="single" w:sz="4" w:space="0" w:color="94B5C5" w:themeColor="accent5" w:themeTint="9A"/>
      </w:tblBorders>
    </w:tblPr>
    <w:tblStylePr w:type="firstRow">
      <w:rPr>
        <w:rFonts w:ascii="Arial" w:hAnsi="Arial"/>
        <w:i/>
        <w:color w:val="94B5C5" w:themeColor="accent5" w:themeTint="9A" w:themeShade="95"/>
        <w:sz w:val="22"/>
      </w:rPr>
      <w:tblPr/>
      <w:tcPr>
        <w:tcBorders>
          <w:top w:val="none" w:sz="4" w:space="0" w:color="000000"/>
          <w:left w:val="none" w:sz="4" w:space="0" w:color="000000"/>
          <w:bottom w:val="single" w:sz="4" w:space="0" w:color="94B5C5" w:themeColor="accent5" w:themeTint="9A"/>
          <w:right w:val="none" w:sz="4" w:space="0" w:color="000000"/>
        </w:tcBorders>
        <w:shd w:val="clear" w:color="FFFFFF" w:themeColor="light1" w:fill="FFFFFF" w:themeFill="light1"/>
      </w:tcPr>
    </w:tblStylePr>
    <w:tblStylePr w:type="lastRow">
      <w:rPr>
        <w:rFonts w:ascii="Arial" w:hAnsi="Arial"/>
        <w:i/>
        <w:color w:val="94B5C5" w:themeColor="accent5" w:themeTint="9A" w:themeShade="95"/>
        <w:sz w:val="22"/>
      </w:rPr>
      <w:tblPr/>
      <w:tcPr>
        <w:tcBorders>
          <w:top w:val="single" w:sz="4" w:space="0" w:color="94B5C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4B5C5" w:themeColor="accent5" w:themeTint="9A" w:themeShade="95"/>
        <w:sz w:val="22"/>
      </w:rPr>
      <w:tblPr/>
      <w:tcPr>
        <w:tcBorders>
          <w:top w:val="none" w:sz="4" w:space="0" w:color="000000"/>
          <w:left w:val="none" w:sz="4" w:space="0" w:color="000000"/>
          <w:bottom w:val="none" w:sz="4" w:space="0" w:color="000000"/>
          <w:right w:val="single" w:sz="4" w:space="0" w:color="94B5C5" w:themeColor="accent5" w:themeTint="9A"/>
        </w:tcBorders>
        <w:shd w:val="clear" w:color="FFFFFF" w:fill="auto"/>
      </w:tcPr>
    </w:tblStylePr>
    <w:tblStylePr w:type="lastCol">
      <w:rPr>
        <w:rFonts w:ascii="Arial" w:hAnsi="Arial"/>
        <w:i/>
        <w:color w:val="94B5C5" w:themeColor="accent5" w:themeTint="9A" w:themeShade="95"/>
        <w:sz w:val="22"/>
      </w:rPr>
      <w:tblPr/>
      <w:tcPr>
        <w:tcBorders>
          <w:top w:val="none" w:sz="4" w:space="0" w:color="000000"/>
          <w:left w:val="single" w:sz="4" w:space="0" w:color="94B5C5" w:themeColor="accent5" w:themeTint="9A"/>
          <w:bottom w:val="none" w:sz="4" w:space="0" w:color="000000"/>
          <w:right w:val="none" w:sz="4" w:space="0" w:color="000000"/>
        </w:tcBorders>
        <w:shd w:val="clear" w:color="FFFFFF" w:fill="auto"/>
      </w:tc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7Colorful-Accent62">
    <w:name w:val="List Table 7 Colorful - Accent 62"/>
    <w:basedOn w:val="a5"/>
    <w:uiPriority w:val="99"/>
    <w:rsid w:val="00250BEC"/>
    <w:pPr>
      <w:spacing w:after="0" w:line="240" w:lineRule="auto"/>
    </w:pPr>
    <w:tblPr>
      <w:tblStyleRowBandSize w:val="1"/>
      <w:tblStyleColBandSize w:val="1"/>
      <w:tblBorders>
        <w:right w:val="single" w:sz="4" w:space="0" w:color="C59EC3" w:themeColor="accent6" w:themeTint="98"/>
      </w:tblBorders>
    </w:tblPr>
    <w:tblStylePr w:type="firstRow">
      <w:rPr>
        <w:rFonts w:ascii="Arial" w:hAnsi="Arial"/>
        <w:i/>
        <w:color w:val="C59EC3" w:themeColor="accent6" w:themeTint="98" w:themeShade="95"/>
        <w:sz w:val="22"/>
      </w:rPr>
      <w:tblPr/>
      <w:tcPr>
        <w:tcBorders>
          <w:top w:val="none" w:sz="4" w:space="0" w:color="000000"/>
          <w:left w:val="none" w:sz="4" w:space="0" w:color="000000"/>
          <w:bottom w:val="single" w:sz="4" w:space="0" w:color="C59EC3" w:themeColor="accent6" w:themeTint="98"/>
          <w:right w:val="none" w:sz="4" w:space="0" w:color="000000"/>
        </w:tcBorders>
        <w:shd w:val="clear" w:color="FFFFFF" w:themeColor="light1" w:fill="FFFFFF" w:themeFill="light1"/>
      </w:tcPr>
    </w:tblStylePr>
    <w:tblStylePr w:type="lastRow">
      <w:rPr>
        <w:rFonts w:ascii="Arial" w:hAnsi="Arial"/>
        <w:i/>
        <w:color w:val="C59EC3" w:themeColor="accent6" w:themeTint="98" w:themeShade="95"/>
        <w:sz w:val="22"/>
      </w:rPr>
      <w:tblPr/>
      <w:tcPr>
        <w:tcBorders>
          <w:top w:val="single" w:sz="4" w:space="0" w:color="C59EC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59EC3" w:themeColor="accent6" w:themeTint="98" w:themeShade="95"/>
        <w:sz w:val="22"/>
      </w:rPr>
      <w:tblPr/>
      <w:tcPr>
        <w:tcBorders>
          <w:top w:val="none" w:sz="4" w:space="0" w:color="000000"/>
          <w:left w:val="none" w:sz="4" w:space="0" w:color="000000"/>
          <w:bottom w:val="none" w:sz="4" w:space="0" w:color="000000"/>
          <w:right w:val="single" w:sz="4" w:space="0" w:color="C59EC3" w:themeColor="accent6" w:themeTint="98"/>
        </w:tcBorders>
        <w:shd w:val="clear" w:color="FFFFFF" w:fill="auto"/>
      </w:tcPr>
    </w:tblStylePr>
    <w:tblStylePr w:type="lastCol">
      <w:rPr>
        <w:rFonts w:ascii="Arial" w:hAnsi="Arial"/>
        <w:i/>
        <w:color w:val="C59EC3" w:themeColor="accent6" w:themeTint="98" w:themeShade="95"/>
        <w:sz w:val="22"/>
      </w:rPr>
      <w:tblPr/>
      <w:tcPr>
        <w:tcBorders>
          <w:top w:val="none" w:sz="4" w:space="0" w:color="000000"/>
          <w:left w:val="single" w:sz="4" w:space="0" w:color="C59EC3" w:themeColor="accent6" w:themeTint="98"/>
          <w:bottom w:val="none" w:sz="4" w:space="0" w:color="000000"/>
          <w:right w:val="none" w:sz="4" w:space="0" w:color="000000"/>
        </w:tcBorders>
        <w:shd w:val="clear" w:color="FFFFFF" w:fill="auto"/>
      </w:tc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Lined-Accent20">
    <w:name w:val="Lined - Accent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2">
    <w:name w:val="Lined - Accent 1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Lined-Accent22">
    <w:name w:val="Lined - Accent 2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Lined-Accent32">
    <w:name w:val="Lined - Accent 3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Lined-Accent42">
    <w:name w:val="Lined - Accent 4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Lined-Accent52">
    <w:name w:val="Lined - Accent 5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Lined-Accent62">
    <w:name w:val="Lined - Accent 62"/>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Lined-Accent20">
    <w:name w:val="Bordered &amp; Lined - Accent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2">
    <w:name w:val="Bordered &amp; Lined - Accent 1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660C0B" w:themeColor="accent1" w:themeShade="95"/>
        <w:left w:val="single" w:sz="4" w:space="0" w:color="660C0B" w:themeColor="accent1" w:themeShade="95"/>
        <w:bottom w:val="single" w:sz="4" w:space="0" w:color="660C0B" w:themeColor="accent1" w:themeShade="95"/>
        <w:right w:val="single" w:sz="4" w:space="0" w:color="660C0B" w:themeColor="accent1" w:themeShade="95"/>
        <w:insideH w:val="single" w:sz="4" w:space="0" w:color="660C0B" w:themeColor="accent1" w:themeShade="95"/>
        <w:insideV w:val="single" w:sz="4" w:space="0" w:color="660C0B" w:themeColor="accent1" w:themeShade="95"/>
      </w:tblBorders>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BorderedLined-Accent22">
    <w:name w:val="Bordered &amp; Lined - Accent 2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88390A" w:themeColor="accent2" w:themeShade="95"/>
        <w:left w:val="single" w:sz="4" w:space="0" w:color="88390A" w:themeColor="accent2" w:themeShade="95"/>
        <w:bottom w:val="single" w:sz="4" w:space="0" w:color="88390A" w:themeColor="accent2" w:themeShade="95"/>
        <w:right w:val="single" w:sz="4" w:space="0" w:color="88390A" w:themeColor="accent2" w:themeShade="95"/>
        <w:insideH w:val="single" w:sz="4" w:space="0" w:color="88390A" w:themeColor="accent2" w:themeShade="95"/>
        <w:insideV w:val="single" w:sz="4" w:space="0" w:color="88390A" w:themeColor="accent2" w:themeShade="95"/>
      </w:tblBorders>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BorderedLined-Accent32">
    <w:name w:val="Bordered &amp; Lined - Accent 3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8D6E10" w:themeColor="accent3" w:themeShade="95"/>
        <w:left w:val="single" w:sz="4" w:space="0" w:color="8D6E10" w:themeColor="accent3" w:themeShade="95"/>
        <w:bottom w:val="single" w:sz="4" w:space="0" w:color="8D6E10" w:themeColor="accent3" w:themeShade="95"/>
        <w:right w:val="single" w:sz="4" w:space="0" w:color="8D6E10" w:themeColor="accent3" w:themeShade="95"/>
        <w:insideH w:val="single" w:sz="4" w:space="0" w:color="8D6E10" w:themeColor="accent3" w:themeShade="95"/>
        <w:insideV w:val="single" w:sz="4" w:space="0" w:color="8D6E10" w:themeColor="accent3" w:themeShade="95"/>
      </w:tblBorders>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BorderedLined-Accent42">
    <w:name w:val="Bordered &amp; Lined - Accent 4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3A6854" w:themeColor="accent4" w:themeShade="95"/>
        <w:left w:val="single" w:sz="4" w:space="0" w:color="3A6854" w:themeColor="accent4" w:themeShade="95"/>
        <w:bottom w:val="single" w:sz="4" w:space="0" w:color="3A6854" w:themeColor="accent4" w:themeShade="95"/>
        <w:right w:val="single" w:sz="4" w:space="0" w:color="3A6854" w:themeColor="accent4" w:themeShade="95"/>
        <w:insideH w:val="single" w:sz="4" w:space="0" w:color="3A6854" w:themeColor="accent4" w:themeShade="95"/>
        <w:insideV w:val="single" w:sz="4" w:space="0" w:color="3A6854" w:themeColor="accent4" w:themeShade="95"/>
      </w:tblBorders>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BorderedLined-Accent52">
    <w:name w:val="Bordered &amp; Lined - Accent 5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314C59" w:themeColor="accent5" w:themeShade="95"/>
        <w:left w:val="single" w:sz="4" w:space="0" w:color="314C59" w:themeColor="accent5" w:themeShade="95"/>
        <w:bottom w:val="single" w:sz="4" w:space="0" w:color="314C59" w:themeColor="accent5" w:themeShade="95"/>
        <w:right w:val="single" w:sz="4" w:space="0" w:color="314C59" w:themeColor="accent5" w:themeShade="95"/>
        <w:insideH w:val="single" w:sz="4" w:space="0" w:color="314C59" w:themeColor="accent5" w:themeShade="95"/>
        <w:insideV w:val="single" w:sz="4" w:space="0" w:color="314C59" w:themeColor="accent5" w:themeShade="95"/>
      </w:tblBorders>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BorderedLined-Accent62">
    <w:name w:val="Bordered &amp; Lined - Accent 62"/>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5C375A" w:themeColor="accent6" w:themeShade="95"/>
        <w:left w:val="single" w:sz="4" w:space="0" w:color="5C375A" w:themeColor="accent6" w:themeShade="95"/>
        <w:bottom w:val="single" w:sz="4" w:space="0" w:color="5C375A" w:themeColor="accent6" w:themeShade="95"/>
        <w:right w:val="single" w:sz="4" w:space="0" w:color="5C375A" w:themeColor="accent6" w:themeShade="95"/>
        <w:insideH w:val="single" w:sz="4" w:space="0" w:color="5C375A" w:themeColor="accent6" w:themeShade="95"/>
        <w:insideV w:val="single" w:sz="4" w:space="0" w:color="5C375A" w:themeColor="accent6" w:themeShade="95"/>
      </w:tblBorders>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2">
    <w:name w:val="Bordered2"/>
    <w:basedOn w:val="a5"/>
    <w:uiPriority w:val="99"/>
    <w:rsid w:val="00250BEC"/>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2">
    <w:name w:val="Bordered - Accent 12"/>
    <w:basedOn w:val="a5"/>
    <w:uiPriority w:val="99"/>
    <w:rsid w:val="00250BEC"/>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rFonts w:ascii="Arial" w:hAnsi="Arial"/>
        <w:color w:val="404040"/>
        <w:sz w:val="22"/>
      </w:rPr>
      <w:tblPr/>
      <w:tcPr>
        <w:tcBorders>
          <w:bottom w:val="single" w:sz="12" w:space="0" w:color="B01513" w:themeColor="accent1"/>
        </w:tcBorders>
      </w:tcPr>
    </w:tblStylePr>
    <w:tblStylePr w:type="lastRow">
      <w:rPr>
        <w:rFonts w:ascii="Arial" w:hAnsi="Arial"/>
        <w:color w:val="404040"/>
        <w:sz w:val="22"/>
      </w:rPr>
      <w:tblPr/>
      <w:tcPr>
        <w:tcBorders>
          <w:top w:val="single" w:sz="12" w:space="0" w:color="B01513"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01513" w:themeColor="accent1"/>
        </w:tcBorders>
      </w:tc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Bordered-Accent22">
    <w:name w:val="Bordered - Accent 22"/>
    <w:basedOn w:val="a5"/>
    <w:uiPriority w:val="99"/>
    <w:rsid w:val="00250BEC"/>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rFonts w:ascii="Arial" w:hAnsi="Arial"/>
        <w:color w:val="404040"/>
        <w:sz w:val="22"/>
      </w:rPr>
      <w:tblPr/>
      <w:tcPr>
        <w:tcBorders>
          <w:bottom w:val="single" w:sz="12" w:space="0" w:color="F4A170" w:themeColor="accent2" w:themeTint="97"/>
        </w:tcBorders>
      </w:tcPr>
    </w:tblStylePr>
    <w:tblStylePr w:type="lastRow">
      <w:rPr>
        <w:rFonts w:ascii="Arial" w:hAnsi="Arial"/>
        <w:color w:val="404040"/>
        <w:sz w:val="22"/>
      </w:rPr>
      <w:tblPr/>
      <w:tcPr>
        <w:tcBorders>
          <w:top w:val="single" w:sz="12" w:space="0" w:color="F4A170"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A170" w:themeColor="accent2" w:themeTint="97"/>
        </w:tcBorders>
      </w:tc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Bordered-Accent32">
    <w:name w:val="Bordered - Accent 32"/>
    <w:basedOn w:val="a5"/>
    <w:uiPriority w:val="99"/>
    <w:rsid w:val="00250BEC"/>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rFonts w:ascii="Arial" w:hAnsi="Arial"/>
        <w:color w:val="404040"/>
        <w:sz w:val="22"/>
      </w:rPr>
      <w:tblPr/>
      <w:tcPr>
        <w:tcBorders>
          <w:bottom w:val="single" w:sz="12" w:space="0" w:color="F0D37F" w:themeColor="accent3" w:themeTint="98"/>
        </w:tcBorders>
      </w:tcPr>
    </w:tblStylePr>
    <w:tblStylePr w:type="lastRow">
      <w:rPr>
        <w:rFonts w:ascii="Arial" w:hAnsi="Arial"/>
        <w:color w:val="404040"/>
        <w:sz w:val="22"/>
      </w:rPr>
      <w:tblPr/>
      <w:tcPr>
        <w:tcBorders>
          <w:top w:val="single" w:sz="12" w:space="0" w:color="F0D37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0D37F" w:themeColor="accent3" w:themeTint="98"/>
        </w:tcBorders>
      </w:tc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Bordered-Accent42">
    <w:name w:val="Bordered - Accent 42"/>
    <w:basedOn w:val="a5"/>
    <w:uiPriority w:val="99"/>
    <w:rsid w:val="00250BEC"/>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rFonts w:ascii="Arial" w:hAnsi="Arial"/>
        <w:color w:val="404040"/>
        <w:sz w:val="22"/>
      </w:rPr>
      <w:tblPr/>
      <w:tcPr>
        <w:tcBorders>
          <w:bottom w:val="single" w:sz="12" w:space="0" w:color="A4CCBB" w:themeColor="accent4" w:themeTint="9A"/>
        </w:tcBorders>
      </w:tcPr>
    </w:tblStylePr>
    <w:tblStylePr w:type="lastRow">
      <w:rPr>
        <w:rFonts w:ascii="Arial" w:hAnsi="Arial"/>
        <w:color w:val="404040"/>
        <w:sz w:val="22"/>
      </w:rPr>
      <w:tblPr/>
      <w:tcPr>
        <w:tcBorders>
          <w:top w:val="single" w:sz="12" w:space="0" w:color="A4CCBB"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4CCBB" w:themeColor="accent4" w:themeTint="9A"/>
        </w:tcBorders>
      </w:tc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Bordered-Accent52">
    <w:name w:val="Bordered - Accent 52"/>
    <w:basedOn w:val="a5"/>
    <w:uiPriority w:val="99"/>
    <w:rsid w:val="00250BEC"/>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rFonts w:ascii="Arial" w:hAnsi="Arial"/>
        <w:color w:val="404040"/>
        <w:sz w:val="22"/>
      </w:rPr>
      <w:tblPr/>
      <w:tcPr>
        <w:tcBorders>
          <w:bottom w:val="single" w:sz="12" w:space="0" w:color="94B5C5" w:themeColor="accent5" w:themeTint="9A"/>
        </w:tcBorders>
      </w:tcPr>
    </w:tblStylePr>
    <w:tblStylePr w:type="lastRow">
      <w:rPr>
        <w:rFonts w:ascii="Arial" w:hAnsi="Arial"/>
        <w:color w:val="404040"/>
        <w:sz w:val="22"/>
      </w:rPr>
      <w:tblPr/>
      <w:tcPr>
        <w:tcBorders>
          <w:top w:val="single" w:sz="12" w:space="0" w:color="94B5C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4B5C5" w:themeColor="accent5" w:themeTint="9A"/>
        </w:tcBorders>
      </w:tc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Bordered-Accent62">
    <w:name w:val="Bordered - Accent 62"/>
    <w:basedOn w:val="a5"/>
    <w:uiPriority w:val="99"/>
    <w:rsid w:val="00250BEC"/>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rFonts w:ascii="Arial" w:hAnsi="Arial"/>
        <w:color w:val="404040"/>
        <w:sz w:val="22"/>
      </w:rPr>
      <w:tblPr/>
      <w:tcPr>
        <w:tcBorders>
          <w:bottom w:val="single" w:sz="12" w:space="0" w:color="C59EC3" w:themeColor="accent6" w:themeTint="98"/>
        </w:tcBorders>
      </w:tcPr>
    </w:tblStylePr>
    <w:tblStylePr w:type="lastRow">
      <w:rPr>
        <w:rFonts w:ascii="Arial" w:hAnsi="Arial"/>
        <w:color w:val="404040"/>
        <w:sz w:val="22"/>
      </w:rPr>
      <w:tblPr/>
      <w:tcPr>
        <w:tcBorders>
          <w:top w:val="single" w:sz="12" w:space="0" w:color="C59EC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59EC3" w:themeColor="accent6" w:themeTint="98"/>
        </w:tcBorders>
      </w:tc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TableNormal12">
    <w:name w:val="Table Normal12"/>
    <w:rsid w:val="00250BEC"/>
    <w:pPr>
      <w:spacing w:after="0" w:line="276" w:lineRule="auto"/>
    </w:pPr>
    <w:rPr>
      <w:rFonts w:ascii="Arial" w:eastAsia="Times New Roman" w:hAnsi="Arial" w:cs="Arial"/>
      <w:lang w:val="ru" w:eastAsia="ru-RU"/>
    </w:rPr>
    <w:tblPr>
      <w:tblCellMar>
        <w:top w:w="0" w:type="dxa"/>
        <w:left w:w="0" w:type="dxa"/>
        <w:bottom w:w="0" w:type="dxa"/>
        <w:right w:w="0" w:type="dxa"/>
      </w:tblCellMar>
    </w:tblPr>
  </w:style>
  <w:style w:type="table" w:customStyle="1" w:styleId="-73">
    <w:name w:val="Список-таблица 7 цветная3"/>
    <w:basedOn w:val="a5"/>
    <w:next w:val="-7"/>
    <w:uiPriority w:val="52"/>
    <w:rsid w:val="00250BEC"/>
    <w:pPr>
      <w:spacing w:after="0" w:line="240" w:lineRule="auto"/>
    </w:pPr>
    <w:rPr>
      <w:rFonts w:ascii="Calibri" w:eastAsia="Times New Roman" w:hAnsi="Calibri" w:cs="Times New Roman"/>
      <w:color w:val="000000"/>
      <w:lang w:eastAsia="ru-RU"/>
    </w:rPr>
    <w:tblPr>
      <w:tblStyleRowBandSize w:val="1"/>
      <w:tblStyleColBandSize w:val="1"/>
    </w:tblPr>
    <w:tblStylePr w:type="firstRow">
      <w:rPr>
        <w:rFonts w:ascii="Cambria" w:eastAsia="Times New Roman" w:hAnsi="Cambria" w:cs="Times New Roman"/>
        <w:i/>
        <w:iCs/>
        <w:sz w:val="26"/>
      </w:rPr>
      <w:tblPr/>
      <w:tcPr>
        <w:tcBorders>
          <w:bottom w:val="single" w:sz="4" w:space="0" w:color="000000"/>
        </w:tcBorders>
        <w:shd w:val="clear" w:color="auto" w:fill="FFFFFF"/>
      </w:tcPr>
    </w:tblStylePr>
    <w:tblStylePr w:type="lastRow">
      <w:rPr>
        <w:rFonts w:ascii="Cambria" w:eastAsia="Times New Roman" w:hAnsi="Cambria" w:cs="Times New Roman"/>
        <w:i/>
        <w:iCs/>
        <w:sz w:val="26"/>
      </w:rPr>
      <w:tblPr/>
      <w:tcPr>
        <w:tcBorders>
          <w:top w:val="single" w:sz="4" w:space="0" w:color="000000"/>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000000"/>
        </w:tcBorders>
        <w:shd w:val="clear" w:color="auto" w:fill="FFFFFF"/>
      </w:tcPr>
    </w:tblStylePr>
    <w:tblStylePr w:type="lastCol">
      <w:rPr>
        <w:rFonts w:ascii="Cambria" w:eastAsia="Times New Roman" w:hAnsi="Cambria"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813">
    <w:name w:val="Нет списка81"/>
    <w:next w:val="a6"/>
    <w:uiPriority w:val="99"/>
    <w:semiHidden/>
    <w:unhideWhenUsed/>
    <w:rsid w:val="00250BEC"/>
  </w:style>
  <w:style w:type="numbering" w:customStyle="1" w:styleId="913">
    <w:name w:val="Нет списка91"/>
    <w:next w:val="a6"/>
    <w:semiHidden/>
    <w:rsid w:val="00250BEC"/>
  </w:style>
  <w:style w:type="paragraph" w:customStyle="1" w:styleId="75">
    <w:name w:val="Без интервала7"/>
    <w:rsid w:val="00250BEC"/>
    <w:pPr>
      <w:spacing w:after="0" w:line="240" w:lineRule="auto"/>
    </w:pPr>
    <w:rPr>
      <w:rFonts w:ascii="Times New Roman" w:eastAsia="Times New Roman" w:hAnsi="Times New Roman" w:cs="Angsana New"/>
      <w:szCs w:val="20"/>
      <w:lang w:bidi="th-TH"/>
    </w:rPr>
  </w:style>
  <w:style w:type="paragraph" w:customStyle="1" w:styleId="msolistparagraph0">
    <w:name w:val="msolistparagraph"/>
    <w:basedOn w:val="a3"/>
    <w:rsid w:val="00250BEC"/>
    <w:pPr>
      <w:ind w:left="720" w:firstLine="0"/>
      <w:jc w:val="left"/>
    </w:pPr>
    <w:rPr>
      <w:rFonts w:ascii="Calibri" w:eastAsia="Calibri" w:hAnsi="Calibri" w:cs="Times New Roman"/>
      <w:sz w:val="22"/>
      <w:lang w:bidi="th-TH"/>
    </w:rPr>
  </w:style>
  <w:style w:type="paragraph" w:customStyle="1" w:styleId="1ffff0">
    <w:name w:val="Концепция1"/>
    <w:basedOn w:val="a3"/>
    <w:link w:val="1ffff1"/>
    <w:rsid w:val="00250BEC"/>
    <w:pPr>
      <w:keepNext/>
      <w:keepLines/>
      <w:pBdr>
        <w:top w:val="none" w:sz="4" w:space="0" w:color="000000"/>
        <w:left w:val="none" w:sz="4" w:space="0" w:color="000000"/>
        <w:bottom w:val="none" w:sz="4" w:space="0" w:color="000000"/>
        <w:right w:val="none" w:sz="4" w:space="0" w:color="000000"/>
        <w:between w:val="none" w:sz="4" w:space="0" w:color="000000"/>
      </w:pBdr>
      <w:spacing w:before="240" w:line="259" w:lineRule="auto"/>
      <w:ind w:firstLine="0"/>
      <w:jc w:val="center"/>
      <w:outlineLvl w:val="0"/>
    </w:pPr>
    <w:rPr>
      <w:rFonts w:ascii="PT Astra Serif" w:eastAsia="Times New Roman" w:hAnsi="PT Astra Serif" w:cs="Cambria"/>
      <w:b/>
      <w:color w:val="000000"/>
      <w:szCs w:val="32"/>
    </w:rPr>
  </w:style>
  <w:style w:type="character" w:customStyle="1" w:styleId="1ffff1">
    <w:name w:val="Концепция1 Знак"/>
    <w:link w:val="1ffff0"/>
    <w:locked/>
    <w:rsid w:val="00250BEC"/>
    <w:rPr>
      <w:rFonts w:ascii="PT Astra Serif" w:eastAsia="Times New Roman" w:hAnsi="PT Astra Serif" w:cs="Cambria"/>
      <w:b/>
      <w:color w:val="000000"/>
      <w:sz w:val="28"/>
      <w:szCs w:val="32"/>
    </w:rPr>
  </w:style>
  <w:style w:type="character" w:customStyle="1" w:styleId="59">
    <w:name w:val="Строгий5"/>
    <w:rsid w:val="00250BEC"/>
    <w:rPr>
      <w:b/>
      <w:bCs/>
    </w:rPr>
  </w:style>
  <w:style w:type="numbering" w:customStyle="1" w:styleId="1011">
    <w:name w:val="Нет списка101"/>
    <w:next w:val="a6"/>
    <w:uiPriority w:val="99"/>
    <w:semiHidden/>
    <w:unhideWhenUsed/>
    <w:rsid w:val="00250BEC"/>
  </w:style>
  <w:style w:type="table" w:customStyle="1" w:styleId="102">
    <w:name w:val="Сетка таблицы102"/>
    <w:basedOn w:val="a5"/>
    <w:next w:val="aff4"/>
    <w:uiPriority w:val="59"/>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Маркированный"/>
    <w:basedOn w:val="a3"/>
    <w:rsid w:val="00250BEC"/>
    <w:pPr>
      <w:numPr>
        <w:numId w:val="32"/>
      </w:numPr>
      <w:spacing w:before="120" w:after="120"/>
    </w:pPr>
    <w:rPr>
      <w:rFonts w:eastAsia="Calibri" w:cs="Times New Roman"/>
      <w:sz w:val="24"/>
      <w:szCs w:val="24"/>
      <w:lang w:eastAsia="ru-RU"/>
    </w:rPr>
  </w:style>
  <w:style w:type="paragraph" w:customStyle="1" w:styleId="3f6">
    <w:name w:val="Стиль3 Знак Знак"/>
    <w:basedOn w:val="26"/>
    <w:rsid w:val="00250BEC"/>
    <w:pPr>
      <w:widowControl w:val="0"/>
      <w:tabs>
        <w:tab w:val="num" w:pos="360"/>
      </w:tabs>
      <w:adjustRightInd w:val="0"/>
      <w:spacing w:after="0" w:line="240" w:lineRule="auto"/>
      <w:jc w:val="both"/>
    </w:pPr>
    <w:rPr>
      <w:rFonts w:ascii="Times New Roman" w:hAnsi="Times New Roman"/>
      <w:sz w:val="24"/>
      <w:szCs w:val="24"/>
      <w:lang w:val="ru-RU" w:eastAsia="ru-RU"/>
    </w:rPr>
  </w:style>
  <w:style w:type="character" w:customStyle="1" w:styleId="5a">
    <w:name w:val="Знак Знак5"/>
    <w:rsid w:val="00250BEC"/>
    <w:rPr>
      <w:rFonts w:ascii="Times New Roman" w:eastAsia="Times New Roman" w:hAnsi="Times New Roman" w:cs="Times New Roman"/>
      <w:sz w:val="28"/>
      <w:szCs w:val="20"/>
      <w:lang w:eastAsia="ru-RU"/>
    </w:rPr>
  </w:style>
  <w:style w:type="paragraph" w:customStyle="1" w:styleId="Pa4">
    <w:name w:val="Pa4"/>
    <w:basedOn w:val="a3"/>
    <w:next w:val="a3"/>
    <w:uiPriority w:val="99"/>
    <w:rsid w:val="00250BEC"/>
    <w:pPr>
      <w:autoSpaceDE w:val="0"/>
      <w:autoSpaceDN w:val="0"/>
      <w:adjustRightInd w:val="0"/>
      <w:spacing w:line="241" w:lineRule="atLeast"/>
      <w:ind w:firstLine="0"/>
      <w:jc w:val="left"/>
    </w:pPr>
    <w:rPr>
      <w:rFonts w:ascii="Arial" w:eastAsia="Calibri" w:hAnsi="Arial" w:cs="Arial"/>
      <w:sz w:val="24"/>
      <w:szCs w:val="24"/>
    </w:rPr>
  </w:style>
  <w:style w:type="paragraph" w:customStyle="1" w:styleId="119">
    <w:name w:val="Обычный11"/>
    <w:rsid w:val="00250BEC"/>
    <w:pPr>
      <w:spacing w:after="0" w:line="240" w:lineRule="auto"/>
    </w:pPr>
    <w:rPr>
      <w:rFonts w:ascii="Times New Roman" w:eastAsia="Times New Roman" w:hAnsi="Times New Roman" w:cs="Times New Roman"/>
      <w:sz w:val="20"/>
      <w:szCs w:val="20"/>
      <w:lang w:eastAsia="ru-RU"/>
    </w:rPr>
  </w:style>
  <w:style w:type="paragraph" w:customStyle="1" w:styleId="11a">
    <w:name w:val="Название11"/>
    <w:basedOn w:val="119"/>
    <w:rsid w:val="00250BEC"/>
    <w:pPr>
      <w:jc w:val="center"/>
    </w:pPr>
    <w:rPr>
      <w:b/>
    </w:rPr>
  </w:style>
  <w:style w:type="paragraph" w:customStyle="1" w:styleId="11b">
    <w:name w:val="Основной текст11"/>
    <w:basedOn w:val="119"/>
    <w:rsid w:val="00250BEC"/>
    <w:pPr>
      <w:jc w:val="both"/>
    </w:pPr>
    <w:rPr>
      <w:sz w:val="28"/>
    </w:rPr>
  </w:style>
  <w:style w:type="character" w:customStyle="1" w:styleId="1115">
    <w:name w:val="Знак Знак111"/>
    <w:rsid w:val="00250BEC"/>
    <w:rPr>
      <w:rFonts w:ascii="Times New Roman" w:eastAsia="Times New Roman" w:hAnsi="Times New Roman" w:cs="Times New Roman"/>
      <w:sz w:val="24"/>
      <w:szCs w:val="20"/>
      <w:lang w:eastAsia="ru-RU"/>
    </w:rPr>
  </w:style>
  <w:style w:type="character" w:customStyle="1" w:styleId="515">
    <w:name w:val="Знак Знак51"/>
    <w:rsid w:val="00250BEC"/>
    <w:rPr>
      <w:rFonts w:ascii="Times New Roman" w:eastAsia="Times New Roman" w:hAnsi="Times New Roman" w:cs="Times New Roman"/>
      <w:sz w:val="28"/>
      <w:szCs w:val="20"/>
      <w:lang w:eastAsia="ru-RU"/>
    </w:rPr>
  </w:style>
  <w:style w:type="paragraph" w:customStyle="1" w:styleId="Pa9">
    <w:name w:val="Pa9"/>
    <w:basedOn w:val="a3"/>
    <w:next w:val="a3"/>
    <w:uiPriority w:val="99"/>
    <w:rsid w:val="00250BEC"/>
    <w:pPr>
      <w:autoSpaceDE w:val="0"/>
      <w:autoSpaceDN w:val="0"/>
      <w:adjustRightInd w:val="0"/>
      <w:spacing w:line="241" w:lineRule="atLeast"/>
      <w:ind w:firstLine="0"/>
      <w:jc w:val="left"/>
    </w:pPr>
    <w:rPr>
      <w:rFonts w:ascii="Arial" w:eastAsia="Calibri" w:hAnsi="Arial" w:cs="Arial"/>
      <w:sz w:val="24"/>
      <w:szCs w:val="24"/>
    </w:rPr>
  </w:style>
  <w:style w:type="paragraph" w:customStyle="1" w:styleId="xl65">
    <w:name w:val="xl65"/>
    <w:basedOn w:val="a3"/>
    <w:rsid w:val="00250BEC"/>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6">
    <w:name w:val="xl66"/>
    <w:basedOn w:val="a3"/>
    <w:rsid w:val="00250BE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7">
    <w:name w:val="xl67"/>
    <w:basedOn w:val="a3"/>
    <w:rsid w:val="00250BE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8">
    <w:name w:val="xl68"/>
    <w:basedOn w:val="a3"/>
    <w:rsid w:val="00250B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9">
    <w:name w:val="xl69"/>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0000"/>
      <w:sz w:val="16"/>
      <w:szCs w:val="16"/>
      <w:lang w:eastAsia="ru-RU"/>
    </w:rPr>
  </w:style>
  <w:style w:type="paragraph" w:customStyle="1" w:styleId="xl70">
    <w:name w:val="xl70"/>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1">
    <w:name w:val="xl71"/>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2">
    <w:name w:val="xl72"/>
    <w:basedOn w:val="a3"/>
    <w:rsid w:val="00250BE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3">
    <w:name w:val="xl73"/>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4"/>
      <w:szCs w:val="24"/>
      <w:lang w:eastAsia="ru-RU"/>
    </w:rPr>
  </w:style>
  <w:style w:type="paragraph" w:customStyle="1" w:styleId="xl74">
    <w:name w:val="xl74"/>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sz w:val="24"/>
      <w:szCs w:val="24"/>
      <w:lang w:eastAsia="ru-RU"/>
    </w:rPr>
  </w:style>
  <w:style w:type="paragraph" w:customStyle="1" w:styleId="xl75">
    <w:name w:val="xl75"/>
    <w:basedOn w:val="a3"/>
    <w:rsid w:val="00250BEC"/>
    <w:pPr>
      <w:pBdr>
        <w:top w:val="single" w:sz="4" w:space="0" w:color="auto"/>
        <w:left w:val="single" w:sz="4" w:space="0" w:color="auto"/>
        <w:bottom w:val="single" w:sz="4" w:space="0" w:color="auto"/>
      </w:pBdr>
      <w:shd w:val="clear" w:color="000000" w:fill="FF0000"/>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6">
    <w:name w:val="xl76"/>
    <w:basedOn w:val="a3"/>
    <w:rsid w:val="00250BEC"/>
    <w:pPr>
      <w:pBdr>
        <w:top w:val="single" w:sz="4" w:space="0" w:color="auto"/>
        <w:bottom w:val="single" w:sz="4" w:space="0" w:color="auto"/>
        <w:right w:val="single" w:sz="4" w:space="0" w:color="auto"/>
      </w:pBdr>
      <w:shd w:val="clear" w:color="000000" w:fill="FF0000"/>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7">
    <w:name w:val="xl77"/>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B0F0"/>
      <w:sz w:val="16"/>
      <w:szCs w:val="16"/>
      <w:lang w:eastAsia="ru-RU"/>
    </w:rPr>
  </w:style>
  <w:style w:type="paragraph" w:customStyle="1" w:styleId="xl78">
    <w:name w:val="xl78"/>
    <w:basedOn w:val="a3"/>
    <w:rsid w:val="00250BE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color w:val="00B0F0"/>
      <w:sz w:val="16"/>
      <w:szCs w:val="16"/>
      <w:lang w:eastAsia="ru-RU"/>
    </w:rPr>
  </w:style>
  <w:style w:type="paragraph" w:customStyle="1" w:styleId="xl79">
    <w:name w:val="xl79"/>
    <w:basedOn w:val="a3"/>
    <w:rsid w:val="00250BE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16"/>
      <w:szCs w:val="16"/>
      <w:lang w:eastAsia="ru-RU"/>
    </w:rPr>
  </w:style>
  <w:style w:type="paragraph" w:customStyle="1" w:styleId="xl80">
    <w:name w:val="xl80"/>
    <w:basedOn w:val="a3"/>
    <w:rsid w:val="00250BEC"/>
    <w:pPr>
      <w:shd w:val="clear" w:color="000000" w:fill="FF0000"/>
      <w:spacing w:before="100" w:beforeAutospacing="1" w:after="100" w:afterAutospacing="1"/>
      <w:ind w:firstLine="0"/>
      <w:jc w:val="center"/>
      <w:textAlignment w:val="center"/>
    </w:pPr>
    <w:rPr>
      <w:rFonts w:eastAsia="Times New Roman" w:cs="Times New Roman"/>
      <w:sz w:val="16"/>
      <w:szCs w:val="16"/>
      <w:lang w:eastAsia="ru-RU"/>
    </w:rPr>
  </w:style>
  <w:style w:type="table" w:customStyle="1" w:styleId="1320">
    <w:name w:val="Сетка таблицы132"/>
    <w:basedOn w:val="a5"/>
    <w:next w:val="aff4"/>
    <w:uiPriority w:val="59"/>
    <w:rsid w:val="00250BEC"/>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mrcssattr">
    <w:name w:val="msonormal_mr_css_attr"/>
    <w:basedOn w:val="a3"/>
    <w:rsid w:val="00250BEC"/>
    <w:pPr>
      <w:spacing w:before="100" w:beforeAutospacing="1" w:after="100" w:afterAutospacing="1"/>
      <w:ind w:firstLine="0"/>
      <w:jc w:val="left"/>
    </w:pPr>
    <w:rPr>
      <w:rFonts w:eastAsia="Times New Roman" w:cs="Times New Roman"/>
      <w:sz w:val="24"/>
      <w:szCs w:val="24"/>
      <w:lang w:eastAsia="ru-RU"/>
    </w:rPr>
  </w:style>
  <w:style w:type="paragraph" w:customStyle="1" w:styleId="event-description">
    <w:name w:val="event-description"/>
    <w:basedOn w:val="a3"/>
    <w:rsid w:val="00250BEC"/>
    <w:pPr>
      <w:spacing w:before="100" w:beforeAutospacing="1" w:after="100" w:afterAutospacing="1"/>
      <w:ind w:firstLine="0"/>
      <w:jc w:val="left"/>
    </w:pPr>
    <w:rPr>
      <w:rFonts w:eastAsia="Times New Roman" w:cs="Times New Roman"/>
      <w:sz w:val="24"/>
      <w:szCs w:val="24"/>
      <w:lang w:eastAsia="ru-RU"/>
    </w:rPr>
  </w:style>
  <w:style w:type="paragraph" w:customStyle="1" w:styleId="msolistparagraphcxspfirstmrcssattr">
    <w:name w:val="msolistparagraphcxspfirst_mr_css_attr"/>
    <w:basedOn w:val="a3"/>
    <w:rsid w:val="00250BEC"/>
    <w:pPr>
      <w:spacing w:before="100" w:beforeAutospacing="1" w:after="100" w:afterAutospacing="1"/>
      <w:ind w:firstLine="0"/>
      <w:jc w:val="left"/>
    </w:pPr>
    <w:rPr>
      <w:rFonts w:eastAsia="Times New Roman" w:cs="Times New Roman"/>
      <w:sz w:val="24"/>
      <w:szCs w:val="24"/>
      <w:lang w:eastAsia="ru-RU"/>
    </w:rPr>
  </w:style>
  <w:style w:type="paragraph" w:customStyle="1" w:styleId="msolistparagraphcxspmiddlemrcssattr">
    <w:name w:val="msolistparagraphcxspmiddle_mr_css_attr"/>
    <w:basedOn w:val="a3"/>
    <w:rsid w:val="00250BEC"/>
    <w:pPr>
      <w:spacing w:before="100" w:beforeAutospacing="1" w:after="100" w:afterAutospacing="1"/>
      <w:ind w:firstLine="0"/>
      <w:jc w:val="left"/>
    </w:pPr>
    <w:rPr>
      <w:rFonts w:eastAsia="Times New Roman" w:cs="Times New Roman"/>
      <w:sz w:val="24"/>
      <w:szCs w:val="24"/>
      <w:lang w:eastAsia="ru-RU"/>
    </w:rPr>
  </w:style>
  <w:style w:type="table" w:customStyle="1" w:styleId="221">
    <w:name w:val="Сетка таблицы221"/>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5"/>
    <w:next w:val="aff4"/>
    <w:uiPriority w:val="39"/>
    <w:rsid w:val="00250BEC"/>
    <w:pPr>
      <w:spacing w:after="0" w:line="240" w:lineRule="auto"/>
    </w:pPr>
    <w:rPr>
      <w:rFonts w:ascii="Calibri" w:eastAsia="Calibri" w:hAnsi="Calibri" w:cs="Times New Roman"/>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6"/>
    <w:uiPriority w:val="99"/>
    <w:semiHidden/>
    <w:unhideWhenUsed/>
    <w:rsid w:val="00250BEC"/>
  </w:style>
  <w:style w:type="table" w:customStyle="1" w:styleId="1410">
    <w:name w:val="Сетка таблицы141"/>
    <w:basedOn w:val="a5"/>
    <w:next w:val="aff4"/>
    <w:uiPriority w:val="5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8">
    <w:name w:val="Book Title"/>
    <w:basedOn w:val="a4"/>
    <w:uiPriority w:val="33"/>
    <w:qFormat/>
    <w:rsid w:val="00250BEC"/>
    <w:rPr>
      <w:b/>
      <w:bCs/>
      <w:i/>
      <w:iCs/>
      <w:spacing w:val="5"/>
    </w:rPr>
  </w:style>
  <w:style w:type="paragraph" w:customStyle="1" w:styleId="111111111">
    <w:name w:val="111111111"/>
    <w:basedOn w:val="a3"/>
    <w:link w:val="1111111110"/>
    <w:qFormat/>
    <w:rsid w:val="00250BEC"/>
    <w:pPr>
      <w:autoSpaceDE w:val="0"/>
      <w:autoSpaceDN w:val="0"/>
    </w:pPr>
    <w:rPr>
      <w:rFonts w:ascii="PT Astra Serif" w:eastAsia="Calibri" w:hAnsi="PT Astra Serif" w:cs="Times New Roman"/>
      <w:szCs w:val="28"/>
      <w:lang w:val="x-none" w:eastAsia="x-none"/>
    </w:rPr>
  </w:style>
  <w:style w:type="character" w:customStyle="1" w:styleId="1111111110">
    <w:name w:val="111111111 Знак"/>
    <w:link w:val="111111111"/>
    <w:rsid w:val="00250BEC"/>
    <w:rPr>
      <w:rFonts w:ascii="PT Astra Serif" w:eastAsia="Calibri" w:hAnsi="PT Astra Serif" w:cs="Times New Roman"/>
      <w:sz w:val="28"/>
      <w:szCs w:val="28"/>
      <w:lang w:val="x-none" w:eastAsia="x-none"/>
    </w:rPr>
  </w:style>
  <w:style w:type="numbering" w:customStyle="1" w:styleId="151">
    <w:name w:val="Нет списка15"/>
    <w:next w:val="a6"/>
    <w:uiPriority w:val="99"/>
    <w:semiHidden/>
    <w:unhideWhenUsed/>
    <w:rsid w:val="00250BEC"/>
  </w:style>
  <w:style w:type="table" w:customStyle="1" w:styleId="-113">
    <w:name w:val="Список-таблица 1 светлая13"/>
    <w:basedOn w:val="a5"/>
    <w:uiPriority w:val="99"/>
    <w:rsid w:val="00250BEC"/>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Normal5">
    <w:name w:val="Table Normal5"/>
    <w:rsid w:val="00250BEC"/>
    <w:pPr>
      <w:pBdr>
        <w:top w:val="nil"/>
        <w:left w:val="nil"/>
        <w:bottom w:val="nil"/>
        <w:right w:val="nil"/>
        <w:between w:val="nil"/>
        <w:bar w:val="nil"/>
      </w:pBdr>
      <w:spacing w:after="8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table" w:customStyle="1" w:styleId="240">
    <w:name w:val="Сетка таблицы24"/>
    <w:basedOn w:val="a5"/>
    <w:next w:val="aff4"/>
    <w:uiPriority w:val="3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Импортированный стиль 53"/>
    <w:rsid w:val="00250BEC"/>
  </w:style>
  <w:style w:type="numbering" w:customStyle="1" w:styleId="630">
    <w:name w:val="63"/>
    <w:rsid w:val="00250BEC"/>
  </w:style>
  <w:style w:type="table" w:customStyle="1" w:styleId="1140">
    <w:name w:val="Сетка таблицы114"/>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uiPriority w:val="99"/>
    <w:semiHidden/>
    <w:unhideWhenUsed/>
    <w:rsid w:val="00250BEC"/>
  </w:style>
  <w:style w:type="table" w:customStyle="1" w:styleId="251">
    <w:name w:val="Сетка таблицы25"/>
    <w:basedOn w:val="a5"/>
    <w:next w:val="aff4"/>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5"/>
    <w:next w:val="aff4"/>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5"/>
    <w:next w:val="aff4"/>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63">
    <w:name w:val="WWNum63"/>
    <w:basedOn w:val="a6"/>
    <w:rsid w:val="00250BEC"/>
  </w:style>
  <w:style w:type="table" w:customStyle="1" w:styleId="-24">
    <w:name w:val="Светлая сетка - Акцент 24"/>
    <w:basedOn w:val="a5"/>
    <w:next w:val="-2"/>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4">
    <w:name w:val="Средняя сетка 3 - Акцент 24"/>
    <w:basedOn w:val="a5"/>
    <w:next w:val="3-2"/>
    <w:uiPriority w:val="69"/>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4">
    <w:name w:val="Средняя сетка 1 - Акцент 24"/>
    <w:basedOn w:val="a5"/>
    <w:next w:val="1-2"/>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4">
    <w:name w:val="Средняя сетка 1 - Акцент 14"/>
    <w:basedOn w:val="a5"/>
    <w:next w:val="1-1"/>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4">
    <w:name w:val="Средняя сетка 1 - Акцент 54"/>
    <w:basedOn w:val="a5"/>
    <w:next w:val="1-5"/>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40">
    <w:name w:val="Средняя заливка 1 - Акцент 54"/>
    <w:basedOn w:val="a5"/>
    <w:next w:val="1-5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4">
    <w:name w:val="Светлая сетка - Акцент 64"/>
    <w:basedOn w:val="a5"/>
    <w:next w:val="-6"/>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40">
    <w:name w:val="Светлая заливка - Акцент 24"/>
    <w:basedOn w:val="a5"/>
    <w:next w:val="-20"/>
    <w:uiPriority w:val="60"/>
    <w:rsid w:val="00250BEC"/>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41">
    <w:name w:val="Цветная заливка - Акцент 24"/>
    <w:basedOn w:val="a5"/>
    <w:next w:val="-21"/>
    <w:uiPriority w:val="71"/>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4">
    <w:name w:val="Цветная сетка - Акцент 54"/>
    <w:basedOn w:val="a5"/>
    <w:next w:val="-5"/>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44">
    <w:name w:val="Цветная сетка - Акцент 44"/>
    <w:basedOn w:val="a5"/>
    <w:next w:val="-4"/>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4d">
    <w:name w:val="Светлая заливка4"/>
    <w:basedOn w:val="a5"/>
    <w:next w:val="affffc"/>
    <w:uiPriority w:val="60"/>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0">
    <w:name w:val="Средняя заливка 1 - Акцент 24"/>
    <w:basedOn w:val="a5"/>
    <w:next w:val="1-2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numbering" w:customStyle="1" w:styleId="222">
    <w:name w:val="Нет списка22"/>
    <w:next w:val="a6"/>
    <w:uiPriority w:val="99"/>
    <w:semiHidden/>
    <w:unhideWhenUsed/>
    <w:rsid w:val="00250BEC"/>
  </w:style>
  <w:style w:type="table" w:customStyle="1" w:styleId="540">
    <w:name w:val="Сетка таблицы54"/>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6"/>
    <w:uiPriority w:val="99"/>
    <w:semiHidden/>
    <w:unhideWhenUsed/>
    <w:rsid w:val="00250BEC"/>
  </w:style>
  <w:style w:type="table" w:customStyle="1" w:styleId="631">
    <w:name w:val="Сетка таблицы63"/>
    <w:basedOn w:val="a5"/>
    <w:next w:val="aff4"/>
    <w:uiPriority w:val="39"/>
    <w:rsid w:val="00250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ветлая заливка - Акцент 13"/>
    <w:basedOn w:val="a5"/>
    <w:next w:val="-1"/>
    <w:uiPriority w:val="60"/>
    <w:rsid w:val="00250BEC"/>
    <w:pPr>
      <w:spacing w:after="0" w:line="240" w:lineRule="auto"/>
    </w:pPr>
    <w:rPr>
      <w:color w:val="830F0E" w:themeColor="accent1" w:themeShade="BF"/>
    </w:rPr>
    <w:tblPr>
      <w:tblStyleRowBandSize w:val="1"/>
      <w:tblStyleColBandSize w:val="1"/>
      <w:tblBorders>
        <w:top w:val="single" w:sz="8" w:space="0" w:color="B01513" w:themeColor="accent1"/>
        <w:bottom w:val="single" w:sz="8" w:space="0" w:color="B01513" w:themeColor="accent1"/>
      </w:tblBorders>
    </w:tblPr>
    <w:tblStylePr w:type="fir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lastRow">
      <w:pPr>
        <w:spacing w:before="0" w:after="0" w:line="240" w:lineRule="auto"/>
      </w:pPr>
      <w:rPr>
        <w:b/>
        <w:bCs/>
      </w:rPr>
      <w:tblPr/>
      <w:tcPr>
        <w:tcBorders>
          <w:top w:val="single" w:sz="8" w:space="0" w:color="B01513" w:themeColor="accent1"/>
          <w:left w:val="nil"/>
          <w:bottom w:val="single" w:sz="8" w:space="0" w:color="B01513"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B9B8" w:themeFill="accent1" w:themeFillTint="3F"/>
      </w:tcPr>
    </w:tblStylePr>
    <w:tblStylePr w:type="band1Horz">
      <w:tblPr/>
      <w:tcPr>
        <w:tcBorders>
          <w:left w:val="nil"/>
          <w:right w:val="nil"/>
          <w:insideH w:val="nil"/>
          <w:insideV w:val="nil"/>
        </w:tcBorders>
        <w:shd w:val="clear" w:color="auto" w:fill="F7B9B8" w:themeFill="accent1" w:themeFillTint="3F"/>
      </w:tcPr>
    </w:tblStylePr>
  </w:style>
  <w:style w:type="numbering" w:customStyle="1" w:styleId="421">
    <w:name w:val="Нет списка42"/>
    <w:next w:val="a6"/>
    <w:uiPriority w:val="99"/>
    <w:semiHidden/>
    <w:unhideWhenUsed/>
    <w:rsid w:val="00250BEC"/>
  </w:style>
  <w:style w:type="table" w:customStyle="1" w:styleId="1150">
    <w:name w:val="Сетка таблицы115"/>
    <w:basedOn w:val="a5"/>
    <w:next w:val="aff4"/>
    <w:uiPriority w:val="59"/>
    <w:rsid w:val="00250BE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6"/>
    <w:uiPriority w:val="99"/>
    <w:semiHidden/>
    <w:unhideWhenUsed/>
    <w:rsid w:val="00250BEC"/>
  </w:style>
  <w:style w:type="table" w:customStyle="1" w:styleId="730">
    <w:name w:val="Сетка таблицы73"/>
    <w:basedOn w:val="a5"/>
    <w:next w:val="aff4"/>
    <w:uiPriority w:val="59"/>
    <w:rsid w:val="00250BE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ff4"/>
    <w:uiPriority w:val="39"/>
    <w:rsid w:val="00250BE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6"/>
    <w:uiPriority w:val="99"/>
    <w:semiHidden/>
    <w:unhideWhenUsed/>
    <w:rsid w:val="00250BEC"/>
  </w:style>
  <w:style w:type="table" w:customStyle="1" w:styleId="2140">
    <w:name w:val="Сетка таблицы214"/>
    <w:basedOn w:val="a5"/>
    <w:next w:val="aff4"/>
    <w:uiPriority w:val="5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ветлая сетка - Акцент 213"/>
    <w:basedOn w:val="a5"/>
    <w:next w:val="-2"/>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13">
    <w:name w:val="Средняя сетка 3 - Акцент 213"/>
    <w:basedOn w:val="a5"/>
    <w:next w:val="3-2"/>
    <w:uiPriority w:val="69"/>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13">
    <w:name w:val="Средняя сетка 1 - Акцент 213"/>
    <w:basedOn w:val="a5"/>
    <w:next w:val="1-2"/>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3">
    <w:name w:val="Средняя сетка 1 - Акцент 113"/>
    <w:basedOn w:val="a5"/>
    <w:next w:val="1-1"/>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13">
    <w:name w:val="Средняя сетка 1 - Акцент 513"/>
    <w:basedOn w:val="a5"/>
    <w:next w:val="1-5"/>
    <w:uiPriority w:val="67"/>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130">
    <w:name w:val="Средняя заливка 1 - Акцент 513"/>
    <w:basedOn w:val="a5"/>
    <w:next w:val="1-5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13">
    <w:name w:val="Светлая сетка - Акцент 613"/>
    <w:basedOn w:val="a5"/>
    <w:next w:val="-6"/>
    <w:uiPriority w:val="62"/>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31">
    <w:name w:val="Светлая заливка - Акцент 213"/>
    <w:basedOn w:val="a5"/>
    <w:next w:val="-20"/>
    <w:uiPriority w:val="60"/>
    <w:rsid w:val="00250BEC"/>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132">
    <w:name w:val="Цветная заливка - Акцент 213"/>
    <w:basedOn w:val="a5"/>
    <w:next w:val="-21"/>
    <w:uiPriority w:val="71"/>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13">
    <w:name w:val="Цветная сетка - Акцент 513"/>
    <w:basedOn w:val="a5"/>
    <w:next w:val="-5"/>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1130">
    <w:name w:val="Сетка таблицы1113"/>
    <w:basedOn w:val="a5"/>
    <w:next w:val="aff4"/>
    <w:uiPriority w:val="5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Цветная сетка - Акцент 413"/>
    <w:basedOn w:val="a5"/>
    <w:next w:val="-4"/>
    <w:uiPriority w:val="73"/>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33">
    <w:name w:val="Светлая заливка13"/>
    <w:basedOn w:val="a5"/>
    <w:next w:val="affffc"/>
    <w:uiPriority w:val="60"/>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яя заливка 1 - Акцент 213"/>
    <w:basedOn w:val="a5"/>
    <w:next w:val="1-20"/>
    <w:uiPriority w:val="63"/>
    <w:rsid w:val="00250BEC"/>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5130">
    <w:name w:val="Сетка таблицы513"/>
    <w:basedOn w:val="a5"/>
    <w:next w:val="aff4"/>
    <w:uiPriority w:val="39"/>
    <w:unhideWhenUsed/>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5"/>
    <w:next w:val="aff4"/>
    <w:uiPriority w:val="59"/>
    <w:rsid w:val="00250BEC"/>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редний список 1 - Акцент 23"/>
    <w:basedOn w:val="a5"/>
    <w:next w:val="1-22"/>
    <w:uiPriority w:val="65"/>
    <w:rsid w:val="00250BEC"/>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830">
    <w:name w:val="Сетка таблицы83"/>
    <w:basedOn w:val="a5"/>
    <w:next w:val="aff4"/>
    <w:uiPriority w:val="3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6"/>
    <w:uiPriority w:val="99"/>
    <w:semiHidden/>
    <w:unhideWhenUsed/>
    <w:rsid w:val="00250BEC"/>
  </w:style>
  <w:style w:type="table" w:customStyle="1" w:styleId="930">
    <w:name w:val="Сетка таблицы93"/>
    <w:basedOn w:val="a5"/>
    <w:next w:val="aff4"/>
    <w:uiPriority w:val="5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6"/>
    <w:uiPriority w:val="99"/>
    <w:semiHidden/>
    <w:unhideWhenUsed/>
    <w:rsid w:val="00250BEC"/>
  </w:style>
  <w:style w:type="table" w:customStyle="1" w:styleId="TableGridLight3">
    <w:name w:val="Table Grid Light3"/>
    <w:basedOn w:val="a5"/>
    <w:uiPriority w:val="59"/>
    <w:rsid w:val="00250BE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31">
    <w:name w:val="Таблица простая 113"/>
    <w:basedOn w:val="a5"/>
    <w:uiPriority w:val="59"/>
    <w:rsid w:val="00250BE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31">
    <w:name w:val="Таблица простая 213"/>
    <w:basedOn w:val="a5"/>
    <w:uiPriority w:val="59"/>
    <w:rsid w:val="00250BEC"/>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30">
    <w:name w:val="Таблица простая 313"/>
    <w:basedOn w:val="a5"/>
    <w:uiPriority w:val="99"/>
    <w:rsid w:val="00250BEC"/>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30">
    <w:name w:val="Таблица простая 413"/>
    <w:basedOn w:val="a5"/>
    <w:uiPriority w:val="99"/>
    <w:rsid w:val="00250BEC"/>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31">
    <w:name w:val="Таблица простая 513"/>
    <w:basedOn w:val="a5"/>
    <w:uiPriority w:val="99"/>
    <w:rsid w:val="00250BEC"/>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30">
    <w:name w:val="Таблица-сетка 1 светлая13"/>
    <w:basedOn w:val="a5"/>
    <w:uiPriority w:val="99"/>
    <w:rsid w:val="00250BEC"/>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3">
    <w:name w:val="Grid Table 1 Light - Accent 13"/>
    <w:basedOn w:val="a5"/>
    <w:uiPriority w:val="99"/>
    <w:rsid w:val="00250BEC"/>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b/>
        <w:color w:val="404040"/>
      </w:rPr>
      <w:tblPr/>
      <w:tcPr>
        <w:tcBorders>
          <w:bottom w:val="single" w:sz="12" w:space="0" w:color="ED5A5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GridTable1Light-Accent23">
    <w:name w:val="Grid Table 1 Light - Accent 23"/>
    <w:basedOn w:val="a5"/>
    <w:uiPriority w:val="99"/>
    <w:rsid w:val="00250BEC"/>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b/>
        <w:color w:val="404040"/>
      </w:rPr>
      <w:tblPr/>
      <w:tcPr>
        <w:tcBorders>
          <w:bottom w:val="single" w:sz="12" w:space="0" w:color="F4A272"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GridTable1Light-Accent33">
    <w:name w:val="Grid Table 1 Light - Accent 33"/>
    <w:basedOn w:val="a5"/>
    <w:uiPriority w:val="99"/>
    <w:rsid w:val="00250BEC"/>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b/>
        <w:color w:val="404040"/>
      </w:rPr>
      <w:tblPr/>
      <w:tcPr>
        <w:tcBorders>
          <w:bottom w:val="single" w:sz="12" w:space="0" w:color="F0D481"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GridTable1Light-Accent43">
    <w:name w:val="Grid Table 1 Light - Accent 43"/>
    <w:basedOn w:val="a5"/>
    <w:uiPriority w:val="99"/>
    <w:rsid w:val="00250BEC"/>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b/>
        <w:color w:val="404040"/>
      </w:rPr>
      <w:tblPr/>
      <w:tcPr>
        <w:tcBorders>
          <w:bottom w:val="single" w:sz="12" w:space="0" w:color="A7CEBD"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GridTable1Light-Accent53">
    <w:name w:val="Grid Table 1 Light - Accent 53"/>
    <w:basedOn w:val="a5"/>
    <w:uiPriority w:val="99"/>
    <w:rsid w:val="00250BEC"/>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b/>
        <w:color w:val="404040"/>
      </w:rPr>
      <w:tblPr/>
      <w:tcPr>
        <w:tcBorders>
          <w:bottom w:val="single" w:sz="12" w:space="0" w:color="98B8C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GridTable1Light-Accent63">
    <w:name w:val="Grid Table 1 Light - Accent 63"/>
    <w:basedOn w:val="a5"/>
    <w:uiPriority w:val="99"/>
    <w:rsid w:val="00250BEC"/>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b/>
        <w:color w:val="404040"/>
      </w:rPr>
      <w:tblPr/>
      <w:tcPr>
        <w:tcBorders>
          <w:bottom w:val="single" w:sz="12" w:space="0" w:color="C6A0C4"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2133">
    <w:name w:val="Таблица-сетка 213"/>
    <w:basedOn w:val="a5"/>
    <w:uiPriority w:val="99"/>
    <w:rsid w:val="00250BE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3">
    <w:name w:val="Grid Table 2 - Accent 13"/>
    <w:basedOn w:val="a5"/>
    <w:uiPriority w:val="99"/>
    <w:rsid w:val="00250BEC"/>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single" w:sz="12" w:space="0" w:color="C71715" w:themeColor="accent1" w:themeTint="EA"/>
          <w:right w:val="none" w:sz="4" w:space="0" w:color="000000"/>
        </w:tcBorders>
        <w:shd w:val="clear" w:color="FFFFFF" w:fill="auto"/>
      </w:tcPr>
    </w:tblStylePr>
    <w:tblStylePr w:type="lastRow">
      <w:rPr>
        <w:b/>
        <w:color w:val="404040"/>
      </w:rPr>
      <w:tblPr/>
      <w:tcPr>
        <w:tcBorders>
          <w:top w:val="single" w:sz="4" w:space="0" w:color="C71715"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2-Accent23">
    <w:name w:val="Grid Table 2 - Accent 23"/>
    <w:basedOn w:val="a5"/>
    <w:uiPriority w:val="99"/>
    <w:rsid w:val="00250BEC"/>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single" w:sz="12" w:space="0" w:color="F4A170" w:themeColor="accent2" w:themeTint="97"/>
          <w:right w:val="none" w:sz="4" w:space="0" w:color="000000"/>
        </w:tcBorders>
        <w:shd w:val="clear" w:color="FFFFFF" w:fill="auto"/>
      </w:tcPr>
    </w:tblStylePr>
    <w:tblStylePr w:type="lastRow">
      <w:rPr>
        <w:b/>
        <w:color w:val="404040"/>
      </w:rPr>
      <w:tblPr/>
      <w:tcPr>
        <w:tcBorders>
          <w:top w:val="single" w:sz="4" w:space="0" w:color="F4A170"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2-Accent33">
    <w:name w:val="Grid Table 2 - Accent 33"/>
    <w:basedOn w:val="a5"/>
    <w:uiPriority w:val="99"/>
    <w:rsid w:val="00250BEC"/>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single" w:sz="12" w:space="0" w:color="E6B629" w:themeColor="accent3" w:themeTint="FE"/>
          <w:right w:val="none" w:sz="4" w:space="0" w:color="000000"/>
        </w:tcBorders>
        <w:shd w:val="clear" w:color="FFFFFF" w:fill="auto"/>
      </w:tcPr>
    </w:tblStylePr>
    <w:tblStylePr w:type="lastRow">
      <w:rPr>
        <w:b/>
        <w:color w:val="404040"/>
      </w:rPr>
      <w:tblPr/>
      <w:tcPr>
        <w:tcBorders>
          <w:top w:val="single" w:sz="4" w:space="0" w:color="E6B62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2-Accent43">
    <w:name w:val="Grid Table 2 - Accent 43"/>
    <w:basedOn w:val="a5"/>
    <w:uiPriority w:val="99"/>
    <w:rsid w:val="00250BEC"/>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single" w:sz="12" w:space="0" w:color="A4CCBB" w:themeColor="accent4" w:themeTint="9A"/>
          <w:right w:val="none" w:sz="4" w:space="0" w:color="000000"/>
        </w:tcBorders>
        <w:shd w:val="clear" w:color="FFFFFF" w:fill="auto"/>
      </w:tcPr>
    </w:tblStylePr>
    <w:tblStylePr w:type="lastRow">
      <w:rPr>
        <w:b/>
        <w:color w:val="404040"/>
      </w:rPr>
      <w:tblPr/>
      <w:tcPr>
        <w:tcBorders>
          <w:top w:val="single" w:sz="4" w:space="0" w:color="A4CCBB"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2-Accent53">
    <w:name w:val="Grid Table 2 - Accent 53"/>
    <w:basedOn w:val="a5"/>
    <w:uiPriority w:val="99"/>
    <w:rsid w:val="00250BEC"/>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single" w:sz="12" w:space="0" w:color="54849A" w:themeColor="accent5"/>
          <w:right w:val="none" w:sz="4" w:space="0" w:color="000000"/>
        </w:tcBorders>
        <w:shd w:val="clear" w:color="FFFFFF" w:fill="auto"/>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2-Accent63">
    <w:name w:val="Grid Table 2 - Accent 63"/>
    <w:basedOn w:val="a5"/>
    <w:uiPriority w:val="99"/>
    <w:rsid w:val="00250BEC"/>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single" w:sz="12" w:space="0" w:color="9E5E9B" w:themeColor="accent6"/>
          <w:right w:val="none" w:sz="4" w:space="0" w:color="000000"/>
        </w:tcBorders>
        <w:shd w:val="clear" w:color="FFFFFF" w:fill="auto"/>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313">
    <w:name w:val="Таблица-сетка 313"/>
    <w:basedOn w:val="a5"/>
    <w:uiPriority w:val="99"/>
    <w:rsid w:val="00250BE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3">
    <w:name w:val="Grid Table 3 - Accent 13"/>
    <w:basedOn w:val="a5"/>
    <w:uiPriority w:val="99"/>
    <w:rsid w:val="00250BEC"/>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3-Accent23">
    <w:name w:val="Grid Table 3 - Accent 23"/>
    <w:basedOn w:val="a5"/>
    <w:uiPriority w:val="99"/>
    <w:rsid w:val="00250BEC"/>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3-Accent33">
    <w:name w:val="Grid Table 3 - Accent 33"/>
    <w:basedOn w:val="a5"/>
    <w:uiPriority w:val="99"/>
    <w:rsid w:val="00250BEC"/>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3-Accent43">
    <w:name w:val="Grid Table 3 - Accent 43"/>
    <w:basedOn w:val="a5"/>
    <w:uiPriority w:val="99"/>
    <w:rsid w:val="00250BEC"/>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3-Accent53">
    <w:name w:val="Grid Table 3 - Accent 53"/>
    <w:basedOn w:val="a5"/>
    <w:uiPriority w:val="99"/>
    <w:rsid w:val="00250BEC"/>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3-Accent63">
    <w:name w:val="Grid Table 3 - Accent 63"/>
    <w:basedOn w:val="a5"/>
    <w:uiPriority w:val="99"/>
    <w:rsid w:val="00250BEC"/>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4130">
    <w:name w:val="Таблица-сетка 413"/>
    <w:basedOn w:val="a5"/>
    <w:uiPriority w:val="59"/>
    <w:rsid w:val="00250BEC"/>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3">
    <w:name w:val="Grid Table 4 - Accent 13"/>
    <w:basedOn w:val="a5"/>
    <w:uiPriority w:val="59"/>
    <w:rsid w:val="00250BEC"/>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insideV w:val="single" w:sz="4" w:space="0" w:color="ED605E" w:themeColor="accent1" w:themeTint="90"/>
      </w:tblBorders>
    </w:tblPr>
    <w:tblStylePr w:type="firstRow">
      <w:rPr>
        <w:rFonts w:ascii="Arial" w:hAnsi="Arial"/>
        <w:b/>
        <w:color w:val="FFFFFF"/>
        <w:sz w:val="22"/>
      </w:rPr>
      <w:tblPr/>
      <w:tcPr>
        <w:tcBorders>
          <w:top w:val="single" w:sz="4" w:space="0" w:color="C71715" w:themeColor="accent1" w:themeTint="EA"/>
          <w:left w:val="single" w:sz="4" w:space="0" w:color="C71715" w:themeColor="accent1" w:themeTint="EA"/>
          <w:bottom w:val="single" w:sz="4" w:space="0" w:color="C71715" w:themeColor="accent1" w:themeTint="EA"/>
          <w:right w:val="single" w:sz="4" w:space="0" w:color="C71715" w:themeColor="accent1" w:themeTint="EA"/>
        </w:tcBorders>
        <w:shd w:val="clear" w:color="C71715" w:themeColor="accent1" w:themeTint="EA" w:fill="C71715" w:themeFill="accent1" w:themeFillTint="EA"/>
      </w:tcPr>
    </w:tblStylePr>
    <w:tblStylePr w:type="lastRow">
      <w:rPr>
        <w:b/>
        <w:color w:val="404040"/>
      </w:rPr>
      <w:tblPr/>
      <w:tcPr>
        <w:tcBorders>
          <w:top w:val="single" w:sz="4" w:space="0" w:color="C71715"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C7C7" w:themeColor="accent1" w:themeTint="32" w:fill="F9C7C7" w:themeFill="accent1" w:themeFillTint="32"/>
      </w:tcPr>
    </w:tblStylePr>
    <w:tblStylePr w:type="band1Horz">
      <w:rPr>
        <w:rFonts w:ascii="Arial" w:hAnsi="Arial"/>
        <w:color w:val="404040"/>
        <w:sz w:val="22"/>
      </w:rPr>
      <w:tblPr/>
      <w:tcPr>
        <w:shd w:val="clear" w:color="F9C7C7" w:themeColor="accent1" w:themeTint="32" w:fill="F9C7C7" w:themeFill="accent1" w:themeFillTint="32"/>
      </w:tcPr>
    </w:tblStylePr>
  </w:style>
  <w:style w:type="table" w:customStyle="1" w:styleId="GridTable4-Accent23">
    <w:name w:val="Grid Table 4 - Accent 23"/>
    <w:basedOn w:val="a5"/>
    <w:uiPriority w:val="59"/>
    <w:rsid w:val="00250BEC"/>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insideV w:val="single" w:sz="4" w:space="0" w:color="F4A677" w:themeColor="accent2" w:themeTint="90"/>
      </w:tblBorders>
    </w:tblPr>
    <w:tblStylePr w:type="firstRow">
      <w:rPr>
        <w:rFonts w:ascii="Arial" w:hAnsi="Arial"/>
        <w:b/>
        <w:color w:val="FFFFFF"/>
        <w:sz w:val="22"/>
      </w:rPr>
      <w:tblPr/>
      <w:tcPr>
        <w:tc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cBorders>
        <w:shd w:val="clear" w:color="F4A170" w:themeColor="accent2" w:themeTint="97" w:fill="F4A170" w:themeFill="accent2" w:themeFillTint="97"/>
      </w:tcPr>
    </w:tblStylePr>
    <w:tblStylePr w:type="lastRow">
      <w:rPr>
        <w:b/>
        <w:color w:val="404040"/>
      </w:rPr>
      <w:tblPr/>
      <w:tcPr>
        <w:tcBorders>
          <w:top w:val="single" w:sz="4" w:space="0" w:color="F4A170"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4-Accent33">
    <w:name w:val="Grid Table 4 - Accent 33"/>
    <w:basedOn w:val="a5"/>
    <w:uiPriority w:val="59"/>
    <w:rsid w:val="00250BEC"/>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insideV w:val="single" w:sz="4" w:space="0" w:color="F1D686" w:themeColor="accent3" w:themeTint="90"/>
      </w:tblBorders>
    </w:tblPr>
    <w:tblStylePr w:type="firstRow">
      <w:rPr>
        <w:rFonts w:ascii="Arial" w:hAnsi="Arial"/>
        <w:b/>
        <w:color w:val="FFFFFF"/>
        <w:sz w:val="22"/>
      </w:rPr>
      <w:tblPr/>
      <w:tcPr>
        <w:tc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tcBorders>
        <w:shd w:val="clear" w:color="E6B629" w:themeColor="accent3" w:themeTint="FE" w:fill="E6B629" w:themeFill="accent3" w:themeFillTint="FE"/>
      </w:tcPr>
    </w:tblStylePr>
    <w:tblStylePr w:type="lastRow">
      <w:rPr>
        <w:b/>
        <w:color w:val="404040"/>
      </w:rPr>
      <w:tblPr/>
      <w:tcPr>
        <w:tcBorders>
          <w:top w:val="single" w:sz="4" w:space="0" w:color="E6B62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4-Accent43">
    <w:name w:val="Grid Table 4 - Accent 43"/>
    <w:basedOn w:val="a5"/>
    <w:uiPriority w:val="59"/>
    <w:rsid w:val="00250BEC"/>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insideV w:val="single" w:sz="4" w:space="0" w:color="AAD0C0" w:themeColor="accent4" w:themeTint="90"/>
      </w:tblBorders>
    </w:tblPr>
    <w:tblStylePr w:type="firstRow">
      <w:rPr>
        <w:rFonts w:ascii="Arial" w:hAnsi="Arial"/>
        <w:b/>
        <w:color w:val="FFFFFF"/>
        <w:sz w:val="22"/>
      </w:rPr>
      <w:tblPr/>
      <w:tcPr>
        <w:tc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cBorders>
        <w:shd w:val="clear" w:color="A4CCBB" w:themeColor="accent4" w:themeTint="9A" w:fill="A4CCBB" w:themeFill="accent4" w:themeFillTint="9A"/>
      </w:tcPr>
    </w:tblStylePr>
    <w:tblStylePr w:type="lastRow">
      <w:rPr>
        <w:b/>
        <w:color w:val="404040"/>
      </w:rPr>
      <w:tblPr/>
      <w:tcPr>
        <w:tcBorders>
          <w:top w:val="single" w:sz="4" w:space="0" w:color="A4CCBB"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4-Accent53">
    <w:name w:val="Grid Table 4 - Accent 53"/>
    <w:basedOn w:val="a5"/>
    <w:uiPriority w:val="59"/>
    <w:rsid w:val="00250BEC"/>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FFFFFF"/>
        <w:sz w:val="22"/>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tcBorders>
        <w:shd w:val="clear" w:color="54849A" w:themeColor="accent5" w:fill="54849A" w:themeFill="accent5"/>
      </w:tcPr>
    </w:tblStylePr>
    <w:tblStylePr w:type="lastRow">
      <w:rPr>
        <w:b/>
        <w:color w:val="404040"/>
      </w:rPr>
      <w:tblPr/>
      <w:tcPr>
        <w:tcBorders>
          <w:top w:val="single" w:sz="4" w:space="0" w:color="54849A"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4-Accent63">
    <w:name w:val="Grid Table 4 - Accent 63"/>
    <w:basedOn w:val="a5"/>
    <w:uiPriority w:val="59"/>
    <w:rsid w:val="00250BEC"/>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FFFFFF"/>
        <w:sz w:val="22"/>
      </w:rPr>
      <w:tblPr/>
      <w:tcPr>
        <w:tcBorders>
          <w:top w:val="single" w:sz="4" w:space="0" w:color="9E5E9B" w:themeColor="accent6"/>
          <w:left w:val="single" w:sz="4" w:space="0" w:color="9E5E9B" w:themeColor="accent6"/>
          <w:bottom w:val="single" w:sz="4" w:space="0" w:color="9E5E9B" w:themeColor="accent6"/>
          <w:right w:val="single" w:sz="4" w:space="0" w:color="9E5E9B" w:themeColor="accent6"/>
        </w:tcBorders>
        <w:shd w:val="clear" w:color="9E5E9B" w:themeColor="accent6" w:fill="9E5E9B" w:themeFill="accent6"/>
      </w:tcPr>
    </w:tblStylePr>
    <w:tblStylePr w:type="lastRow">
      <w:rPr>
        <w:b/>
        <w:color w:val="404040"/>
      </w:rPr>
      <w:tblPr/>
      <w:tcPr>
        <w:tcBorders>
          <w:top w:val="single" w:sz="4" w:space="0" w:color="9E5E9B"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5130">
    <w:name w:val="Таблица-сетка 5 темная1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3">
    <w:name w:val="Grid Table 5 Dark- Accent 1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8C5C4" w:themeColor="accent1" w:themeTint="34" w:fill="F8C5C4" w:themeFill="accent1" w:themeFillTint="34"/>
    </w:tblPr>
    <w:tblStylePr w:type="firstRow">
      <w:rPr>
        <w:rFonts w:ascii="Arial" w:hAnsi="Arial"/>
        <w:b/>
        <w:color w:val="FFFFFF"/>
        <w:sz w:val="22"/>
      </w:rPr>
      <w:tblPr/>
      <w:tcPr>
        <w:shd w:val="clear" w:color="B01513" w:themeColor="accent1" w:fill="B01513" w:themeFill="accent1"/>
      </w:tcPr>
    </w:tblStylePr>
    <w:tblStylePr w:type="lastRow">
      <w:rPr>
        <w:rFonts w:ascii="Arial" w:hAnsi="Arial"/>
        <w:b/>
        <w:color w:val="FFFFFF"/>
        <w:sz w:val="22"/>
      </w:rPr>
      <w:tblPr/>
      <w:tcPr>
        <w:tcBorders>
          <w:top w:val="single" w:sz="4" w:space="0" w:color="FFFFFF" w:themeColor="light1"/>
        </w:tcBorders>
        <w:shd w:val="clear" w:color="B01513" w:themeColor="accent1" w:fill="B01513" w:themeFill="accent1"/>
      </w:tcPr>
    </w:tblStylePr>
    <w:tblStylePr w:type="firstCol">
      <w:rPr>
        <w:rFonts w:ascii="Arial" w:hAnsi="Arial"/>
        <w:b/>
        <w:color w:val="FFFFFF"/>
        <w:sz w:val="22"/>
      </w:rPr>
      <w:tblPr/>
      <w:tcPr>
        <w:shd w:val="clear" w:color="B01513" w:themeColor="accent1" w:fill="B01513" w:themeFill="accent1"/>
      </w:tcPr>
    </w:tblStylePr>
    <w:tblStylePr w:type="lastCol">
      <w:rPr>
        <w:rFonts w:ascii="Arial" w:hAnsi="Arial"/>
        <w:b/>
        <w:color w:val="FFFFFF"/>
        <w:sz w:val="22"/>
      </w:rPr>
      <w:tblPr/>
      <w:tcPr>
        <w:shd w:val="clear" w:color="B01513" w:themeColor="accent1" w:fill="B01513" w:themeFill="accent1"/>
      </w:tcPr>
    </w:tblStylePr>
    <w:tblStylePr w:type="band1Vert">
      <w:tblPr/>
      <w:tcPr>
        <w:shd w:val="clear" w:color="F17D7C" w:themeColor="accent1" w:themeTint="75" w:fill="F17D7C" w:themeFill="accent1" w:themeFillTint="75"/>
      </w:tcPr>
    </w:tblStylePr>
    <w:tblStylePr w:type="band1Horz">
      <w:tblPr/>
      <w:tcPr>
        <w:shd w:val="clear" w:color="F17D7C" w:themeColor="accent1" w:themeTint="75" w:fill="F17D7C" w:themeFill="accent1" w:themeFillTint="75"/>
      </w:tcPr>
    </w:tblStylePr>
  </w:style>
  <w:style w:type="table" w:customStyle="1" w:styleId="GridTable5Dark-Accent23">
    <w:name w:val="Grid Table 5 Dark - Accent 2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0CF" w:themeColor="accent2" w:themeTint="32" w:fill="FBE0CF" w:themeFill="accent2" w:themeFillTint="32"/>
    </w:tblPr>
    <w:tblStylePr w:type="firstRow">
      <w:rPr>
        <w:rFonts w:ascii="Arial" w:hAnsi="Arial"/>
        <w:b/>
        <w:color w:val="FFFFFF"/>
        <w:sz w:val="22"/>
      </w:rPr>
      <w:tblPr/>
      <w:tcPr>
        <w:shd w:val="clear" w:color="EA6312" w:themeColor="accent2" w:fill="EA6312" w:themeFill="accent2"/>
      </w:tcPr>
    </w:tblStylePr>
    <w:tblStylePr w:type="lastRow">
      <w:rPr>
        <w:rFonts w:ascii="Arial" w:hAnsi="Arial"/>
        <w:b/>
        <w:color w:val="FFFFFF"/>
        <w:sz w:val="22"/>
      </w:rPr>
      <w:tblPr/>
      <w:tcPr>
        <w:tcBorders>
          <w:top w:val="single" w:sz="4" w:space="0" w:color="FFFFFF" w:themeColor="light1"/>
        </w:tcBorders>
        <w:shd w:val="clear" w:color="EA6312" w:themeColor="accent2" w:fill="EA6312" w:themeFill="accent2"/>
      </w:tcPr>
    </w:tblStylePr>
    <w:tblStylePr w:type="firstCol">
      <w:rPr>
        <w:rFonts w:ascii="Arial" w:hAnsi="Arial"/>
        <w:b/>
        <w:color w:val="FFFFFF"/>
        <w:sz w:val="22"/>
      </w:rPr>
      <w:tblPr/>
      <w:tcPr>
        <w:shd w:val="clear" w:color="EA6312" w:themeColor="accent2" w:fill="EA6312" w:themeFill="accent2"/>
      </w:tcPr>
    </w:tblStylePr>
    <w:tblStylePr w:type="lastCol">
      <w:rPr>
        <w:rFonts w:ascii="Arial" w:hAnsi="Arial"/>
        <w:b/>
        <w:color w:val="FFFFFF"/>
        <w:sz w:val="22"/>
      </w:rPr>
      <w:tblPr/>
      <w:tcPr>
        <w:shd w:val="clear" w:color="EA6312" w:themeColor="accent2" w:fill="EA6312" w:themeFill="accent2"/>
      </w:tcPr>
    </w:tblStylePr>
    <w:tblStylePr w:type="band1Vert">
      <w:tblPr/>
      <w:tcPr>
        <w:shd w:val="clear" w:color="F6B690" w:themeColor="accent2" w:themeTint="75" w:fill="F6B690" w:themeFill="accent2" w:themeFillTint="75"/>
      </w:tcPr>
    </w:tblStylePr>
    <w:tblStylePr w:type="band1Horz">
      <w:tblPr/>
      <w:tcPr>
        <w:shd w:val="clear" w:color="F6B690" w:themeColor="accent2" w:themeTint="75" w:fill="F6B690" w:themeFill="accent2" w:themeFillTint="75"/>
      </w:tcPr>
    </w:tblStylePr>
  </w:style>
  <w:style w:type="table" w:customStyle="1" w:styleId="GridTable5Dark-Accent33">
    <w:name w:val="Grid Table 5 Dark - Accent 3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F0D3" w:themeColor="accent3" w:themeTint="34" w:fill="FAF0D3" w:themeFill="accent3" w:themeFillTint="34"/>
    </w:tblPr>
    <w:tblStylePr w:type="firstRow">
      <w:rPr>
        <w:rFonts w:ascii="Arial" w:hAnsi="Arial"/>
        <w:b/>
        <w:color w:val="FFFFFF"/>
        <w:sz w:val="22"/>
      </w:rPr>
      <w:tblPr/>
      <w:tcPr>
        <w:shd w:val="clear" w:color="E6B729" w:themeColor="accent3" w:fill="E6B729" w:themeFill="accent3"/>
      </w:tcPr>
    </w:tblStylePr>
    <w:tblStylePr w:type="lastRow">
      <w:rPr>
        <w:rFonts w:ascii="Arial" w:hAnsi="Arial"/>
        <w:b/>
        <w:color w:val="FFFFFF"/>
        <w:sz w:val="22"/>
      </w:rPr>
      <w:tblPr/>
      <w:tcPr>
        <w:tcBorders>
          <w:top w:val="single" w:sz="4" w:space="0" w:color="FFFFFF" w:themeColor="light1"/>
        </w:tcBorders>
        <w:shd w:val="clear" w:color="E6B729" w:themeColor="accent3" w:fill="E6B729" w:themeFill="accent3"/>
      </w:tcPr>
    </w:tblStylePr>
    <w:tblStylePr w:type="firstCol">
      <w:rPr>
        <w:rFonts w:ascii="Arial" w:hAnsi="Arial"/>
        <w:b/>
        <w:color w:val="FFFFFF"/>
        <w:sz w:val="22"/>
      </w:rPr>
      <w:tblPr/>
      <w:tcPr>
        <w:shd w:val="clear" w:color="E6B729" w:themeColor="accent3" w:fill="E6B729" w:themeFill="accent3"/>
      </w:tcPr>
    </w:tblStylePr>
    <w:tblStylePr w:type="lastCol">
      <w:rPr>
        <w:rFonts w:ascii="Arial" w:hAnsi="Arial"/>
        <w:b/>
        <w:color w:val="FFFFFF"/>
        <w:sz w:val="22"/>
      </w:rPr>
      <w:tblPr/>
      <w:tcPr>
        <w:shd w:val="clear" w:color="E6B729" w:themeColor="accent3" w:fill="E6B729" w:themeFill="accent3"/>
      </w:tcPr>
    </w:tblStylePr>
    <w:tblStylePr w:type="band1Vert">
      <w:tblPr/>
      <w:tcPr>
        <w:shd w:val="clear" w:color="F3DD9C" w:themeColor="accent3" w:themeTint="75" w:fill="F3DD9C" w:themeFill="accent3" w:themeFillTint="75"/>
      </w:tcPr>
    </w:tblStylePr>
    <w:tblStylePr w:type="band1Horz">
      <w:tblPr/>
      <w:tcPr>
        <w:shd w:val="clear" w:color="F3DD9C" w:themeColor="accent3" w:themeTint="75" w:fill="F3DD9C" w:themeFill="accent3" w:themeFillTint="75"/>
      </w:tcPr>
    </w:tblStylePr>
  </w:style>
  <w:style w:type="table" w:customStyle="1" w:styleId="GridTable5Dark-Accent43">
    <w:name w:val="Grid Table 5 Dark- Accent 4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0EEE8" w:themeColor="accent4" w:themeTint="34" w:fill="E0EEE8" w:themeFill="accent4" w:themeFillTint="34"/>
    </w:tblPr>
    <w:tblStylePr w:type="firstRow">
      <w:rPr>
        <w:rFonts w:ascii="Arial" w:hAnsi="Arial"/>
        <w:b/>
        <w:color w:val="FFFFFF"/>
        <w:sz w:val="22"/>
      </w:rPr>
      <w:tblPr/>
      <w:tcPr>
        <w:shd w:val="clear" w:color="6AAC90" w:themeColor="accent4" w:fill="6AAC90" w:themeFill="accent4"/>
      </w:tcPr>
    </w:tblStylePr>
    <w:tblStylePr w:type="lastRow">
      <w:rPr>
        <w:rFonts w:ascii="Arial" w:hAnsi="Arial"/>
        <w:b/>
        <w:color w:val="FFFFFF"/>
        <w:sz w:val="22"/>
      </w:rPr>
      <w:tblPr/>
      <w:tcPr>
        <w:tcBorders>
          <w:top w:val="single" w:sz="4" w:space="0" w:color="FFFFFF" w:themeColor="light1"/>
        </w:tcBorders>
        <w:shd w:val="clear" w:color="6AAC90" w:themeColor="accent4" w:fill="6AAC90" w:themeFill="accent4"/>
      </w:tcPr>
    </w:tblStylePr>
    <w:tblStylePr w:type="firstCol">
      <w:rPr>
        <w:rFonts w:ascii="Arial" w:hAnsi="Arial"/>
        <w:b/>
        <w:color w:val="FFFFFF"/>
        <w:sz w:val="22"/>
      </w:rPr>
      <w:tblPr/>
      <w:tcPr>
        <w:shd w:val="clear" w:color="6AAC90" w:themeColor="accent4" w:fill="6AAC90" w:themeFill="accent4"/>
      </w:tcPr>
    </w:tblStylePr>
    <w:tblStylePr w:type="lastCol">
      <w:rPr>
        <w:rFonts w:ascii="Arial" w:hAnsi="Arial"/>
        <w:b/>
        <w:color w:val="FFFFFF"/>
        <w:sz w:val="22"/>
      </w:rPr>
      <w:tblPr/>
      <w:tcPr>
        <w:shd w:val="clear" w:color="6AAC90" w:themeColor="accent4" w:fill="6AAC90" w:themeFill="accent4"/>
      </w:tcPr>
    </w:tblStylePr>
    <w:tblStylePr w:type="band1Vert">
      <w:tblPr/>
      <w:tcPr>
        <w:shd w:val="clear" w:color="BAD8CB" w:themeColor="accent4" w:themeTint="75" w:fill="BAD8CB" w:themeFill="accent4" w:themeFillTint="75"/>
      </w:tcPr>
    </w:tblStylePr>
    <w:tblStylePr w:type="band1Horz">
      <w:tblPr/>
      <w:tcPr>
        <w:shd w:val="clear" w:color="BAD8CB" w:themeColor="accent4" w:themeTint="75" w:fill="BAD8CB" w:themeFill="accent4" w:themeFillTint="75"/>
      </w:tcPr>
    </w:tblStylePr>
  </w:style>
  <w:style w:type="table" w:customStyle="1" w:styleId="GridTable5Dark-Accent53">
    <w:name w:val="Grid Table 5 Dark - Accent 5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6EB" w:themeColor="accent5" w:themeTint="34" w:fill="DAE6EB" w:themeFill="accent5" w:themeFillTint="34"/>
    </w:tblPr>
    <w:tblStylePr w:type="firstRow">
      <w:rPr>
        <w:rFonts w:ascii="Arial" w:hAnsi="Arial"/>
        <w:b/>
        <w:color w:val="FFFFFF"/>
        <w:sz w:val="22"/>
      </w:rPr>
      <w:tblPr/>
      <w:tcPr>
        <w:shd w:val="clear" w:color="54849A" w:themeColor="accent5" w:fill="54849A" w:themeFill="accent5"/>
      </w:tcPr>
    </w:tblStylePr>
    <w:tblStylePr w:type="lastRow">
      <w:rPr>
        <w:rFonts w:ascii="Arial" w:hAnsi="Arial"/>
        <w:b/>
        <w:color w:val="FFFFFF"/>
        <w:sz w:val="22"/>
      </w:rPr>
      <w:tblPr/>
      <w:tcPr>
        <w:tcBorders>
          <w:top w:val="single" w:sz="4" w:space="0" w:color="FFFFFF" w:themeColor="light1"/>
        </w:tcBorders>
        <w:shd w:val="clear" w:color="54849A" w:themeColor="accent5" w:fill="54849A" w:themeFill="accent5"/>
      </w:tcPr>
    </w:tblStylePr>
    <w:tblStylePr w:type="firstCol">
      <w:rPr>
        <w:rFonts w:ascii="Arial" w:hAnsi="Arial"/>
        <w:b/>
        <w:color w:val="FFFFFF"/>
        <w:sz w:val="22"/>
      </w:rPr>
      <w:tblPr/>
      <w:tcPr>
        <w:shd w:val="clear" w:color="54849A" w:themeColor="accent5" w:fill="54849A" w:themeFill="accent5"/>
      </w:tcPr>
    </w:tblStylePr>
    <w:tblStylePr w:type="lastCol">
      <w:rPr>
        <w:rFonts w:ascii="Arial" w:hAnsi="Arial"/>
        <w:b/>
        <w:color w:val="FFFFFF"/>
        <w:sz w:val="22"/>
      </w:rPr>
      <w:tblPr/>
      <w:tcPr>
        <w:shd w:val="clear" w:color="54849A" w:themeColor="accent5" w:fill="54849A" w:themeFill="accent5"/>
      </w:tcPr>
    </w:tblStylePr>
    <w:tblStylePr w:type="band1Vert">
      <w:tblPr/>
      <w:tcPr>
        <w:shd w:val="clear" w:color="AEC7D3" w:themeColor="accent5" w:themeTint="75" w:fill="AEC7D3" w:themeFill="accent5" w:themeFillTint="75"/>
      </w:tcPr>
    </w:tblStylePr>
    <w:tblStylePr w:type="band1Horz">
      <w:tblPr/>
      <w:tcPr>
        <w:shd w:val="clear" w:color="AEC7D3" w:themeColor="accent5" w:themeTint="75" w:fill="AEC7D3" w:themeFill="accent5" w:themeFillTint="75"/>
      </w:tcPr>
    </w:tblStylePr>
  </w:style>
  <w:style w:type="table" w:customStyle="1" w:styleId="GridTable5Dark-Accent63">
    <w:name w:val="Grid Table 5 Dark - Accent 63"/>
    <w:basedOn w:val="a5"/>
    <w:uiPriority w:val="99"/>
    <w:rsid w:val="00250BE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BDDEA" w:themeColor="accent6" w:themeTint="34" w:fill="EBDDEA" w:themeFill="accent6" w:themeFillTint="34"/>
    </w:tblPr>
    <w:tblStylePr w:type="firstRow">
      <w:rPr>
        <w:rFonts w:ascii="Arial" w:hAnsi="Arial"/>
        <w:b/>
        <w:color w:val="FFFFFF"/>
        <w:sz w:val="22"/>
      </w:rPr>
      <w:tblPr/>
      <w:tcPr>
        <w:shd w:val="clear" w:color="9E5E9B" w:themeColor="accent6" w:fill="9E5E9B" w:themeFill="accent6"/>
      </w:tcPr>
    </w:tblStylePr>
    <w:tblStylePr w:type="lastRow">
      <w:rPr>
        <w:rFonts w:ascii="Arial" w:hAnsi="Arial"/>
        <w:b/>
        <w:color w:val="FFFFFF"/>
        <w:sz w:val="22"/>
      </w:rPr>
      <w:tblPr/>
      <w:tcPr>
        <w:tcBorders>
          <w:top w:val="single" w:sz="4" w:space="0" w:color="FFFFFF" w:themeColor="light1"/>
        </w:tcBorders>
        <w:shd w:val="clear" w:color="9E5E9B" w:themeColor="accent6" w:fill="9E5E9B" w:themeFill="accent6"/>
      </w:tcPr>
    </w:tblStylePr>
    <w:tblStylePr w:type="firstCol">
      <w:rPr>
        <w:rFonts w:ascii="Arial" w:hAnsi="Arial"/>
        <w:b/>
        <w:color w:val="FFFFFF"/>
        <w:sz w:val="22"/>
      </w:rPr>
      <w:tblPr/>
      <w:tcPr>
        <w:shd w:val="clear" w:color="9E5E9B" w:themeColor="accent6" w:fill="9E5E9B" w:themeFill="accent6"/>
      </w:tcPr>
    </w:tblStylePr>
    <w:tblStylePr w:type="lastCol">
      <w:rPr>
        <w:rFonts w:ascii="Arial" w:hAnsi="Arial"/>
        <w:b/>
        <w:color w:val="FFFFFF"/>
        <w:sz w:val="22"/>
      </w:rPr>
      <w:tblPr/>
      <w:tcPr>
        <w:shd w:val="clear" w:color="9E5E9B" w:themeColor="accent6" w:fill="9E5E9B" w:themeFill="accent6"/>
      </w:tcPr>
    </w:tblStylePr>
    <w:tblStylePr w:type="band1Vert">
      <w:tblPr/>
      <w:tcPr>
        <w:shd w:val="clear" w:color="D2B4D1" w:themeColor="accent6" w:themeTint="75" w:fill="D2B4D1" w:themeFill="accent6" w:themeFillTint="75"/>
      </w:tcPr>
    </w:tblStylePr>
    <w:tblStylePr w:type="band1Horz">
      <w:tblPr/>
      <w:tcPr>
        <w:shd w:val="clear" w:color="D2B4D1" w:themeColor="accent6" w:themeTint="75" w:fill="D2B4D1" w:themeFill="accent6" w:themeFillTint="75"/>
      </w:tcPr>
    </w:tblStylePr>
  </w:style>
  <w:style w:type="table" w:customStyle="1" w:styleId="-6130">
    <w:name w:val="Таблица-сетка 6 цветная13"/>
    <w:basedOn w:val="a5"/>
    <w:uiPriority w:val="99"/>
    <w:rsid w:val="00250BEC"/>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3">
    <w:name w:val="Grid Table 6 Colorful - Accent 13"/>
    <w:basedOn w:val="a5"/>
    <w:uiPriority w:val="99"/>
    <w:rsid w:val="00250BEC"/>
    <w:pPr>
      <w:spacing w:after="0" w:line="240" w:lineRule="auto"/>
    </w:pPr>
    <w:tblPr>
      <w:tblStyleRowBandSize w:val="1"/>
      <w:tblStyleColBandSize w:val="1"/>
      <w:tblBorders>
        <w:top w:val="single" w:sz="4" w:space="0" w:color="EF7170" w:themeColor="accent1" w:themeTint="80"/>
        <w:left w:val="single" w:sz="4" w:space="0" w:color="EF7170" w:themeColor="accent1" w:themeTint="80"/>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b/>
        <w:color w:val="EF7170" w:themeColor="accent1" w:themeTint="80" w:themeShade="95"/>
      </w:rPr>
      <w:tblPr/>
      <w:tcPr>
        <w:tcBorders>
          <w:bottom w:val="single" w:sz="12" w:space="0" w:color="EF7170" w:themeColor="accent1" w:themeTint="80"/>
        </w:tcBorders>
      </w:tcPr>
    </w:tblStylePr>
    <w:tblStylePr w:type="lastRow">
      <w:rPr>
        <w:b/>
        <w:color w:val="EF7170" w:themeColor="accent1" w:themeTint="80" w:themeShade="95"/>
      </w:rPr>
    </w:tblStylePr>
    <w:tblStylePr w:type="firstCol">
      <w:rPr>
        <w:b/>
        <w:color w:val="EF7170" w:themeColor="accent1" w:themeTint="80" w:themeShade="95"/>
      </w:rPr>
    </w:tblStylePr>
    <w:tblStylePr w:type="lastCol">
      <w:rPr>
        <w:b/>
        <w:color w:val="EF7170" w:themeColor="accent1" w:themeTint="80" w:themeShade="95"/>
      </w:r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6Colorful-Accent23">
    <w:name w:val="Grid Table 6 Colorful - Accent 23"/>
    <w:basedOn w:val="a5"/>
    <w:uiPriority w:val="99"/>
    <w:rsid w:val="00250BEC"/>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F4A170" w:themeColor="accent2" w:themeTint="97" w:themeShade="95"/>
      </w:rPr>
      <w:tblPr/>
      <w:tcPr>
        <w:tcBorders>
          <w:bottom w:val="single" w:sz="12" w:space="0" w:color="F4A170" w:themeColor="accent2" w:themeTint="97"/>
        </w:tcBorders>
      </w:tcPr>
    </w:tblStylePr>
    <w:tblStylePr w:type="lastRow">
      <w:rPr>
        <w:b/>
        <w:color w:val="F4A170" w:themeColor="accent2" w:themeTint="97" w:themeShade="95"/>
      </w:r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6Colorful-Accent33">
    <w:name w:val="Grid Table 6 Colorful - Accent 33"/>
    <w:basedOn w:val="a5"/>
    <w:uiPriority w:val="99"/>
    <w:rsid w:val="00250BEC"/>
    <w:pPr>
      <w:spacing w:after="0" w:line="240" w:lineRule="auto"/>
    </w:pPr>
    <w:tblPr>
      <w:tblStyleRowBandSize w:val="1"/>
      <w:tblStyleColBandSize w:val="1"/>
      <w:tbl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E6B629" w:themeColor="accent3" w:themeTint="FE" w:themeShade="95"/>
      </w:rPr>
      <w:tblPr/>
      <w:tcPr>
        <w:tcBorders>
          <w:bottom w:val="single" w:sz="12" w:space="0" w:color="E6B629" w:themeColor="accent3" w:themeTint="FE"/>
        </w:tcBorders>
      </w:tcPr>
    </w:tblStylePr>
    <w:tblStylePr w:type="lastRow">
      <w:rPr>
        <w:b/>
        <w:color w:val="E6B629" w:themeColor="accent3" w:themeTint="FE" w:themeShade="95"/>
      </w:rPr>
    </w:tblStylePr>
    <w:tblStylePr w:type="firstCol">
      <w:rPr>
        <w:b/>
        <w:color w:val="E6B629" w:themeColor="accent3" w:themeTint="FE" w:themeShade="95"/>
      </w:rPr>
    </w:tblStylePr>
    <w:tblStylePr w:type="lastCol">
      <w:rPr>
        <w:b/>
        <w:color w:val="E6B629" w:themeColor="accent3" w:themeTint="FE" w:themeShade="95"/>
      </w:r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6Colorful-Accent43">
    <w:name w:val="Grid Table 6 Colorful - Accent 43"/>
    <w:basedOn w:val="a5"/>
    <w:uiPriority w:val="99"/>
    <w:rsid w:val="00250BEC"/>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A4CCBB" w:themeColor="accent4" w:themeTint="9A" w:themeShade="95"/>
      </w:rPr>
      <w:tblPr/>
      <w:tcPr>
        <w:tcBorders>
          <w:bottom w:val="single" w:sz="12" w:space="0" w:color="A4CCBB" w:themeColor="accent4" w:themeTint="9A"/>
        </w:tcBorders>
      </w:tcPr>
    </w:tblStylePr>
    <w:tblStylePr w:type="lastRow">
      <w:rPr>
        <w:b/>
        <w:color w:val="A4CCBB" w:themeColor="accent4" w:themeTint="9A" w:themeShade="95"/>
      </w:r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6Colorful-Accent53">
    <w:name w:val="Grid Table 6 Colorful - Accent 53"/>
    <w:basedOn w:val="a5"/>
    <w:uiPriority w:val="99"/>
    <w:rsid w:val="00250BEC"/>
    <w:pPr>
      <w:spacing w:after="0" w:line="240" w:lineRule="auto"/>
    </w:pPr>
    <w:tblPr>
      <w:tblStyleRowBandSize w:val="1"/>
      <w:tblStyleColBandSize w:val="1"/>
      <w:tblBorders>
        <w:top w:val="single" w:sz="4" w:space="0" w:color="54849A" w:themeColor="accent5"/>
        <w:left w:val="single" w:sz="4" w:space="0" w:color="54849A" w:themeColor="accent5"/>
        <w:bottom w:val="single" w:sz="4" w:space="0" w:color="54849A" w:themeColor="accent5"/>
        <w:right w:val="single" w:sz="4" w:space="0" w:color="54849A" w:themeColor="accent5"/>
        <w:insideH w:val="single" w:sz="4" w:space="0" w:color="54849A" w:themeColor="accent5"/>
        <w:insideV w:val="single" w:sz="4" w:space="0" w:color="54849A" w:themeColor="accent5"/>
      </w:tblBorders>
    </w:tblPr>
    <w:tblStylePr w:type="firstRow">
      <w:rPr>
        <w:b/>
        <w:color w:val="314C59" w:themeColor="accent5" w:themeShade="95"/>
      </w:rPr>
      <w:tblPr/>
      <w:tcPr>
        <w:tcBorders>
          <w:bottom w:val="single" w:sz="12" w:space="0" w:color="54849A" w:themeColor="accent5"/>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6Colorful-Accent63">
    <w:name w:val="Grid Table 6 Colorful - Accent 63"/>
    <w:basedOn w:val="a5"/>
    <w:uiPriority w:val="99"/>
    <w:rsid w:val="00250BEC"/>
    <w:pPr>
      <w:spacing w:after="0" w:line="240" w:lineRule="auto"/>
    </w:pPr>
    <w:tblPr>
      <w:tblStyleRowBandSize w:val="1"/>
      <w:tblStyleColBandSize w:val="1"/>
      <w:tblBorders>
        <w:top w:val="single" w:sz="4" w:space="0" w:color="9E5E9B" w:themeColor="accent6"/>
        <w:left w:val="single" w:sz="4" w:space="0" w:color="9E5E9B" w:themeColor="accent6"/>
        <w:bottom w:val="single" w:sz="4" w:space="0" w:color="9E5E9B" w:themeColor="accent6"/>
        <w:right w:val="single" w:sz="4" w:space="0" w:color="9E5E9B" w:themeColor="accent6"/>
        <w:insideH w:val="single" w:sz="4" w:space="0" w:color="9E5E9B" w:themeColor="accent6"/>
        <w:insideV w:val="single" w:sz="4" w:space="0" w:color="9E5E9B" w:themeColor="accent6"/>
      </w:tblBorders>
    </w:tblPr>
    <w:tblStylePr w:type="firstRow">
      <w:rPr>
        <w:b/>
        <w:color w:val="314C59" w:themeColor="accent5" w:themeShade="95"/>
      </w:rPr>
      <w:tblPr/>
      <w:tcPr>
        <w:tcBorders>
          <w:bottom w:val="single" w:sz="12" w:space="0" w:color="9E5E9B" w:themeColor="accent6"/>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EBDDEA" w:themeColor="accent6" w:themeTint="34" w:fill="EBDDEA" w:themeFill="accent6" w:themeFillTint="34"/>
      </w:tcPr>
    </w:tblStylePr>
    <w:tblStylePr w:type="band1Horz">
      <w:rPr>
        <w:rFonts w:ascii="Arial" w:hAnsi="Arial"/>
        <w:color w:val="314C59" w:themeColor="accent5" w:themeShade="95"/>
        <w:sz w:val="22"/>
      </w:rPr>
      <w:tblPr/>
      <w:tcPr>
        <w:shd w:val="clear" w:color="EBDDEA" w:themeColor="accent6" w:themeTint="34" w:fill="EBDDEA" w:themeFill="accent6" w:themeFillTint="34"/>
      </w:tcPr>
    </w:tblStylePr>
    <w:tblStylePr w:type="band2Horz">
      <w:rPr>
        <w:rFonts w:ascii="Arial" w:hAnsi="Arial"/>
        <w:color w:val="314C59" w:themeColor="accent5" w:themeShade="95"/>
        <w:sz w:val="22"/>
      </w:rPr>
    </w:tblStylePr>
  </w:style>
  <w:style w:type="table" w:customStyle="1" w:styleId="-713">
    <w:name w:val="Таблица-сетка 7 цветная13"/>
    <w:basedOn w:val="a5"/>
    <w:uiPriority w:val="99"/>
    <w:rsid w:val="00250BEC"/>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3">
    <w:name w:val="Grid Table 7 Colorful - Accent 13"/>
    <w:basedOn w:val="a5"/>
    <w:uiPriority w:val="99"/>
    <w:rsid w:val="00250BEC"/>
    <w:pPr>
      <w:spacing w:after="0" w:line="240" w:lineRule="auto"/>
    </w:pPr>
    <w:tblPr>
      <w:tblStyleRowBandSize w:val="1"/>
      <w:tblStyleColBandSize w:val="1"/>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b/>
        <w:color w:val="EF7170" w:themeColor="accent1" w:themeTint="80" w:themeShade="95"/>
        <w:sz w:val="22"/>
      </w:rPr>
      <w:tblPr/>
      <w:tcPr>
        <w:tcBorders>
          <w:top w:val="none" w:sz="4" w:space="0" w:color="000000"/>
          <w:left w:val="none" w:sz="4" w:space="0" w:color="000000"/>
          <w:bottom w:val="single" w:sz="4" w:space="0" w:color="EF7170" w:themeColor="accent1" w:themeTint="80"/>
          <w:right w:val="none" w:sz="4" w:space="0" w:color="000000"/>
        </w:tcBorders>
        <w:shd w:val="clear" w:color="FFFFFF" w:themeColor="light1" w:fill="FFFFFF" w:themeFill="light1"/>
      </w:tcPr>
    </w:tblStylePr>
    <w:tblStylePr w:type="lastRow">
      <w:rPr>
        <w:rFonts w:ascii="Arial" w:hAnsi="Arial"/>
        <w:b/>
        <w:color w:val="EF7170" w:themeColor="accent1" w:themeTint="80" w:themeShade="95"/>
        <w:sz w:val="22"/>
      </w:rPr>
      <w:tblPr/>
      <w:tcPr>
        <w:tcBorders>
          <w:top w:val="single" w:sz="4" w:space="0" w:color="EF7170"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7170" w:themeColor="accent1" w:themeTint="80" w:themeShade="95"/>
        <w:sz w:val="22"/>
      </w:rPr>
      <w:tblPr/>
      <w:tcPr>
        <w:tcBorders>
          <w:top w:val="none" w:sz="4" w:space="0" w:color="000000"/>
          <w:left w:val="none" w:sz="4" w:space="0" w:color="000000"/>
          <w:bottom w:val="none" w:sz="4" w:space="0" w:color="000000"/>
          <w:right w:val="single" w:sz="4" w:space="0" w:color="EF7170" w:themeColor="accent1" w:themeTint="80"/>
        </w:tcBorders>
        <w:shd w:val="clear" w:color="FFFFFF" w:fill="auto"/>
      </w:tcPr>
    </w:tblStylePr>
    <w:tblStylePr w:type="lastCol">
      <w:rPr>
        <w:rFonts w:ascii="Arial" w:hAnsi="Arial"/>
        <w:i/>
        <w:color w:val="EF7170" w:themeColor="accent1" w:themeTint="80" w:themeShade="95"/>
        <w:sz w:val="22"/>
      </w:rPr>
      <w:tblPr/>
      <w:tcPr>
        <w:tcBorders>
          <w:top w:val="none" w:sz="4" w:space="0" w:color="000000"/>
          <w:left w:val="single" w:sz="4" w:space="0" w:color="EF7170" w:themeColor="accent1" w:themeTint="80"/>
          <w:bottom w:val="none" w:sz="4" w:space="0" w:color="000000"/>
          <w:right w:val="none" w:sz="4" w:space="0" w:color="000000"/>
        </w:tcBorders>
        <w:shd w:val="clear" w:color="FFFFFF" w:fill="auto"/>
      </w:tc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7Colorful-Accent23">
    <w:name w:val="Grid Table 7 Colorful - Accent 23"/>
    <w:basedOn w:val="a5"/>
    <w:uiPriority w:val="99"/>
    <w:rsid w:val="00250BEC"/>
    <w:pPr>
      <w:spacing w:after="0" w:line="240" w:lineRule="auto"/>
    </w:pPr>
    <w:tblPr>
      <w:tblStyleRowBandSize w:val="1"/>
      <w:tblStyleColBandSize w:val="1"/>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b/>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b/>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7Colorful-Accent33">
    <w:name w:val="Grid Table 7 Colorful - Accent 33"/>
    <w:basedOn w:val="a5"/>
    <w:uiPriority w:val="99"/>
    <w:rsid w:val="00250BEC"/>
    <w:pPr>
      <w:spacing w:after="0" w:line="240" w:lineRule="auto"/>
    </w:pPr>
    <w:tblPr>
      <w:tblStyleRowBandSize w:val="1"/>
      <w:tblStyleColBandSize w:val="1"/>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b/>
        <w:color w:val="E6B629" w:themeColor="accent3" w:themeTint="FE" w:themeShade="95"/>
        <w:sz w:val="22"/>
      </w:rPr>
      <w:tblPr/>
      <w:tcPr>
        <w:tcBorders>
          <w:top w:val="none" w:sz="4" w:space="0" w:color="000000"/>
          <w:left w:val="none" w:sz="4" w:space="0" w:color="000000"/>
          <w:bottom w:val="single" w:sz="4" w:space="0" w:color="E6B629" w:themeColor="accent3" w:themeTint="FE"/>
          <w:right w:val="none" w:sz="4" w:space="0" w:color="000000"/>
        </w:tcBorders>
        <w:shd w:val="clear" w:color="FFFFFF" w:themeColor="light1" w:fill="FFFFFF" w:themeFill="light1"/>
      </w:tcPr>
    </w:tblStylePr>
    <w:tblStylePr w:type="lastRow">
      <w:rPr>
        <w:rFonts w:ascii="Arial" w:hAnsi="Arial"/>
        <w:b/>
        <w:color w:val="E6B629" w:themeColor="accent3" w:themeTint="FE" w:themeShade="95"/>
        <w:sz w:val="22"/>
      </w:rPr>
      <w:tblPr/>
      <w:tcPr>
        <w:tcBorders>
          <w:top w:val="single" w:sz="4" w:space="0" w:color="E6B62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6B629" w:themeColor="accent3" w:themeTint="FE" w:themeShade="95"/>
        <w:sz w:val="22"/>
      </w:rPr>
      <w:tblPr/>
      <w:tcPr>
        <w:tcBorders>
          <w:top w:val="none" w:sz="4" w:space="0" w:color="000000"/>
          <w:left w:val="none" w:sz="4" w:space="0" w:color="000000"/>
          <w:bottom w:val="none" w:sz="4" w:space="0" w:color="000000"/>
          <w:right w:val="single" w:sz="4" w:space="0" w:color="E6B629" w:themeColor="accent3" w:themeTint="FE"/>
        </w:tcBorders>
        <w:shd w:val="clear" w:color="FFFFFF" w:fill="auto"/>
      </w:tcPr>
    </w:tblStylePr>
    <w:tblStylePr w:type="lastCol">
      <w:rPr>
        <w:rFonts w:ascii="Arial" w:hAnsi="Arial"/>
        <w:i/>
        <w:color w:val="E6B629" w:themeColor="accent3" w:themeTint="FE" w:themeShade="95"/>
        <w:sz w:val="22"/>
      </w:rPr>
      <w:tblPr/>
      <w:tcPr>
        <w:tcBorders>
          <w:top w:val="none" w:sz="4" w:space="0" w:color="000000"/>
          <w:left w:val="single" w:sz="4" w:space="0" w:color="E6B629" w:themeColor="accent3" w:themeTint="FE"/>
          <w:bottom w:val="none" w:sz="4" w:space="0" w:color="000000"/>
          <w:right w:val="none" w:sz="4" w:space="0" w:color="000000"/>
        </w:tcBorders>
        <w:shd w:val="clear" w:color="FFFFFF" w:fill="auto"/>
      </w:tc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7Colorful-Accent43">
    <w:name w:val="Grid Table 7 Colorful - Accent 43"/>
    <w:basedOn w:val="a5"/>
    <w:uiPriority w:val="99"/>
    <w:rsid w:val="00250BEC"/>
    <w:pPr>
      <w:spacing w:after="0" w:line="240" w:lineRule="auto"/>
    </w:pPr>
    <w:tblPr>
      <w:tblStyleRowBandSize w:val="1"/>
      <w:tblStyleColBandSize w:val="1"/>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b/>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b/>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7Colorful-Accent53">
    <w:name w:val="Grid Table 7 Colorful - Accent 53"/>
    <w:basedOn w:val="a5"/>
    <w:uiPriority w:val="99"/>
    <w:rsid w:val="00250BEC"/>
    <w:pPr>
      <w:spacing w:after="0" w:line="240" w:lineRule="auto"/>
    </w:pPr>
    <w:tblPr>
      <w:tblStyleRowBandSize w:val="1"/>
      <w:tblStyleColBandSize w:val="1"/>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314C59" w:themeColor="accent5" w:themeShade="95"/>
        <w:sz w:val="22"/>
      </w:rPr>
      <w:tblPr/>
      <w:tcPr>
        <w:tcBorders>
          <w:top w:val="none" w:sz="4" w:space="0" w:color="000000"/>
          <w:left w:val="none" w:sz="4" w:space="0" w:color="000000"/>
          <w:bottom w:val="single" w:sz="4" w:space="0" w:color="9BBAC8" w:themeColor="accent5" w:themeTint="90"/>
          <w:right w:val="none" w:sz="4" w:space="0" w:color="000000"/>
        </w:tcBorders>
        <w:shd w:val="clear" w:color="FFFFFF" w:themeColor="light1" w:fill="FFFFFF" w:themeFill="light1"/>
      </w:tcPr>
    </w:tblStylePr>
    <w:tblStylePr w:type="lastRow">
      <w:rPr>
        <w:rFonts w:ascii="Arial" w:hAnsi="Arial"/>
        <w:b/>
        <w:color w:val="314C59" w:themeColor="accent5" w:themeShade="95"/>
        <w:sz w:val="22"/>
      </w:rPr>
      <w:tblPr/>
      <w:tcPr>
        <w:tcBorders>
          <w:top w:val="single" w:sz="4" w:space="0" w:color="9BBAC8"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14C59" w:themeColor="accent5" w:themeShade="95"/>
        <w:sz w:val="22"/>
      </w:rPr>
      <w:tblPr/>
      <w:tcPr>
        <w:tcBorders>
          <w:top w:val="none" w:sz="4" w:space="0" w:color="000000"/>
          <w:left w:val="none" w:sz="4" w:space="0" w:color="000000"/>
          <w:bottom w:val="none" w:sz="4" w:space="0" w:color="000000"/>
          <w:right w:val="single" w:sz="4" w:space="0" w:color="9BBAC8" w:themeColor="accent5" w:themeTint="90"/>
        </w:tcBorders>
        <w:shd w:val="clear" w:color="FFFFFF" w:fill="auto"/>
      </w:tcPr>
    </w:tblStylePr>
    <w:tblStylePr w:type="lastCol">
      <w:rPr>
        <w:rFonts w:ascii="Arial" w:hAnsi="Arial"/>
        <w:i/>
        <w:color w:val="314C59" w:themeColor="accent5" w:themeShade="95"/>
        <w:sz w:val="22"/>
      </w:rPr>
      <w:tblPr/>
      <w:tcPr>
        <w:tcBorders>
          <w:top w:val="none" w:sz="4" w:space="0" w:color="000000"/>
          <w:left w:val="single" w:sz="4" w:space="0" w:color="9BBAC8" w:themeColor="accent5" w:themeTint="90"/>
          <w:bottom w:val="none" w:sz="4" w:space="0" w:color="000000"/>
          <w:right w:val="none" w:sz="4" w:space="0" w:color="000000"/>
        </w:tcBorders>
        <w:shd w:val="clear" w:color="FFFFFF" w:fill="auto"/>
      </w:tc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7Colorful-Accent63">
    <w:name w:val="Grid Table 7 Colorful - Accent 63"/>
    <w:basedOn w:val="a5"/>
    <w:uiPriority w:val="99"/>
    <w:rsid w:val="00250BEC"/>
    <w:pPr>
      <w:spacing w:after="0" w:line="240" w:lineRule="auto"/>
    </w:pPr>
    <w:tblPr>
      <w:tblStyleRowBandSize w:val="1"/>
      <w:tblStyleColBandSize w:val="1"/>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5C375A" w:themeColor="accent6" w:themeShade="95"/>
        <w:sz w:val="22"/>
      </w:rPr>
      <w:tblPr/>
      <w:tcPr>
        <w:tcBorders>
          <w:top w:val="none" w:sz="4" w:space="0" w:color="000000"/>
          <w:left w:val="none" w:sz="4" w:space="0" w:color="000000"/>
          <w:bottom w:val="single" w:sz="4" w:space="0" w:color="C8A3C6" w:themeColor="accent6" w:themeTint="90"/>
          <w:right w:val="none" w:sz="4" w:space="0" w:color="000000"/>
        </w:tcBorders>
        <w:shd w:val="clear" w:color="FFFFFF" w:themeColor="light1" w:fill="FFFFFF" w:themeFill="light1"/>
      </w:tcPr>
    </w:tblStylePr>
    <w:tblStylePr w:type="lastRow">
      <w:rPr>
        <w:rFonts w:ascii="Arial" w:hAnsi="Arial"/>
        <w:b/>
        <w:color w:val="5C375A" w:themeColor="accent6" w:themeShade="95"/>
        <w:sz w:val="22"/>
      </w:rPr>
      <w:tblPr/>
      <w:tcPr>
        <w:tcBorders>
          <w:top w:val="single" w:sz="4" w:space="0" w:color="C8A3C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C375A" w:themeColor="accent6" w:themeShade="95"/>
        <w:sz w:val="22"/>
      </w:rPr>
      <w:tblPr/>
      <w:tcPr>
        <w:tcBorders>
          <w:top w:val="none" w:sz="4" w:space="0" w:color="000000"/>
          <w:left w:val="none" w:sz="4" w:space="0" w:color="000000"/>
          <w:bottom w:val="none" w:sz="4" w:space="0" w:color="000000"/>
          <w:right w:val="single" w:sz="4" w:space="0" w:color="C8A3C6" w:themeColor="accent6" w:themeTint="90"/>
        </w:tcBorders>
        <w:shd w:val="clear" w:color="FFFFFF" w:fill="auto"/>
      </w:tcPr>
    </w:tblStylePr>
    <w:tblStylePr w:type="lastCol">
      <w:rPr>
        <w:rFonts w:ascii="Arial" w:hAnsi="Arial"/>
        <w:i/>
        <w:color w:val="5C375A" w:themeColor="accent6" w:themeShade="95"/>
        <w:sz w:val="22"/>
      </w:rPr>
      <w:tblPr/>
      <w:tcPr>
        <w:tcBorders>
          <w:top w:val="none" w:sz="4" w:space="0" w:color="000000"/>
          <w:left w:val="single" w:sz="4" w:space="0" w:color="C8A3C6" w:themeColor="accent6" w:themeTint="90"/>
          <w:bottom w:val="none" w:sz="4" w:space="0" w:color="000000"/>
          <w:right w:val="none" w:sz="4" w:space="0" w:color="000000"/>
        </w:tcBorders>
        <w:shd w:val="clear" w:color="FFFFFF" w:fill="auto"/>
      </w:tcPr>
    </w:tblStylePr>
    <w:tblStylePr w:type="band1Vert">
      <w:tblPr/>
      <w:tcPr>
        <w:shd w:val="clear" w:color="EBDDEA" w:themeColor="accent6" w:themeTint="34" w:fill="EBDDEA" w:themeFill="accent6" w:themeFillTint="34"/>
      </w:tcPr>
    </w:tblStylePr>
    <w:tblStylePr w:type="band1Horz">
      <w:rPr>
        <w:rFonts w:ascii="Arial" w:hAnsi="Arial"/>
        <w:color w:val="5C375A" w:themeColor="accent6" w:themeShade="95"/>
        <w:sz w:val="22"/>
      </w:rPr>
      <w:tblPr/>
      <w:tcPr>
        <w:shd w:val="clear" w:color="EBDDEA" w:themeColor="accent6" w:themeTint="34" w:fill="EBDDEA" w:themeFill="accent6" w:themeFillTint="34"/>
      </w:tcPr>
    </w:tblStylePr>
    <w:tblStylePr w:type="band2Horz">
      <w:rPr>
        <w:rFonts w:ascii="Arial" w:hAnsi="Arial"/>
        <w:color w:val="5C375A" w:themeColor="accent6" w:themeShade="95"/>
        <w:sz w:val="22"/>
      </w:rPr>
    </w:tblStylePr>
  </w:style>
  <w:style w:type="table" w:customStyle="1" w:styleId="ListTable1Light-Accent13">
    <w:name w:val="List Table 1 Light - Accent 1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01513" w:themeColor="accent1"/>
          <w:right w:val="none" w:sz="4" w:space="0" w:color="000000"/>
        </w:tcBorders>
      </w:tcPr>
    </w:tblStylePr>
    <w:tblStylePr w:type="lastRow">
      <w:rPr>
        <w:b/>
        <w:color w:val="404040"/>
      </w:rPr>
      <w:tblPr/>
      <w:tcPr>
        <w:tcBorders>
          <w:top w:val="single" w:sz="4" w:space="0" w:color="B01513"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7B8B7" w:themeColor="accent1" w:themeTint="40" w:fill="F7B8B7" w:themeFill="accent1" w:themeFillTint="40"/>
      </w:tcPr>
    </w:tblStylePr>
    <w:tblStylePr w:type="band1Horz">
      <w:tblPr/>
      <w:tcPr>
        <w:shd w:val="clear" w:color="F7B8B7" w:themeColor="accent1" w:themeTint="40" w:fill="F7B8B7" w:themeFill="accent1" w:themeFillTint="40"/>
      </w:tcPr>
    </w:tblStylePr>
  </w:style>
  <w:style w:type="table" w:customStyle="1" w:styleId="ListTable1Light-Accent23">
    <w:name w:val="List Table 1 Light - Accent 2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A6312" w:themeColor="accent2"/>
          <w:right w:val="none" w:sz="4" w:space="0" w:color="000000"/>
        </w:tcBorders>
      </w:tcPr>
    </w:tblStylePr>
    <w:tblStylePr w:type="lastRow">
      <w:rPr>
        <w:b/>
        <w:color w:val="404040"/>
      </w:rPr>
      <w:tblPr/>
      <w:tcPr>
        <w:tcBorders>
          <w:top w:val="single" w:sz="4" w:space="0" w:color="EA631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7C2" w:themeColor="accent2" w:themeTint="40" w:fill="FAD7C2" w:themeFill="accent2" w:themeFillTint="40"/>
      </w:tcPr>
    </w:tblStylePr>
    <w:tblStylePr w:type="band1Horz">
      <w:tblPr/>
      <w:tcPr>
        <w:shd w:val="clear" w:color="FAD7C2" w:themeColor="accent2" w:themeTint="40" w:fill="FAD7C2" w:themeFill="accent2" w:themeFillTint="40"/>
      </w:tcPr>
    </w:tblStylePr>
  </w:style>
  <w:style w:type="table" w:customStyle="1" w:styleId="ListTable1Light-Accent33">
    <w:name w:val="List Table 1 Light - Accent 3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6B729" w:themeColor="accent3"/>
          <w:right w:val="none" w:sz="4" w:space="0" w:color="000000"/>
        </w:tcBorders>
      </w:tcPr>
    </w:tblStylePr>
    <w:tblStylePr w:type="lastRow">
      <w:rPr>
        <w:b/>
        <w:color w:val="404040"/>
      </w:rPr>
      <w:tblPr/>
      <w:tcPr>
        <w:tcBorders>
          <w:top w:val="single" w:sz="4" w:space="0" w:color="E6B72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8ECC9" w:themeColor="accent3" w:themeTint="40" w:fill="F8ECC9" w:themeFill="accent3" w:themeFillTint="40"/>
      </w:tcPr>
    </w:tblStylePr>
    <w:tblStylePr w:type="band1Horz">
      <w:tblPr/>
      <w:tcPr>
        <w:shd w:val="clear" w:color="F8ECC9" w:themeColor="accent3" w:themeTint="40" w:fill="F8ECC9" w:themeFill="accent3" w:themeFillTint="40"/>
      </w:tcPr>
    </w:tblStylePr>
  </w:style>
  <w:style w:type="table" w:customStyle="1" w:styleId="ListTable1Light-Accent43">
    <w:name w:val="List Table 1 Light - Accent 4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AAC90" w:themeColor="accent4"/>
          <w:right w:val="none" w:sz="4" w:space="0" w:color="000000"/>
        </w:tcBorders>
      </w:tcPr>
    </w:tblStylePr>
    <w:tblStylePr w:type="lastRow">
      <w:rPr>
        <w:b/>
        <w:color w:val="404040"/>
      </w:rPr>
      <w:tblPr/>
      <w:tcPr>
        <w:tcBorders>
          <w:top w:val="single" w:sz="4" w:space="0" w:color="6AAC9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9EAE3" w:themeColor="accent4" w:themeTint="40" w:fill="D9EAE3" w:themeFill="accent4" w:themeFillTint="40"/>
      </w:tcPr>
    </w:tblStylePr>
    <w:tblStylePr w:type="band1Horz">
      <w:tblPr/>
      <w:tcPr>
        <w:shd w:val="clear" w:color="D9EAE3" w:themeColor="accent4" w:themeTint="40" w:fill="D9EAE3" w:themeFill="accent4" w:themeFillTint="40"/>
      </w:tcPr>
    </w:tblStylePr>
  </w:style>
  <w:style w:type="table" w:customStyle="1" w:styleId="ListTable1Light-Accent53">
    <w:name w:val="List Table 1 Light - Accent 5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4849A" w:themeColor="accent5"/>
          <w:right w:val="none" w:sz="4" w:space="0" w:color="000000"/>
        </w:tcBorders>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E0E7" w:themeColor="accent5" w:themeTint="40" w:fill="D2E0E7" w:themeFill="accent5" w:themeFillTint="40"/>
      </w:tcPr>
    </w:tblStylePr>
    <w:tblStylePr w:type="band1Horz">
      <w:tblPr/>
      <w:tcPr>
        <w:shd w:val="clear" w:color="D2E0E7" w:themeColor="accent5" w:themeTint="40" w:fill="D2E0E7" w:themeFill="accent5" w:themeFillTint="40"/>
      </w:tcPr>
    </w:tblStylePr>
  </w:style>
  <w:style w:type="table" w:customStyle="1" w:styleId="ListTable1Light-Accent63">
    <w:name w:val="List Table 1 Light - Accent 63"/>
    <w:basedOn w:val="a5"/>
    <w:uiPriority w:val="99"/>
    <w:rsid w:val="00250BE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E5E9B" w:themeColor="accent6"/>
          <w:right w:val="none" w:sz="4" w:space="0" w:color="000000"/>
        </w:tcBorders>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6D6E6" w:themeColor="accent6" w:themeTint="40" w:fill="E6D6E6" w:themeFill="accent6" w:themeFillTint="40"/>
      </w:tcPr>
    </w:tblStylePr>
    <w:tblStylePr w:type="band1Horz">
      <w:tblPr/>
      <w:tcPr>
        <w:shd w:val="clear" w:color="E6D6E6" w:themeColor="accent6" w:themeTint="40" w:fill="E6D6E6" w:themeFill="accent6" w:themeFillTint="40"/>
      </w:tcPr>
    </w:tblStylePr>
  </w:style>
  <w:style w:type="table" w:customStyle="1" w:styleId="-2134">
    <w:name w:val="Список-таблица 213"/>
    <w:basedOn w:val="a5"/>
    <w:uiPriority w:val="99"/>
    <w:rsid w:val="00250BEC"/>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3">
    <w:name w:val="List Table 2 - Accent 13"/>
    <w:basedOn w:val="a5"/>
    <w:uiPriority w:val="99"/>
    <w:rsid w:val="00250BEC"/>
    <w:pPr>
      <w:spacing w:after="0" w:line="240" w:lineRule="auto"/>
    </w:pPr>
    <w:tblPr>
      <w:tblStyleRowBandSize w:val="1"/>
      <w:tblStyleColBandSize w:val="1"/>
      <w:tblBorders>
        <w:top w:val="single" w:sz="4" w:space="0" w:color="ED605E" w:themeColor="accent1" w:themeTint="90"/>
        <w:bottom w:val="single" w:sz="4" w:space="0" w:color="ED605E" w:themeColor="accent1" w:themeTint="90"/>
        <w:insideH w:val="single" w:sz="4" w:space="0" w:color="ED605E" w:themeColor="accent1" w:themeTint="90"/>
      </w:tblBorders>
    </w:tblPr>
    <w:tblStylePr w:type="fir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la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2-Accent23">
    <w:name w:val="List Table 2 - Accent 23"/>
    <w:basedOn w:val="a5"/>
    <w:uiPriority w:val="99"/>
    <w:rsid w:val="00250BEC"/>
    <w:pPr>
      <w:spacing w:after="0" w:line="240" w:lineRule="auto"/>
    </w:pPr>
    <w:tblPr>
      <w:tblStyleRowBandSize w:val="1"/>
      <w:tblStyleColBandSize w:val="1"/>
      <w:tblBorders>
        <w:top w:val="single" w:sz="4" w:space="0" w:color="F4A677" w:themeColor="accent2" w:themeTint="90"/>
        <w:bottom w:val="single" w:sz="4" w:space="0" w:color="F4A677" w:themeColor="accent2" w:themeTint="90"/>
        <w:insideH w:val="single" w:sz="4" w:space="0" w:color="F4A677" w:themeColor="accent2" w:themeTint="90"/>
      </w:tblBorders>
    </w:tblPr>
    <w:tblStylePr w:type="fir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la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2-Accent33">
    <w:name w:val="List Table 2 - Accent 33"/>
    <w:basedOn w:val="a5"/>
    <w:uiPriority w:val="99"/>
    <w:rsid w:val="00250BEC"/>
    <w:pPr>
      <w:spacing w:after="0" w:line="240" w:lineRule="auto"/>
    </w:pPr>
    <w:tblPr>
      <w:tblStyleRowBandSize w:val="1"/>
      <w:tblStyleColBandSize w:val="1"/>
      <w:tblBorders>
        <w:top w:val="single" w:sz="4" w:space="0" w:color="F1D686" w:themeColor="accent3" w:themeTint="90"/>
        <w:bottom w:val="single" w:sz="4" w:space="0" w:color="F1D686" w:themeColor="accent3" w:themeTint="90"/>
        <w:insideH w:val="single" w:sz="4" w:space="0" w:color="F1D686" w:themeColor="accent3" w:themeTint="90"/>
      </w:tblBorders>
    </w:tblPr>
    <w:tblStylePr w:type="fir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la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2-Accent43">
    <w:name w:val="List Table 2 - Accent 43"/>
    <w:basedOn w:val="a5"/>
    <w:uiPriority w:val="99"/>
    <w:rsid w:val="00250BEC"/>
    <w:pPr>
      <w:spacing w:after="0" w:line="240" w:lineRule="auto"/>
    </w:pPr>
    <w:tblPr>
      <w:tblStyleRowBandSize w:val="1"/>
      <w:tblStyleColBandSize w:val="1"/>
      <w:tblBorders>
        <w:top w:val="single" w:sz="4" w:space="0" w:color="AAD0C0" w:themeColor="accent4" w:themeTint="90"/>
        <w:bottom w:val="single" w:sz="4" w:space="0" w:color="AAD0C0" w:themeColor="accent4" w:themeTint="90"/>
        <w:insideH w:val="single" w:sz="4" w:space="0" w:color="AAD0C0" w:themeColor="accent4" w:themeTint="90"/>
      </w:tblBorders>
    </w:tblPr>
    <w:tblStylePr w:type="fir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la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2-Accent53">
    <w:name w:val="List Table 2 - Accent 53"/>
    <w:basedOn w:val="a5"/>
    <w:uiPriority w:val="99"/>
    <w:rsid w:val="00250BEC"/>
    <w:pPr>
      <w:spacing w:after="0" w:line="240" w:lineRule="auto"/>
    </w:pPr>
    <w:tblPr>
      <w:tblStyleRowBandSize w:val="1"/>
      <w:tblStyleColBandSize w:val="1"/>
      <w:tblBorders>
        <w:top w:val="single" w:sz="4" w:space="0" w:color="9BBAC8" w:themeColor="accent5" w:themeTint="90"/>
        <w:bottom w:val="single" w:sz="4" w:space="0" w:color="9BBAC8" w:themeColor="accent5" w:themeTint="90"/>
        <w:insideH w:val="single" w:sz="4" w:space="0" w:color="9BBAC8" w:themeColor="accent5" w:themeTint="90"/>
      </w:tblBorders>
    </w:tblPr>
    <w:tblStylePr w:type="fir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la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2-Accent63">
    <w:name w:val="List Table 2 - Accent 63"/>
    <w:basedOn w:val="a5"/>
    <w:uiPriority w:val="99"/>
    <w:rsid w:val="00250BEC"/>
    <w:pPr>
      <w:spacing w:after="0" w:line="240" w:lineRule="auto"/>
    </w:pPr>
    <w:tblPr>
      <w:tblStyleRowBandSize w:val="1"/>
      <w:tblStyleColBandSize w:val="1"/>
      <w:tblBorders>
        <w:top w:val="single" w:sz="4" w:space="0" w:color="C8A3C6" w:themeColor="accent6" w:themeTint="90"/>
        <w:bottom w:val="single" w:sz="4" w:space="0" w:color="C8A3C6" w:themeColor="accent6" w:themeTint="90"/>
        <w:insideH w:val="single" w:sz="4" w:space="0" w:color="C8A3C6" w:themeColor="accent6" w:themeTint="90"/>
      </w:tblBorders>
    </w:tblPr>
    <w:tblStylePr w:type="fir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la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3130">
    <w:name w:val="Список-таблица 313"/>
    <w:basedOn w:val="a5"/>
    <w:uiPriority w:val="99"/>
    <w:rsid w:val="00250BE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3">
    <w:name w:val="List Table 3 - Accent 13"/>
    <w:basedOn w:val="a5"/>
    <w:uiPriority w:val="99"/>
    <w:rsid w:val="00250BEC"/>
    <w:pPr>
      <w:spacing w:after="0" w:line="240" w:lineRule="auto"/>
    </w:pPr>
    <w:tblPr>
      <w:tblStyleRowBandSize w:val="1"/>
      <w:tblStyleColBandSize w:val="1"/>
      <w:tblBorders>
        <w:top w:val="single" w:sz="4" w:space="0" w:color="B01513" w:themeColor="accent1"/>
        <w:left w:val="single" w:sz="4" w:space="0" w:color="B01513" w:themeColor="accent1"/>
        <w:bottom w:val="single" w:sz="4" w:space="0" w:color="B01513" w:themeColor="accent1"/>
        <w:right w:val="single" w:sz="4" w:space="0" w:color="B01513" w:themeColor="accent1"/>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01513" w:themeColor="accent1"/>
          <w:right w:val="single" w:sz="4" w:space="0" w:color="B01513" w:themeColor="accent1"/>
        </w:tcBorders>
      </w:tcPr>
    </w:tblStylePr>
    <w:tblStylePr w:type="band1Horz">
      <w:rPr>
        <w:rFonts w:ascii="Arial" w:hAnsi="Arial"/>
        <w:color w:val="404040"/>
        <w:sz w:val="22"/>
      </w:rPr>
      <w:tblPr/>
      <w:tcPr>
        <w:tcBorders>
          <w:top w:val="single" w:sz="4" w:space="0" w:color="B01513" w:themeColor="accent1"/>
          <w:bottom w:val="single" w:sz="4" w:space="0" w:color="B01513" w:themeColor="accent1"/>
        </w:tcBorders>
      </w:tcPr>
    </w:tblStylePr>
  </w:style>
  <w:style w:type="table" w:customStyle="1" w:styleId="ListTable3-Accent23">
    <w:name w:val="List Table 3 - Accent 23"/>
    <w:basedOn w:val="a5"/>
    <w:uiPriority w:val="99"/>
    <w:rsid w:val="00250BEC"/>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blBorders>
    </w:tblPr>
    <w:tblStylePr w:type="firstRow">
      <w:rPr>
        <w:rFonts w:ascii="Arial" w:hAnsi="Arial"/>
        <w:b/>
        <w:color w:val="FFFFFF"/>
        <w:sz w:val="22"/>
      </w:rPr>
      <w:tblPr/>
      <w:tcPr>
        <w:shd w:val="clear" w:color="F4A170" w:themeColor="accent2" w:themeTint="97" w:fill="F4A17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A170" w:themeColor="accent2" w:themeTint="97"/>
          <w:right w:val="single" w:sz="4" w:space="0" w:color="F4A170" w:themeColor="accent2" w:themeTint="97"/>
        </w:tcBorders>
      </w:tcPr>
    </w:tblStylePr>
    <w:tblStylePr w:type="band1Horz">
      <w:rPr>
        <w:rFonts w:ascii="Arial" w:hAnsi="Arial"/>
        <w:color w:val="404040"/>
        <w:sz w:val="22"/>
      </w:rPr>
      <w:tblPr/>
      <w:tcPr>
        <w:tcBorders>
          <w:top w:val="single" w:sz="4" w:space="0" w:color="F4A170" w:themeColor="accent2" w:themeTint="97"/>
          <w:bottom w:val="single" w:sz="4" w:space="0" w:color="F4A170" w:themeColor="accent2" w:themeTint="97"/>
        </w:tcBorders>
      </w:tcPr>
    </w:tblStylePr>
  </w:style>
  <w:style w:type="table" w:customStyle="1" w:styleId="ListTable3-Accent33">
    <w:name w:val="List Table 3 - Accent 33"/>
    <w:basedOn w:val="a5"/>
    <w:uiPriority w:val="99"/>
    <w:rsid w:val="00250BEC"/>
    <w:pPr>
      <w:spacing w:after="0" w:line="240" w:lineRule="auto"/>
    </w:pPr>
    <w:tblPr>
      <w:tblStyleRowBandSize w:val="1"/>
      <w:tblStyleColBandSize w:val="1"/>
      <w:tblBorders>
        <w:top w:val="single" w:sz="4" w:space="0" w:color="F0D37F" w:themeColor="accent3" w:themeTint="98"/>
        <w:left w:val="single" w:sz="4" w:space="0" w:color="F0D37F" w:themeColor="accent3" w:themeTint="98"/>
        <w:bottom w:val="single" w:sz="4" w:space="0" w:color="F0D37F" w:themeColor="accent3" w:themeTint="98"/>
        <w:right w:val="single" w:sz="4" w:space="0" w:color="F0D37F" w:themeColor="accent3" w:themeTint="98"/>
      </w:tblBorders>
    </w:tblPr>
    <w:tblStylePr w:type="firstRow">
      <w:rPr>
        <w:rFonts w:ascii="Arial" w:hAnsi="Arial"/>
        <w:b/>
        <w:color w:val="FFFFFF"/>
        <w:sz w:val="22"/>
      </w:rPr>
      <w:tblPr/>
      <w:tcPr>
        <w:shd w:val="clear" w:color="F0D37F" w:themeColor="accent3" w:themeTint="98" w:fill="F0D37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0D37F" w:themeColor="accent3" w:themeTint="98"/>
          <w:right w:val="single" w:sz="4" w:space="0" w:color="F0D37F" w:themeColor="accent3" w:themeTint="98"/>
        </w:tcBorders>
      </w:tcPr>
    </w:tblStylePr>
    <w:tblStylePr w:type="band1Horz">
      <w:rPr>
        <w:rFonts w:ascii="Arial" w:hAnsi="Arial"/>
        <w:color w:val="404040"/>
        <w:sz w:val="22"/>
      </w:rPr>
      <w:tblPr/>
      <w:tcPr>
        <w:tcBorders>
          <w:top w:val="single" w:sz="4" w:space="0" w:color="F0D37F" w:themeColor="accent3" w:themeTint="98"/>
          <w:bottom w:val="single" w:sz="4" w:space="0" w:color="F0D37F" w:themeColor="accent3" w:themeTint="98"/>
        </w:tcBorders>
      </w:tcPr>
    </w:tblStylePr>
  </w:style>
  <w:style w:type="table" w:customStyle="1" w:styleId="ListTable3-Accent43">
    <w:name w:val="List Table 3 - Accent 43"/>
    <w:basedOn w:val="a5"/>
    <w:uiPriority w:val="99"/>
    <w:rsid w:val="00250BEC"/>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blBorders>
    </w:tblPr>
    <w:tblStylePr w:type="firstRow">
      <w:rPr>
        <w:rFonts w:ascii="Arial" w:hAnsi="Arial"/>
        <w:b/>
        <w:color w:val="FFFFFF"/>
        <w:sz w:val="22"/>
      </w:rPr>
      <w:tblPr/>
      <w:tcPr>
        <w:shd w:val="clear" w:color="A4CCBB" w:themeColor="accent4" w:themeTint="9A" w:fill="A4CCB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4CCBB" w:themeColor="accent4" w:themeTint="9A"/>
          <w:right w:val="single" w:sz="4" w:space="0" w:color="A4CCBB" w:themeColor="accent4" w:themeTint="9A"/>
        </w:tcBorders>
      </w:tcPr>
    </w:tblStylePr>
    <w:tblStylePr w:type="band1Horz">
      <w:rPr>
        <w:rFonts w:ascii="Arial" w:hAnsi="Arial"/>
        <w:color w:val="404040"/>
        <w:sz w:val="22"/>
      </w:rPr>
      <w:tblPr/>
      <w:tcPr>
        <w:tcBorders>
          <w:top w:val="single" w:sz="4" w:space="0" w:color="A4CCBB" w:themeColor="accent4" w:themeTint="9A"/>
          <w:bottom w:val="single" w:sz="4" w:space="0" w:color="A4CCBB" w:themeColor="accent4" w:themeTint="9A"/>
        </w:tcBorders>
      </w:tcPr>
    </w:tblStylePr>
  </w:style>
  <w:style w:type="table" w:customStyle="1" w:styleId="ListTable3-Accent53">
    <w:name w:val="List Table 3 - Accent 53"/>
    <w:basedOn w:val="a5"/>
    <w:uiPriority w:val="99"/>
    <w:rsid w:val="00250BEC"/>
    <w:pPr>
      <w:spacing w:after="0" w:line="240" w:lineRule="auto"/>
    </w:pPr>
    <w:tblPr>
      <w:tblStyleRowBandSize w:val="1"/>
      <w:tblStyleColBandSize w:val="1"/>
      <w:tblBorders>
        <w:top w:val="single" w:sz="4" w:space="0" w:color="94B5C5" w:themeColor="accent5" w:themeTint="9A"/>
        <w:left w:val="single" w:sz="4" w:space="0" w:color="94B5C5" w:themeColor="accent5" w:themeTint="9A"/>
        <w:bottom w:val="single" w:sz="4" w:space="0" w:color="94B5C5" w:themeColor="accent5" w:themeTint="9A"/>
        <w:right w:val="single" w:sz="4" w:space="0" w:color="94B5C5" w:themeColor="accent5" w:themeTint="9A"/>
      </w:tblBorders>
    </w:tblPr>
    <w:tblStylePr w:type="firstRow">
      <w:rPr>
        <w:rFonts w:ascii="Arial" w:hAnsi="Arial"/>
        <w:b/>
        <w:color w:val="FFFFFF"/>
        <w:sz w:val="22"/>
      </w:rPr>
      <w:tblPr/>
      <w:tcPr>
        <w:shd w:val="clear" w:color="94B5C5" w:themeColor="accent5" w:themeTint="9A" w:fill="94B5C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4B5C5" w:themeColor="accent5" w:themeTint="9A"/>
          <w:right w:val="single" w:sz="4" w:space="0" w:color="94B5C5" w:themeColor="accent5" w:themeTint="9A"/>
        </w:tcBorders>
      </w:tcPr>
    </w:tblStylePr>
    <w:tblStylePr w:type="band1Horz">
      <w:rPr>
        <w:rFonts w:ascii="Arial" w:hAnsi="Arial"/>
        <w:color w:val="404040"/>
        <w:sz w:val="22"/>
      </w:rPr>
      <w:tblPr/>
      <w:tcPr>
        <w:tcBorders>
          <w:top w:val="single" w:sz="4" w:space="0" w:color="94B5C5" w:themeColor="accent5" w:themeTint="9A"/>
          <w:bottom w:val="single" w:sz="4" w:space="0" w:color="94B5C5" w:themeColor="accent5" w:themeTint="9A"/>
        </w:tcBorders>
      </w:tcPr>
    </w:tblStylePr>
  </w:style>
  <w:style w:type="table" w:customStyle="1" w:styleId="ListTable3-Accent63">
    <w:name w:val="List Table 3 - Accent 63"/>
    <w:basedOn w:val="a5"/>
    <w:uiPriority w:val="99"/>
    <w:rsid w:val="00250BEC"/>
    <w:pPr>
      <w:spacing w:after="0" w:line="240" w:lineRule="auto"/>
    </w:pPr>
    <w:tblPr>
      <w:tblStyleRowBandSize w:val="1"/>
      <w:tblStyleColBandSize w:val="1"/>
      <w:tblBorders>
        <w:top w:val="single" w:sz="4" w:space="0" w:color="C59EC3" w:themeColor="accent6" w:themeTint="98"/>
        <w:left w:val="single" w:sz="4" w:space="0" w:color="C59EC3" w:themeColor="accent6" w:themeTint="98"/>
        <w:bottom w:val="single" w:sz="4" w:space="0" w:color="C59EC3" w:themeColor="accent6" w:themeTint="98"/>
        <w:right w:val="single" w:sz="4" w:space="0" w:color="C59EC3" w:themeColor="accent6" w:themeTint="98"/>
      </w:tblBorders>
    </w:tblPr>
    <w:tblStylePr w:type="firstRow">
      <w:rPr>
        <w:rFonts w:ascii="Arial" w:hAnsi="Arial"/>
        <w:b/>
        <w:color w:val="FFFFFF"/>
        <w:sz w:val="22"/>
      </w:rPr>
      <w:tblPr/>
      <w:tcPr>
        <w:shd w:val="clear" w:color="C59EC3" w:themeColor="accent6" w:themeTint="98" w:fill="C59EC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59EC3" w:themeColor="accent6" w:themeTint="98"/>
          <w:right w:val="single" w:sz="4" w:space="0" w:color="C59EC3" w:themeColor="accent6" w:themeTint="98"/>
        </w:tcBorders>
      </w:tcPr>
    </w:tblStylePr>
    <w:tblStylePr w:type="band1Horz">
      <w:rPr>
        <w:rFonts w:ascii="Arial" w:hAnsi="Arial"/>
        <w:color w:val="404040"/>
        <w:sz w:val="22"/>
      </w:rPr>
      <w:tblPr/>
      <w:tcPr>
        <w:tcBorders>
          <w:top w:val="single" w:sz="4" w:space="0" w:color="C59EC3" w:themeColor="accent6" w:themeTint="98"/>
          <w:bottom w:val="single" w:sz="4" w:space="0" w:color="C59EC3" w:themeColor="accent6" w:themeTint="98"/>
        </w:tcBorders>
      </w:tcPr>
    </w:tblStylePr>
  </w:style>
  <w:style w:type="table" w:customStyle="1" w:styleId="-4131">
    <w:name w:val="Список-таблица 413"/>
    <w:basedOn w:val="a5"/>
    <w:uiPriority w:val="99"/>
    <w:rsid w:val="00250BE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3">
    <w:name w:val="List Table 4 - Accent 13"/>
    <w:basedOn w:val="a5"/>
    <w:uiPriority w:val="99"/>
    <w:rsid w:val="00250BEC"/>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4-Accent23">
    <w:name w:val="List Table 4 - Accent 23"/>
    <w:basedOn w:val="a5"/>
    <w:uiPriority w:val="99"/>
    <w:rsid w:val="00250BEC"/>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tblBorders>
    </w:tblPr>
    <w:tblStylePr w:type="firstRow">
      <w:rPr>
        <w:rFonts w:ascii="Arial" w:hAnsi="Arial"/>
        <w:b/>
        <w:color w:val="FFFFFF"/>
        <w:sz w:val="22"/>
      </w:rPr>
      <w:tblPr/>
      <w:tcPr>
        <w:shd w:val="clear" w:color="EA6312" w:themeColor="accent2" w:fill="EA631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4-Accent33">
    <w:name w:val="List Table 4 - Accent 33"/>
    <w:basedOn w:val="a5"/>
    <w:uiPriority w:val="99"/>
    <w:rsid w:val="00250BEC"/>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tblBorders>
    </w:tblPr>
    <w:tblStylePr w:type="firstRow">
      <w:rPr>
        <w:rFonts w:ascii="Arial" w:hAnsi="Arial"/>
        <w:b/>
        <w:color w:val="FFFFFF"/>
        <w:sz w:val="22"/>
      </w:rPr>
      <w:tblPr/>
      <w:tcPr>
        <w:shd w:val="clear" w:color="E6B729" w:themeColor="accent3" w:fill="E6B72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4-Accent43">
    <w:name w:val="List Table 4 - Accent 43"/>
    <w:basedOn w:val="a5"/>
    <w:uiPriority w:val="99"/>
    <w:rsid w:val="00250BEC"/>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tblBorders>
    </w:tblPr>
    <w:tblStylePr w:type="firstRow">
      <w:rPr>
        <w:rFonts w:ascii="Arial" w:hAnsi="Arial"/>
        <w:b/>
        <w:color w:val="FFFFFF"/>
        <w:sz w:val="22"/>
      </w:rPr>
      <w:tblPr/>
      <w:tcPr>
        <w:shd w:val="clear" w:color="6AAC90" w:themeColor="accent4" w:fill="6AAC9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4-Accent53">
    <w:name w:val="List Table 4 - Accent 53"/>
    <w:basedOn w:val="a5"/>
    <w:uiPriority w:val="99"/>
    <w:rsid w:val="00250BEC"/>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tblBorders>
    </w:tblPr>
    <w:tblStylePr w:type="firstRow">
      <w:rPr>
        <w:rFonts w:ascii="Arial" w:hAnsi="Arial"/>
        <w:b/>
        <w:color w:val="FFFFFF"/>
        <w:sz w:val="22"/>
      </w:rPr>
      <w:tblPr/>
      <w:tcPr>
        <w:shd w:val="clear" w:color="54849A" w:themeColor="accent5" w:fill="54849A"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4-Accent63">
    <w:name w:val="List Table 4 - Accent 63"/>
    <w:basedOn w:val="a5"/>
    <w:uiPriority w:val="99"/>
    <w:rsid w:val="00250BEC"/>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tblBorders>
    </w:tblPr>
    <w:tblStylePr w:type="firstRow">
      <w:rPr>
        <w:rFonts w:ascii="Arial" w:hAnsi="Arial"/>
        <w:b/>
        <w:color w:val="FFFFFF"/>
        <w:sz w:val="22"/>
      </w:rPr>
      <w:tblPr/>
      <w:tcPr>
        <w:shd w:val="clear" w:color="9E5E9B" w:themeColor="accent6" w:fill="9E5E9B"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5131">
    <w:name w:val="Список-таблица 5 темная13"/>
    <w:basedOn w:val="a5"/>
    <w:uiPriority w:val="99"/>
    <w:rsid w:val="00250BEC"/>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3">
    <w:name w:val="List Table 5 Dark - Accent 13"/>
    <w:basedOn w:val="a5"/>
    <w:uiPriority w:val="99"/>
    <w:rsid w:val="00250BEC"/>
    <w:pPr>
      <w:spacing w:after="0" w:line="240" w:lineRule="auto"/>
    </w:pPr>
    <w:tblPr>
      <w:tblStyleRowBandSize w:val="1"/>
      <w:tblStyleColBandSize w:val="1"/>
      <w:tblBorders>
        <w:top w:val="single" w:sz="32" w:space="0" w:color="B01513" w:themeColor="accent1"/>
        <w:left w:val="single" w:sz="32" w:space="0" w:color="B01513" w:themeColor="accent1"/>
        <w:bottom w:val="single" w:sz="32" w:space="0" w:color="B01513" w:themeColor="accent1"/>
        <w:right w:val="single" w:sz="32" w:space="0" w:color="B01513" w:themeColor="accent1"/>
      </w:tblBorders>
      <w:shd w:val="clear" w:color="B01513" w:themeColor="accent1" w:fill="B01513" w:themeFill="accent1"/>
    </w:tblPr>
    <w:tblStylePr w:type="firstRow">
      <w:rPr>
        <w:rFonts w:ascii="Arial" w:hAnsi="Arial"/>
        <w:b/>
        <w:color w:val="FFFFFF" w:themeColor="light1"/>
        <w:sz w:val="22"/>
      </w:rPr>
      <w:tblPr/>
      <w:tcPr>
        <w:tcBorders>
          <w:top w:val="single" w:sz="32" w:space="0" w:color="B01513" w:themeColor="accent1"/>
          <w:bottom w:val="single" w:sz="12" w:space="0" w:color="FFFFFF" w:themeColor="light1"/>
        </w:tcBorders>
        <w:shd w:val="clear" w:color="B01513" w:themeColor="accent1" w:fill="B01513"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01513" w:themeColor="accent1"/>
          <w:right w:val="single" w:sz="4" w:space="0" w:color="FFFFFF" w:themeColor="light1"/>
        </w:tcBorders>
      </w:tcPr>
    </w:tblStylePr>
    <w:tblStylePr w:type="lastCol">
      <w:tblPr/>
      <w:tcPr>
        <w:tcBorders>
          <w:left w:val="single" w:sz="4" w:space="0" w:color="FFFFFF" w:themeColor="light1"/>
          <w:right w:val="single" w:sz="32" w:space="0" w:color="B01513" w:themeColor="accent1"/>
        </w:tcBorders>
      </w:tcPr>
    </w:tblStylePr>
    <w:tblStylePr w:type="band1Vert">
      <w:tblPr/>
      <w:tcPr>
        <w:tcBorders>
          <w:left w:val="single" w:sz="4" w:space="0" w:color="FFFFFF" w:themeColor="light1"/>
          <w:right w:val="single" w:sz="4" w:space="0" w:color="FFFFFF" w:themeColor="light1"/>
        </w:tcBorders>
        <w:shd w:val="clear" w:color="B01513" w:themeColor="accent1" w:fill="B01513"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01513" w:themeColor="accent1" w:fill="B01513" w:themeFill="accent1"/>
      </w:tcPr>
    </w:tblStylePr>
    <w:tblStylePr w:type="band2Horz">
      <w:tblPr/>
      <w:tcPr>
        <w:tcBorders>
          <w:top w:val="single" w:sz="4" w:space="0" w:color="FFFFFF" w:themeColor="light1"/>
          <w:bottom w:val="single" w:sz="4" w:space="0" w:color="FFFFFF" w:themeColor="light1"/>
        </w:tcBorders>
        <w:shd w:val="clear" w:color="B01513" w:themeColor="accent1" w:fill="B01513" w:themeFill="accent1"/>
      </w:tcPr>
    </w:tblStylePr>
  </w:style>
  <w:style w:type="table" w:customStyle="1" w:styleId="ListTable5Dark-Accent23">
    <w:name w:val="List Table 5 Dark - Accent 23"/>
    <w:basedOn w:val="a5"/>
    <w:uiPriority w:val="99"/>
    <w:rsid w:val="00250BEC"/>
    <w:pPr>
      <w:spacing w:after="0" w:line="240" w:lineRule="auto"/>
    </w:pPr>
    <w:tblPr>
      <w:tblStyleRowBandSize w:val="1"/>
      <w:tblStyleColBandSize w:val="1"/>
      <w:tblBorders>
        <w:top w:val="single" w:sz="32" w:space="0" w:color="F4A170" w:themeColor="accent2" w:themeTint="97"/>
        <w:left w:val="single" w:sz="32" w:space="0" w:color="F4A170" w:themeColor="accent2" w:themeTint="97"/>
        <w:bottom w:val="single" w:sz="32" w:space="0" w:color="F4A170" w:themeColor="accent2" w:themeTint="97"/>
        <w:right w:val="single" w:sz="32" w:space="0" w:color="F4A170" w:themeColor="accent2" w:themeTint="97"/>
      </w:tblBorders>
      <w:shd w:val="clear" w:color="F4A170" w:themeColor="accent2" w:themeTint="97" w:fill="F4A170" w:themeFill="accent2" w:themeFillTint="97"/>
    </w:tblPr>
    <w:tblStylePr w:type="firstRow">
      <w:rPr>
        <w:rFonts w:ascii="Arial" w:hAnsi="Arial"/>
        <w:b/>
        <w:color w:val="FFFFFF" w:themeColor="light1"/>
        <w:sz w:val="22"/>
      </w:rPr>
      <w:tblPr/>
      <w:tcPr>
        <w:tcBorders>
          <w:top w:val="single" w:sz="32" w:space="0" w:color="F4A170" w:themeColor="accent2" w:themeTint="97"/>
          <w:bottom w:val="single" w:sz="12" w:space="0" w:color="FFFFFF" w:themeColor="light1"/>
        </w:tcBorders>
        <w:shd w:val="clear" w:color="F4A170" w:themeColor="accent2" w:themeTint="97" w:fill="F4A170"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A170" w:themeColor="accent2" w:themeTint="97"/>
          <w:right w:val="single" w:sz="4" w:space="0" w:color="FFFFFF" w:themeColor="light1"/>
        </w:tcBorders>
      </w:tcPr>
    </w:tblStylePr>
    <w:tblStylePr w:type="lastCol">
      <w:tblPr/>
      <w:tcPr>
        <w:tcBorders>
          <w:left w:val="single" w:sz="4" w:space="0" w:color="FFFFFF" w:themeColor="light1"/>
          <w:right w:val="single" w:sz="32" w:space="0" w:color="F4A170" w:themeColor="accent2" w:themeTint="97"/>
        </w:tcBorders>
      </w:tcPr>
    </w:tblStylePr>
    <w:tblStylePr w:type="band1Vert">
      <w:tblPr/>
      <w:tcPr>
        <w:tcBorders>
          <w:left w:val="single" w:sz="4" w:space="0" w:color="FFFFFF" w:themeColor="light1"/>
          <w:right w:val="single" w:sz="4" w:space="0" w:color="FFFFFF" w:themeColor="light1"/>
        </w:tcBorders>
        <w:shd w:val="clear" w:color="F4A170" w:themeColor="accent2" w:themeTint="97" w:fill="F4A17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tblStylePr w:type="band2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style>
  <w:style w:type="table" w:customStyle="1" w:styleId="ListTable5Dark-Accent33">
    <w:name w:val="List Table 5 Dark - Accent 33"/>
    <w:basedOn w:val="a5"/>
    <w:uiPriority w:val="99"/>
    <w:rsid w:val="00250BEC"/>
    <w:pPr>
      <w:spacing w:after="0" w:line="240" w:lineRule="auto"/>
    </w:pPr>
    <w:tblPr>
      <w:tblStyleRowBandSize w:val="1"/>
      <w:tblStyleColBandSize w:val="1"/>
      <w:tblBorders>
        <w:top w:val="single" w:sz="32" w:space="0" w:color="F0D37F" w:themeColor="accent3" w:themeTint="98"/>
        <w:left w:val="single" w:sz="32" w:space="0" w:color="F0D37F" w:themeColor="accent3" w:themeTint="98"/>
        <w:bottom w:val="single" w:sz="32" w:space="0" w:color="F0D37F" w:themeColor="accent3" w:themeTint="98"/>
        <w:right w:val="single" w:sz="32" w:space="0" w:color="F0D37F" w:themeColor="accent3" w:themeTint="98"/>
      </w:tblBorders>
      <w:shd w:val="clear" w:color="F0D37F" w:themeColor="accent3" w:themeTint="98" w:fill="F0D37F" w:themeFill="accent3" w:themeFillTint="98"/>
    </w:tblPr>
    <w:tblStylePr w:type="firstRow">
      <w:rPr>
        <w:rFonts w:ascii="Arial" w:hAnsi="Arial"/>
        <w:b/>
        <w:color w:val="FFFFFF" w:themeColor="light1"/>
        <w:sz w:val="22"/>
      </w:rPr>
      <w:tblPr/>
      <w:tcPr>
        <w:tcBorders>
          <w:top w:val="single" w:sz="32" w:space="0" w:color="F0D37F" w:themeColor="accent3" w:themeTint="98"/>
          <w:bottom w:val="single" w:sz="12" w:space="0" w:color="FFFFFF" w:themeColor="light1"/>
        </w:tcBorders>
        <w:shd w:val="clear" w:color="F0D37F" w:themeColor="accent3" w:themeTint="98" w:fill="F0D37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0D37F" w:themeColor="accent3" w:themeTint="98"/>
          <w:right w:val="single" w:sz="4" w:space="0" w:color="FFFFFF" w:themeColor="light1"/>
        </w:tcBorders>
      </w:tcPr>
    </w:tblStylePr>
    <w:tblStylePr w:type="lastCol">
      <w:tblPr/>
      <w:tcPr>
        <w:tcBorders>
          <w:left w:val="single" w:sz="4" w:space="0" w:color="FFFFFF" w:themeColor="light1"/>
          <w:right w:val="single" w:sz="32" w:space="0" w:color="F0D37F" w:themeColor="accent3" w:themeTint="98"/>
        </w:tcBorders>
      </w:tcPr>
    </w:tblStylePr>
    <w:tblStylePr w:type="band1Vert">
      <w:tblPr/>
      <w:tcPr>
        <w:tcBorders>
          <w:left w:val="single" w:sz="4" w:space="0" w:color="FFFFFF" w:themeColor="light1"/>
          <w:right w:val="single" w:sz="4" w:space="0" w:color="FFFFFF" w:themeColor="light1"/>
        </w:tcBorders>
        <w:shd w:val="clear" w:color="F0D37F" w:themeColor="accent3" w:themeTint="98" w:fill="F0D37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tblStylePr w:type="band2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style>
  <w:style w:type="table" w:customStyle="1" w:styleId="ListTable5Dark-Accent43">
    <w:name w:val="List Table 5 Dark - Accent 43"/>
    <w:basedOn w:val="a5"/>
    <w:uiPriority w:val="99"/>
    <w:rsid w:val="00250BEC"/>
    <w:pPr>
      <w:spacing w:after="0" w:line="240" w:lineRule="auto"/>
    </w:pPr>
    <w:tblPr>
      <w:tblStyleRowBandSize w:val="1"/>
      <w:tblStyleColBandSize w:val="1"/>
      <w:tblBorders>
        <w:top w:val="single" w:sz="32" w:space="0" w:color="A4CCBB" w:themeColor="accent4" w:themeTint="9A"/>
        <w:left w:val="single" w:sz="32" w:space="0" w:color="A4CCBB" w:themeColor="accent4" w:themeTint="9A"/>
        <w:bottom w:val="single" w:sz="32" w:space="0" w:color="A4CCBB" w:themeColor="accent4" w:themeTint="9A"/>
        <w:right w:val="single" w:sz="32" w:space="0" w:color="A4CCBB" w:themeColor="accent4" w:themeTint="9A"/>
      </w:tblBorders>
      <w:shd w:val="clear" w:color="A4CCBB" w:themeColor="accent4" w:themeTint="9A" w:fill="A4CCBB" w:themeFill="accent4" w:themeFillTint="9A"/>
    </w:tblPr>
    <w:tblStylePr w:type="firstRow">
      <w:rPr>
        <w:rFonts w:ascii="Arial" w:hAnsi="Arial"/>
        <w:b/>
        <w:color w:val="FFFFFF" w:themeColor="light1"/>
        <w:sz w:val="22"/>
      </w:rPr>
      <w:tblPr/>
      <w:tcPr>
        <w:tcBorders>
          <w:top w:val="single" w:sz="32" w:space="0" w:color="A4CCBB" w:themeColor="accent4" w:themeTint="9A"/>
          <w:bottom w:val="single" w:sz="12" w:space="0" w:color="FFFFFF" w:themeColor="light1"/>
        </w:tcBorders>
        <w:shd w:val="clear" w:color="A4CCBB" w:themeColor="accent4" w:themeTint="9A" w:fill="A4CCBB"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4CCBB" w:themeColor="accent4" w:themeTint="9A"/>
          <w:right w:val="single" w:sz="4" w:space="0" w:color="FFFFFF" w:themeColor="light1"/>
        </w:tcBorders>
      </w:tcPr>
    </w:tblStylePr>
    <w:tblStylePr w:type="lastCol">
      <w:tblPr/>
      <w:tcPr>
        <w:tcBorders>
          <w:left w:val="single" w:sz="4" w:space="0" w:color="FFFFFF" w:themeColor="light1"/>
          <w:right w:val="single" w:sz="32" w:space="0" w:color="A4CCBB" w:themeColor="accent4" w:themeTint="9A"/>
        </w:tcBorders>
      </w:tcPr>
    </w:tblStylePr>
    <w:tblStylePr w:type="band1Vert">
      <w:tblPr/>
      <w:tcPr>
        <w:tcBorders>
          <w:left w:val="single" w:sz="4" w:space="0" w:color="FFFFFF" w:themeColor="light1"/>
          <w:right w:val="single" w:sz="4" w:space="0" w:color="FFFFFF" w:themeColor="light1"/>
        </w:tcBorders>
        <w:shd w:val="clear" w:color="A4CCBB" w:themeColor="accent4" w:themeTint="9A" w:fill="A4CCBB"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tblStylePr w:type="band2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style>
  <w:style w:type="table" w:customStyle="1" w:styleId="ListTable5Dark-Accent53">
    <w:name w:val="List Table 5 Dark - Accent 53"/>
    <w:basedOn w:val="a5"/>
    <w:uiPriority w:val="99"/>
    <w:rsid w:val="00250BEC"/>
    <w:pPr>
      <w:spacing w:after="0" w:line="240" w:lineRule="auto"/>
    </w:pPr>
    <w:tblPr>
      <w:tblStyleRowBandSize w:val="1"/>
      <w:tblStyleColBandSize w:val="1"/>
      <w:tblBorders>
        <w:top w:val="single" w:sz="32" w:space="0" w:color="94B5C5" w:themeColor="accent5" w:themeTint="9A"/>
        <w:left w:val="single" w:sz="32" w:space="0" w:color="94B5C5" w:themeColor="accent5" w:themeTint="9A"/>
        <w:bottom w:val="single" w:sz="32" w:space="0" w:color="94B5C5" w:themeColor="accent5" w:themeTint="9A"/>
        <w:right w:val="single" w:sz="32" w:space="0" w:color="94B5C5" w:themeColor="accent5" w:themeTint="9A"/>
      </w:tblBorders>
      <w:shd w:val="clear" w:color="94B5C5" w:themeColor="accent5" w:themeTint="9A" w:fill="94B5C5" w:themeFill="accent5" w:themeFillTint="9A"/>
    </w:tblPr>
    <w:tblStylePr w:type="firstRow">
      <w:rPr>
        <w:rFonts w:ascii="Arial" w:hAnsi="Arial"/>
        <w:b/>
        <w:color w:val="FFFFFF" w:themeColor="light1"/>
        <w:sz w:val="22"/>
      </w:rPr>
      <w:tblPr/>
      <w:tcPr>
        <w:tcBorders>
          <w:top w:val="single" w:sz="32" w:space="0" w:color="94B5C5" w:themeColor="accent5" w:themeTint="9A"/>
          <w:bottom w:val="single" w:sz="12" w:space="0" w:color="FFFFFF" w:themeColor="light1"/>
        </w:tcBorders>
        <w:shd w:val="clear" w:color="94B5C5" w:themeColor="accent5" w:themeTint="9A" w:fill="94B5C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4B5C5" w:themeColor="accent5" w:themeTint="9A"/>
          <w:right w:val="single" w:sz="4" w:space="0" w:color="FFFFFF" w:themeColor="light1"/>
        </w:tcBorders>
      </w:tcPr>
    </w:tblStylePr>
    <w:tblStylePr w:type="lastCol">
      <w:tblPr/>
      <w:tcPr>
        <w:tcBorders>
          <w:left w:val="single" w:sz="4" w:space="0" w:color="FFFFFF" w:themeColor="light1"/>
          <w:right w:val="single" w:sz="32" w:space="0" w:color="94B5C5" w:themeColor="accent5" w:themeTint="9A"/>
        </w:tcBorders>
      </w:tcPr>
    </w:tblStylePr>
    <w:tblStylePr w:type="band1Vert">
      <w:tblPr/>
      <w:tcPr>
        <w:tcBorders>
          <w:left w:val="single" w:sz="4" w:space="0" w:color="FFFFFF" w:themeColor="light1"/>
          <w:right w:val="single" w:sz="4" w:space="0" w:color="FFFFFF" w:themeColor="light1"/>
        </w:tcBorders>
        <w:shd w:val="clear" w:color="94B5C5" w:themeColor="accent5" w:themeTint="9A" w:fill="94B5C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tblStylePr w:type="band2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style>
  <w:style w:type="table" w:customStyle="1" w:styleId="ListTable5Dark-Accent63">
    <w:name w:val="List Table 5 Dark - Accent 63"/>
    <w:basedOn w:val="a5"/>
    <w:uiPriority w:val="99"/>
    <w:rsid w:val="00250BEC"/>
    <w:pPr>
      <w:spacing w:after="0" w:line="240" w:lineRule="auto"/>
    </w:pPr>
    <w:tblPr>
      <w:tblStyleRowBandSize w:val="1"/>
      <w:tblStyleColBandSize w:val="1"/>
      <w:tblBorders>
        <w:top w:val="single" w:sz="32" w:space="0" w:color="C59EC3" w:themeColor="accent6" w:themeTint="98"/>
        <w:left w:val="single" w:sz="32" w:space="0" w:color="C59EC3" w:themeColor="accent6" w:themeTint="98"/>
        <w:bottom w:val="single" w:sz="32" w:space="0" w:color="C59EC3" w:themeColor="accent6" w:themeTint="98"/>
        <w:right w:val="single" w:sz="32" w:space="0" w:color="C59EC3" w:themeColor="accent6" w:themeTint="98"/>
      </w:tblBorders>
      <w:shd w:val="clear" w:color="C59EC3" w:themeColor="accent6" w:themeTint="98" w:fill="C59EC3" w:themeFill="accent6" w:themeFillTint="98"/>
    </w:tblPr>
    <w:tblStylePr w:type="firstRow">
      <w:rPr>
        <w:rFonts w:ascii="Arial" w:hAnsi="Arial"/>
        <w:b/>
        <w:color w:val="FFFFFF" w:themeColor="light1"/>
        <w:sz w:val="22"/>
      </w:rPr>
      <w:tblPr/>
      <w:tcPr>
        <w:tcBorders>
          <w:top w:val="single" w:sz="32" w:space="0" w:color="C59EC3" w:themeColor="accent6" w:themeTint="98"/>
          <w:bottom w:val="single" w:sz="12" w:space="0" w:color="FFFFFF" w:themeColor="light1"/>
        </w:tcBorders>
        <w:shd w:val="clear" w:color="C59EC3" w:themeColor="accent6" w:themeTint="98" w:fill="C59EC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59EC3" w:themeColor="accent6" w:themeTint="98"/>
          <w:right w:val="single" w:sz="4" w:space="0" w:color="FFFFFF" w:themeColor="light1"/>
        </w:tcBorders>
      </w:tcPr>
    </w:tblStylePr>
    <w:tblStylePr w:type="lastCol">
      <w:tblPr/>
      <w:tcPr>
        <w:tcBorders>
          <w:left w:val="single" w:sz="4" w:space="0" w:color="FFFFFF" w:themeColor="light1"/>
          <w:right w:val="single" w:sz="32" w:space="0" w:color="C59EC3" w:themeColor="accent6" w:themeTint="98"/>
        </w:tcBorders>
      </w:tcPr>
    </w:tblStylePr>
    <w:tblStylePr w:type="band1Vert">
      <w:tblPr/>
      <w:tcPr>
        <w:tcBorders>
          <w:left w:val="single" w:sz="4" w:space="0" w:color="FFFFFF" w:themeColor="light1"/>
          <w:right w:val="single" w:sz="4" w:space="0" w:color="FFFFFF" w:themeColor="light1"/>
        </w:tcBorders>
        <w:shd w:val="clear" w:color="C59EC3" w:themeColor="accent6" w:themeTint="98" w:fill="C59EC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tblStylePr w:type="band2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style>
  <w:style w:type="table" w:customStyle="1" w:styleId="-6131">
    <w:name w:val="Список-таблица 6 цветная13"/>
    <w:basedOn w:val="a5"/>
    <w:uiPriority w:val="99"/>
    <w:rsid w:val="00250BE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3">
    <w:name w:val="List Table 6 Colorful - Accent 13"/>
    <w:basedOn w:val="a5"/>
    <w:uiPriority w:val="99"/>
    <w:rsid w:val="00250BEC"/>
    <w:pPr>
      <w:spacing w:after="0" w:line="240" w:lineRule="auto"/>
    </w:pPr>
    <w:tblPr>
      <w:tblStyleRowBandSize w:val="1"/>
      <w:tblStyleColBandSize w:val="1"/>
      <w:tblBorders>
        <w:top w:val="single" w:sz="4" w:space="0" w:color="B01513" w:themeColor="accent1"/>
        <w:bottom w:val="single" w:sz="4" w:space="0" w:color="B01513" w:themeColor="accent1"/>
      </w:tblBorders>
    </w:tblPr>
    <w:tblStylePr w:type="firstRow">
      <w:rPr>
        <w:b/>
        <w:color w:val="660C0B" w:themeColor="accent1" w:themeShade="95"/>
      </w:rPr>
      <w:tblPr/>
      <w:tcPr>
        <w:tcBorders>
          <w:bottom w:val="single" w:sz="4" w:space="0" w:color="B01513" w:themeColor="accent1"/>
        </w:tcBorders>
      </w:tcPr>
    </w:tblStylePr>
    <w:tblStylePr w:type="lastRow">
      <w:rPr>
        <w:b/>
        <w:color w:val="660C0B" w:themeColor="accent1" w:themeShade="95"/>
      </w:rPr>
      <w:tblPr/>
      <w:tcPr>
        <w:tcBorders>
          <w:top w:val="single" w:sz="4" w:space="0" w:color="B01513" w:themeColor="accent1"/>
        </w:tcBorders>
      </w:tcPr>
    </w:tblStylePr>
    <w:tblStylePr w:type="firstCol">
      <w:rPr>
        <w:b/>
        <w:color w:val="660C0B" w:themeColor="accent1" w:themeShade="95"/>
      </w:rPr>
    </w:tblStylePr>
    <w:tblStylePr w:type="lastCol">
      <w:rPr>
        <w:b/>
        <w:color w:val="660C0B" w:themeColor="accent1" w:themeShade="95"/>
      </w:r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6Colorful-Accent23">
    <w:name w:val="List Table 6 Colorful - Accent 23"/>
    <w:basedOn w:val="a5"/>
    <w:uiPriority w:val="99"/>
    <w:rsid w:val="00250BEC"/>
    <w:pPr>
      <w:spacing w:after="0" w:line="240" w:lineRule="auto"/>
    </w:pPr>
    <w:tblPr>
      <w:tblStyleRowBandSize w:val="1"/>
      <w:tblStyleColBandSize w:val="1"/>
      <w:tblBorders>
        <w:top w:val="single" w:sz="4" w:space="0" w:color="F4A170" w:themeColor="accent2" w:themeTint="97"/>
        <w:bottom w:val="single" w:sz="4" w:space="0" w:color="F4A170" w:themeColor="accent2" w:themeTint="97"/>
      </w:tblBorders>
    </w:tblPr>
    <w:tblStylePr w:type="firstRow">
      <w:rPr>
        <w:b/>
        <w:color w:val="F4A170" w:themeColor="accent2" w:themeTint="97" w:themeShade="95"/>
      </w:rPr>
      <w:tblPr/>
      <w:tcPr>
        <w:tcBorders>
          <w:bottom w:val="single" w:sz="4" w:space="0" w:color="F4A170" w:themeColor="accent2" w:themeTint="97"/>
        </w:tcBorders>
      </w:tcPr>
    </w:tblStylePr>
    <w:tblStylePr w:type="lastRow">
      <w:rPr>
        <w:b/>
        <w:color w:val="F4A170" w:themeColor="accent2" w:themeTint="97" w:themeShade="95"/>
      </w:rPr>
      <w:tblPr/>
      <w:tcPr>
        <w:tcBorders>
          <w:top w:val="single" w:sz="4" w:space="0" w:color="F4A170" w:themeColor="accent2" w:themeTint="97"/>
        </w:tcBorders>
      </w:tc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6Colorful-Accent33">
    <w:name w:val="List Table 6 Colorful - Accent 33"/>
    <w:basedOn w:val="a5"/>
    <w:uiPriority w:val="99"/>
    <w:rsid w:val="00250BEC"/>
    <w:pPr>
      <w:spacing w:after="0" w:line="240" w:lineRule="auto"/>
    </w:pPr>
    <w:tblPr>
      <w:tblStyleRowBandSize w:val="1"/>
      <w:tblStyleColBandSize w:val="1"/>
      <w:tblBorders>
        <w:top w:val="single" w:sz="4" w:space="0" w:color="F0D37F" w:themeColor="accent3" w:themeTint="98"/>
        <w:bottom w:val="single" w:sz="4" w:space="0" w:color="F0D37F" w:themeColor="accent3" w:themeTint="98"/>
      </w:tblBorders>
    </w:tblPr>
    <w:tblStylePr w:type="firstRow">
      <w:rPr>
        <w:b/>
        <w:color w:val="F0D37F" w:themeColor="accent3" w:themeTint="98" w:themeShade="95"/>
      </w:rPr>
      <w:tblPr/>
      <w:tcPr>
        <w:tcBorders>
          <w:bottom w:val="single" w:sz="4" w:space="0" w:color="F0D37F" w:themeColor="accent3" w:themeTint="98"/>
        </w:tcBorders>
      </w:tcPr>
    </w:tblStylePr>
    <w:tblStylePr w:type="lastRow">
      <w:rPr>
        <w:b/>
        <w:color w:val="F0D37F" w:themeColor="accent3" w:themeTint="98" w:themeShade="95"/>
      </w:rPr>
      <w:tblPr/>
      <w:tcPr>
        <w:tcBorders>
          <w:top w:val="single" w:sz="4" w:space="0" w:color="F0D37F" w:themeColor="accent3" w:themeTint="98"/>
        </w:tcBorders>
      </w:tcPr>
    </w:tblStylePr>
    <w:tblStylePr w:type="firstCol">
      <w:rPr>
        <w:b/>
        <w:color w:val="F0D37F" w:themeColor="accent3" w:themeTint="98" w:themeShade="95"/>
      </w:rPr>
    </w:tblStylePr>
    <w:tblStylePr w:type="lastCol">
      <w:rPr>
        <w:b/>
        <w:color w:val="F0D37F" w:themeColor="accent3" w:themeTint="98" w:themeShade="95"/>
      </w:r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6Colorful-Accent43">
    <w:name w:val="List Table 6 Colorful - Accent 43"/>
    <w:basedOn w:val="a5"/>
    <w:uiPriority w:val="99"/>
    <w:rsid w:val="00250BEC"/>
    <w:pPr>
      <w:spacing w:after="0" w:line="240" w:lineRule="auto"/>
    </w:pPr>
    <w:tblPr>
      <w:tblStyleRowBandSize w:val="1"/>
      <w:tblStyleColBandSize w:val="1"/>
      <w:tblBorders>
        <w:top w:val="single" w:sz="4" w:space="0" w:color="A4CCBB" w:themeColor="accent4" w:themeTint="9A"/>
        <w:bottom w:val="single" w:sz="4" w:space="0" w:color="A4CCBB" w:themeColor="accent4" w:themeTint="9A"/>
      </w:tblBorders>
    </w:tblPr>
    <w:tblStylePr w:type="firstRow">
      <w:rPr>
        <w:b/>
        <w:color w:val="A4CCBB" w:themeColor="accent4" w:themeTint="9A" w:themeShade="95"/>
      </w:rPr>
      <w:tblPr/>
      <w:tcPr>
        <w:tcBorders>
          <w:bottom w:val="single" w:sz="4" w:space="0" w:color="A4CCBB" w:themeColor="accent4" w:themeTint="9A"/>
        </w:tcBorders>
      </w:tcPr>
    </w:tblStylePr>
    <w:tblStylePr w:type="lastRow">
      <w:rPr>
        <w:b/>
        <w:color w:val="A4CCBB" w:themeColor="accent4" w:themeTint="9A" w:themeShade="95"/>
      </w:rPr>
      <w:tblPr/>
      <w:tcPr>
        <w:tcBorders>
          <w:top w:val="single" w:sz="4" w:space="0" w:color="A4CCBB" w:themeColor="accent4" w:themeTint="9A"/>
        </w:tcBorders>
      </w:tc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6Colorful-Accent53">
    <w:name w:val="List Table 6 Colorful - Accent 53"/>
    <w:basedOn w:val="a5"/>
    <w:uiPriority w:val="99"/>
    <w:rsid w:val="00250BEC"/>
    <w:pPr>
      <w:spacing w:after="0" w:line="240" w:lineRule="auto"/>
    </w:pPr>
    <w:tblPr>
      <w:tblStyleRowBandSize w:val="1"/>
      <w:tblStyleColBandSize w:val="1"/>
      <w:tblBorders>
        <w:top w:val="single" w:sz="4" w:space="0" w:color="94B5C5" w:themeColor="accent5" w:themeTint="9A"/>
        <w:bottom w:val="single" w:sz="4" w:space="0" w:color="94B5C5" w:themeColor="accent5" w:themeTint="9A"/>
      </w:tblBorders>
    </w:tblPr>
    <w:tblStylePr w:type="firstRow">
      <w:rPr>
        <w:b/>
        <w:color w:val="94B5C5" w:themeColor="accent5" w:themeTint="9A" w:themeShade="95"/>
      </w:rPr>
      <w:tblPr/>
      <w:tcPr>
        <w:tcBorders>
          <w:bottom w:val="single" w:sz="4" w:space="0" w:color="94B5C5" w:themeColor="accent5" w:themeTint="9A"/>
        </w:tcBorders>
      </w:tcPr>
    </w:tblStylePr>
    <w:tblStylePr w:type="lastRow">
      <w:rPr>
        <w:b/>
        <w:color w:val="94B5C5" w:themeColor="accent5" w:themeTint="9A" w:themeShade="95"/>
      </w:rPr>
      <w:tblPr/>
      <w:tcPr>
        <w:tcBorders>
          <w:top w:val="single" w:sz="4" w:space="0" w:color="94B5C5" w:themeColor="accent5" w:themeTint="9A"/>
        </w:tcBorders>
      </w:tcPr>
    </w:tblStylePr>
    <w:tblStylePr w:type="firstCol">
      <w:rPr>
        <w:b/>
        <w:color w:val="94B5C5" w:themeColor="accent5" w:themeTint="9A" w:themeShade="95"/>
      </w:rPr>
    </w:tblStylePr>
    <w:tblStylePr w:type="lastCol">
      <w:rPr>
        <w:b/>
        <w:color w:val="94B5C5" w:themeColor="accent5" w:themeTint="9A" w:themeShade="95"/>
      </w:r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6Colorful-Accent63">
    <w:name w:val="List Table 6 Colorful - Accent 63"/>
    <w:basedOn w:val="a5"/>
    <w:uiPriority w:val="99"/>
    <w:rsid w:val="00250BEC"/>
    <w:pPr>
      <w:spacing w:after="0" w:line="240" w:lineRule="auto"/>
    </w:pPr>
    <w:tblPr>
      <w:tblStyleRowBandSize w:val="1"/>
      <w:tblStyleColBandSize w:val="1"/>
      <w:tblBorders>
        <w:top w:val="single" w:sz="4" w:space="0" w:color="C59EC3" w:themeColor="accent6" w:themeTint="98"/>
        <w:bottom w:val="single" w:sz="4" w:space="0" w:color="C59EC3" w:themeColor="accent6" w:themeTint="98"/>
      </w:tblBorders>
    </w:tblPr>
    <w:tblStylePr w:type="firstRow">
      <w:rPr>
        <w:b/>
        <w:color w:val="C59EC3" w:themeColor="accent6" w:themeTint="98" w:themeShade="95"/>
      </w:rPr>
      <w:tblPr/>
      <w:tcPr>
        <w:tcBorders>
          <w:bottom w:val="single" w:sz="4" w:space="0" w:color="C59EC3" w:themeColor="accent6" w:themeTint="98"/>
        </w:tcBorders>
      </w:tcPr>
    </w:tblStylePr>
    <w:tblStylePr w:type="lastRow">
      <w:rPr>
        <w:b/>
        <w:color w:val="C59EC3" w:themeColor="accent6" w:themeTint="98" w:themeShade="95"/>
      </w:rPr>
      <w:tblPr/>
      <w:tcPr>
        <w:tcBorders>
          <w:top w:val="single" w:sz="4" w:space="0" w:color="C59EC3" w:themeColor="accent6" w:themeTint="98"/>
        </w:tcBorders>
      </w:tcPr>
    </w:tblStylePr>
    <w:tblStylePr w:type="firstCol">
      <w:rPr>
        <w:b/>
        <w:color w:val="C59EC3" w:themeColor="accent6" w:themeTint="98" w:themeShade="95"/>
      </w:rPr>
    </w:tblStylePr>
    <w:tblStylePr w:type="lastCol">
      <w:rPr>
        <w:b/>
        <w:color w:val="C59EC3" w:themeColor="accent6" w:themeTint="98" w:themeShade="95"/>
      </w:r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7130">
    <w:name w:val="Список-таблица 7 цветная13"/>
    <w:basedOn w:val="a5"/>
    <w:uiPriority w:val="99"/>
    <w:rsid w:val="00250BEC"/>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3">
    <w:name w:val="List Table 7 Colorful - Accent 13"/>
    <w:basedOn w:val="a5"/>
    <w:uiPriority w:val="99"/>
    <w:rsid w:val="00250BEC"/>
    <w:pPr>
      <w:spacing w:after="0" w:line="240" w:lineRule="auto"/>
    </w:pPr>
    <w:tblPr>
      <w:tblStyleRowBandSize w:val="1"/>
      <w:tblStyleColBandSize w:val="1"/>
      <w:tblBorders>
        <w:right w:val="single" w:sz="4" w:space="0" w:color="B01513" w:themeColor="accent1"/>
      </w:tblBorders>
    </w:tblPr>
    <w:tblStylePr w:type="firstRow">
      <w:rPr>
        <w:rFonts w:ascii="Arial" w:hAnsi="Arial"/>
        <w:i/>
        <w:color w:val="660C0B" w:themeColor="accent1" w:themeShade="95"/>
        <w:sz w:val="22"/>
      </w:rPr>
      <w:tblPr/>
      <w:tcPr>
        <w:tcBorders>
          <w:top w:val="none" w:sz="4" w:space="0" w:color="000000"/>
          <w:left w:val="none" w:sz="4" w:space="0" w:color="000000"/>
          <w:bottom w:val="single" w:sz="4" w:space="0" w:color="B01513" w:themeColor="accent1"/>
          <w:right w:val="none" w:sz="4" w:space="0" w:color="000000"/>
        </w:tcBorders>
        <w:shd w:val="clear" w:color="FFFFFF" w:themeColor="light1" w:fill="FFFFFF" w:themeFill="light1"/>
      </w:tcPr>
    </w:tblStylePr>
    <w:tblStylePr w:type="lastRow">
      <w:rPr>
        <w:rFonts w:ascii="Arial" w:hAnsi="Arial"/>
        <w:i/>
        <w:color w:val="660C0B" w:themeColor="accent1" w:themeShade="95"/>
        <w:sz w:val="22"/>
      </w:rPr>
      <w:tblPr/>
      <w:tcPr>
        <w:tcBorders>
          <w:top w:val="single" w:sz="4" w:space="0" w:color="B01513"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60C0B" w:themeColor="accent1" w:themeShade="95"/>
        <w:sz w:val="22"/>
      </w:rPr>
      <w:tblPr/>
      <w:tcPr>
        <w:tcBorders>
          <w:top w:val="none" w:sz="4" w:space="0" w:color="000000"/>
          <w:left w:val="none" w:sz="4" w:space="0" w:color="000000"/>
          <w:bottom w:val="none" w:sz="4" w:space="0" w:color="000000"/>
          <w:right w:val="single" w:sz="4" w:space="0" w:color="B01513" w:themeColor="accent1"/>
        </w:tcBorders>
        <w:shd w:val="clear" w:color="FFFFFF" w:fill="auto"/>
      </w:tcPr>
    </w:tblStylePr>
    <w:tblStylePr w:type="lastCol">
      <w:rPr>
        <w:rFonts w:ascii="Arial" w:hAnsi="Arial"/>
        <w:i/>
        <w:color w:val="660C0B" w:themeColor="accent1" w:themeShade="95"/>
        <w:sz w:val="22"/>
      </w:rPr>
      <w:tblPr/>
      <w:tcPr>
        <w:tcBorders>
          <w:top w:val="none" w:sz="4" w:space="0" w:color="000000"/>
          <w:left w:val="single" w:sz="4" w:space="0" w:color="B01513" w:themeColor="accent1"/>
          <w:bottom w:val="none" w:sz="4" w:space="0" w:color="000000"/>
          <w:right w:val="none" w:sz="4" w:space="0" w:color="000000"/>
        </w:tcBorders>
        <w:shd w:val="clear" w:color="FFFFFF" w:fill="auto"/>
      </w:tc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7Colorful-Accent23">
    <w:name w:val="List Table 7 Colorful - Accent 23"/>
    <w:basedOn w:val="a5"/>
    <w:uiPriority w:val="99"/>
    <w:rsid w:val="00250BEC"/>
    <w:pPr>
      <w:spacing w:after="0" w:line="240" w:lineRule="auto"/>
    </w:pPr>
    <w:tblPr>
      <w:tblStyleRowBandSize w:val="1"/>
      <w:tblStyleColBandSize w:val="1"/>
      <w:tblBorders>
        <w:right w:val="single" w:sz="4" w:space="0" w:color="F4A170" w:themeColor="accent2" w:themeTint="97"/>
      </w:tblBorders>
    </w:tblPr>
    <w:tblStylePr w:type="firstRow">
      <w:rPr>
        <w:rFonts w:ascii="Arial" w:hAnsi="Arial"/>
        <w:i/>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i/>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7Colorful-Accent33">
    <w:name w:val="List Table 7 Colorful - Accent 33"/>
    <w:basedOn w:val="a5"/>
    <w:uiPriority w:val="99"/>
    <w:rsid w:val="00250BEC"/>
    <w:pPr>
      <w:spacing w:after="0" w:line="240" w:lineRule="auto"/>
    </w:pPr>
    <w:tblPr>
      <w:tblStyleRowBandSize w:val="1"/>
      <w:tblStyleColBandSize w:val="1"/>
      <w:tblBorders>
        <w:right w:val="single" w:sz="4" w:space="0" w:color="F0D37F" w:themeColor="accent3" w:themeTint="98"/>
      </w:tblBorders>
    </w:tblPr>
    <w:tblStylePr w:type="firstRow">
      <w:rPr>
        <w:rFonts w:ascii="Arial" w:hAnsi="Arial"/>
        <w:i/>
        <w:color w:val="F0D37F" w:themeColor="accent3" w:themeTint="98" w:themeShade="95"/>
        <w:sz w:val="22"/>
      </w:rPr>
      <w:tblPr/>
      <w:tcPr>
        <w:tcBorders>
          <w:top w:val="none" w:sz="4" w:space="0" w:color="000000"/>
          <w:left w:val="none" w:sz="4" w:space="0" w:color="000000"/>
          <w:bottom w:val="single" w:sz="4" w:space="0" w:color="F0D37F" w:themeColor="accent3" w:themeTint="98"/>
          <w:right w:val="none" w:sz="4" w:space="0" w:color="000000"/>
        </w:tcBorders>
        <w:shd w:val="clear" w:color="FFFFFF" w:themeColor="light1" w:fill="FFFFFF" w:themeFill="light1"/>
      </w:tcPr>
    </w:tblStylePr>
    <w:tblStylePr w:type="lastRow">
      <w:rPr>
        <w:rFonts w:ascii="Arial" w:hAnsi="Arial"/>
        <w:i/>
        <w:color w:val="F0D37F" w:themeColor="accent3" w:themeTint="98" w:themeShade="95"/>
        <w:sz w:val="22"/>
      </w:rPr>
      <w:tblPr/>
      <w:tcPr>
        <w:tcBorders>
          <w:top w:val="single" w:sz="4" w:space="0" w:color="F0D37F"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0D37F" w:themeColor="accent3" w:themeTint="98" w:themeShade="95"/>
        <w:sz w:val="22"/>
      </w:rPr>
      <w:tblPr/>
      <w:tcPr>
        <w:tcBorders>
          <w:top w:val="none" w:sz="4" w:space="0" w:color="000000"/>
          <w:left w:val="none" w:sz="4" w:space="0" w:color="000000"/>
          <w:bottom w:val="none" w:sz="4" w:space="0" w:color="000000"/>
          <w:right w:val="single" w:sz="4" w:space="0" w:color="F0D37F" w:themeColor="accent3" w:themeTint="98"/>
        </w:tcBorders>
        <w:shd w:val="clear" w:color="FFFFFF" w:fill="auto"/>
      </w:tcPr>
    </w:tblStylePr>
    <w:tblStylePr w:type="lastCol">
      <w:rPr>
        <w:rFonts w:ascii="Arial" w:hAnsi="Arial"/>
        <w:i/>
        <w:color w:val="F0D37F" w:themeColor="accent3" w:themeTint="98" w:themeShade="95"/>
        <w:sz w:val="22"/>
      </w:rPr>
      <w:tblPr/>
      <w:tcPr>
        <w:tcBorders>
          <w:top w:val="none" w:sz="4" w:space="0" w:color="000000"/>
          <w:left w:val="single" w:sz="4" w:space="0" w:color="F0D37F" w:themeColor="accent3" w:themeTint="98"/>
          <w:bottom w:val="none" w:sz="4" w:space="0" w:color="000000"/>
          <w:right w:val="none" w:sz="4" w:space="0" w:color="000000"/>
        </w:tcBorders>
        <w:shd w:val="clear" w:color="FFFFFF" w:fill="auto"/>
      </w:tc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7Colorful-Accent43">
    <w:name w:val="List Table 7 Colorful - Accent 43"/>
    <w:basedOn w:val="a5"/>
    <w:uiPriority w:val="99"/>
    <w:rsid w:val="00250BEC"/>
    <w:pPr>
      <w:spacing w:after="0" w:line="240" w:lineRule="auto"/>
    </w:pPr>
    <w:tblPr>
      <w:tblStyleRowBandSize w:val="1"/>
      <w:tblStyleColBandSize w:val="1"/>
      <w:tblBorders>
        <w:right w:val="single" w:sz="4" w:space="0" w:color="A4CCBB" w:themeColor="accent4" w:themeTint="9A"/>
      </w:tblBorders>
    </w:tblPr>
    <w:tblStylePr w:type="firstRow">
      <w:rPr>
        <w:rFonts w:ascii="Arial" w:hAnsi="Arial"/>
        <w:i/>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i/>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7Colorful-Accent53">
    <w:name w:val="List Table 7 Colorful - Accent 53"/>
    <w:basedOn w:val="a5"/>
    <w:uiPriority w:val="99"/>
    <w:rsid w:val="00250BEC"/>
    <w:pPr>
      <w:spacing w:after="0" w:line="240" w:lineRule="auto"/>
    </w:pPr>
    <w:tblPr>
      <w:tblStyleRowBandSize w:val="1"/>
      <w:tblStyleColBandSize w:val="1"/>
      <w:tblBorders>
        <w:right w:val="single" w:sz="4" w:space="0" w:color="94B5C5" w:themeColor="accent5" w:themeTint="9A"/>
      </w:tblBorders>
    </w:tblPr>
    <w:tblStylePr w:type="firstRow">
      <w:rPr>
        <w:rFonts w:ascii="Arial" w:hAnsi="Arial"/>
        <w:i/>
        <w:color w:val="94B5C5" w:themeColor="accent5" w:themeTint="9A" w:themeShade="95"/>
        <w:sz w:val="22"/>
      </w:rPr>
      <w:tblPr/>
      <w:tcPr>
        <w:tcBorders>
          <w:top w:val="none" w:sz="4" w:space="0" w:color="000000"/>
          <w:left w:val="none" w:sz="4" w:space="0" w:color="000000"/>
          <w:bottom w:val="single" w:sz="4" w:space="0" w:color="94B5C5" w:themeColor="accent5" w:themeTint="9A"/>
          <w:right w:val="none" w:sz="4" w:space="0" w:color="000000"/>
        </w:tcBorders>
        <w:shd w:val="clear" w:color="FFFFFF" w:themeColor="light1" w:fill="FFFFFF" w:themeFill="light1"/>
      </w:tcPr>
    </w:tblStylePr>
    <w:tblStylePr w:type="lastRow">
      <w:rPr>
        <w:rFonts w:ascii="Arial" w:hAnsi="Arial"/>
        <w:i/>
        <w:color w:val="94B5C5" w:themeColor="accent5" w:themeTint="9A" w:themeShade="95"/>
        <w:sz w:val="22"/>
      </w:rPr>
      <w:tblPr/>
      <w:tcPr>
        <w:tcBorders>
          <w:top w:val="single" w:sz="4" w:space="0" w:color="94B5C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4B5C5" w:themeColor="accent5" w:themeTint="9A" w:themeShade="95"/>
        <w:sz w:val="22"/>
      </w:rPr>
      <w:tblPr/>
      <w:tcPr>
        <w:tcBorders>
          <w:top w:val="none" w:sz="4" w:space="0" w:color="000000"/>
          <w:left w:val="none" w:sz="4" w:space="0" w:color="000000"/>
          <w:bottom w:val="none" w:sz="4" w:space="0" w:color="000000"/>
          <w:right w:val="single" w:sz="4" w:space="0" w:color="94B5C5" w:themeColor="accent5" w:themeTint="9A"/>
        </w:tcBorders>
        <w:shd w:val="clear" w:color="FFFFFF" w:fill="auto"/>
      </w:tcPr>
    </w:tblStylePr>
    <w:tblStylePr w:type="lastCol">
      <w:rPr>
        <w:rFonts w:ascii="Arial" w:hAnsi="Arial"/>
        <w:i/>
        <w:color w:val="94B5C5" w:themeColor="accent5" w:themeTint="9A" w:themeShade="95"/>
        <w:sz w:val="22"/>
      </w:rPr>
      <w:tblPr/>
      <w:tcPr>
        <w:tcBorders>
          <w:top w:val="none" w:sz="4" w:space="0" w:color="000000"/>
          <w:left w:val="single" w:sz="4" w:space="0" w:color="94B5C5" w:themeColor="accent5" w:themeTint="9A"/>
          <w:bottom w:val="none" w:sz="4" w:space="0" w:color="000000"/>
          <w:right w:val="none" w:sz="4" w:space="0" w:color="000000"/>
        </w:tcBorders>
        <w:shd w:val="clear" w:color="FFFFFF" w:fill="auto"/>
      </w:tc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7Colorful-Accent63">
    <w:name w:val="List Table 7 Colorful - Accent 63"/>
    <w:basedOn w:val="a5"/>
    <w:uiPriority w:val="99"/>
    <w:rsid w:val="00250BEC"/>
    <w:pPr>
      <w:spacing w:after="0" w:line="240" w:lineRule="auto"/>
    </w:pPr>
    <w:tblPr>
      <w:tblStyleRowBandSize w:val="1"/>
      <w:tblStyleColBandSize w:val="1"/>
      <w:tblBorders>
        <w:right w:val="single" w:sz="4" w:space="0" w:color="C59EC3" w:themeColor="accent6" w:themeTint="98"/>
      </w:tblBorders>
    </w:tblPr>
    <w:tblStylePr w:type="firstRow">
      <w:rPr>
        <w:rFonts w:ascii="Arial" w:hAnsi="Arial"/>
        <w:i/>
        <w:color w:val="C59EC3" w:themeColor="accent6" w:themeTint="98" w:themeShade="95"/>
        <w:sz w:val="22"/>
      </w:rPr>
      <w:tblPr/>
      <w:tcPr>
        <w:tcBorders>
          <w:top w:val="none" w:sz="4" w:space="0" w:color="000000"/>
          <w:left w:val="none" w:sz="4" w:space="0" w:color="000000"/>
          <w:bottom w:val="single" w:sz="4" w:space="0" w:color="C59EC3" w:themeColor="accent6" w:themeTint="98"/>
          <w:right w:val="none" w:sz="4" w:space="0" w:color="000000"/>
        </w:tcBorders>
        <w:shd w:val="clear" w:color="FFFFFF" w:themeColor="light1" w:fill="FFFFFF" w:themeFill="light1"/>
      </w:tcPr>
    </w:tblStylePr>
    <w:tblStylePr w:type="lastRow">
      <w:rPr>
        <w:rFonts w:ascii="Arial" w:hAnsi="Arial"/>
        <w:i/>
        <w:color w:val="C59EC3" w:themeColor="accent6" w:themeTint="98" w:themeShade="95"/>
        <w:sz w:val="22"/>
      </w:rPr>
      <w:tblPr/>
      <w:tcPr>
        <w:tcBorders>
          <w:top w:val="single" w:sz="4" w:space="0" w:color="C59EC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59EC3" w:themeColor="accent6" w:themeTint="98" w:themeShade="95"/>
        <w:sz w:val="22"/>
      </w:rPr>
      <w:tblPr/>
      <w:tcPr>
        <w:tcBorders>
          <w:top w:val="none" w:sz="4" w:space="0" w:color="000000"/>
          <w:left w:val="none" w:sz="4" w:space="0" w:color="000000"/>
          <w:bottom w:val="none" w:sz="4" w:space="0" w:color="000000"/>
          <w:right w:val="single" w:sz="4" w:space="0" w:color="C59EC3" w:themeColor="accent6" w:themeTint="98"/>
        </w:tcBorders>
        <w:shd w:val="clear" w:color="FFFFFF" w:fill="auto"/>
      </w:tcPr>
    </w:tblStylePr>
    <w:tblStylePr w:type="lastCol">
      <w:rPr>
        <w:rFonts w:ascii="Arial" w:hAnsi="Arial"/>
        <w:i/>
        <w:color w:val="C59EC3" w:themeColor="accent6" w:themeTint="98" w:themeShade="95"/>
        <w:sz w:val="22"/>
      </w:rPr>
      <w:tblPr/>
      <w:tcPr>
        <w:tcBorders>
          <w:top w:val="none" w:sz="4" w:space="0" w:color="000000"/>
          <w:left w:val="single" w:sz="4" w:space="0" w:color="C59EC3" w:themeColor="accent6" w:themeTint="98"/>
          <w:bottom w:val="none" w:sz="4" w:space="0" w:color="000000"/>
          <w:right w:val="none" w:sz="4" w:space="0" w:color="000000"/>
        </w:tcBorders>
        <w:shd w:val="clear" w:color="FFFFFF" w:fill="auto"/>
      </w:tc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Lined-Accent30">
    <w:name w:val="Lined - Accent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3">
    <w:name w:val="Lined - Accent 1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Lined-Accent23">
    <w:name w:val="Lined - Accent 2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Lined-Accent33">
    <w:name w:val="Lined - Accent 3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Lined-Accent43">
    <w:name w:val="Lined - Accent 4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Lined-Accent53">
    <w:name w:val="Lined - Accent 5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Lined-Accent63">
    <w:name w:val="Lined - Accent 63"/>
    <w:basedOn w:val="a5"/>
    <w:uiPriority w:val="99"/>
    <w:rsid w:val="00250BE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Lined-Accent30">
    <w:name w:val="Bordered &amp; Lined - Accent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3">
    <w:name w:val="Bordered &amp; Lined - Accent 1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660C0B" w:themeColor="accent1" w:themeShade="95"/>
        <w:left w:val="single" w:sz="4" w:space="0" w:color="660C0B" w:themeColor="accent1" w:themeShade="95"/>
        <w:bottom w:val="single" w:sz="4" w:space="0" w:color="660C0B" w:themeColor="accent1" w:themeShade="95"/>
        <w:right w:val="single" w:sz="4" w:space="0" w:color="660C0B" w:themeColor="accent1" w:themeShade="95"/>
        <w:insideH w:val="single" w:sz="4" w:space="0" w:color="660C0B" w:themeColor="accent1" w:themeShade="95"/>
        <w:insideV w:val="single" w:sz="4" w:space="0" w:color="660C0B" w:themeColor="accent1" w:themeShade="95"/>
      </w:tblBorders>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BorderedLined-Accent23">
    <w:name w:val="Bordered &amp; Lined - Accent 2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88390A" w:themeColor="accent2" w:themeShade="95"/>
        <w:left w:val="single" w:sz="4" w:space="0" w:color="88390A" w:themeColor="accent2" w:themeShade="95"/>
        <w:bottom w:val="single" w:sz="4" w:space="0" w:color="88390A" w:themeColor="accent2" w:themeShade="95"/>
        <w:right w:val="single" w:sz="4" w:space="0" w:color="88390A" w:themeColor="accent2" w:themeShade="95"/>
        <w:insideH w:val="single" w:sz="4" w:space="0" w:color="88390A" w:themeColor="accent2" w:themeShade="95"/>
        <w:insideV w:val="single" w:sz="4" w:space="0" w:color="88390A" w:themeColor="accent2" w:themeShade="95"/>
      </w:tblBorders>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BorderedLined-Accent33">
    <w:name w:val="Bordered &amp; Lined - Accent 3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8D6E10" w:themeColor="accent3" w:themeShade="95"/>
        <w:left w:val="single" w:sz="4" w:space="0" w:color="8D6E10" w:themeColor="accent3" w:themeShade="95"/>
        <w:bottom w:val="single" w:sz="4" w:space="0" w:color="8D6E10" w:themeColor="accent3" w:themeShade="95"/>
        <w:right w:val="single" w:sz="4" w:space="0" w:color="8D6E10" w:themeColor="accent3" w:themeShade="95"/>
        <w:insideH w:val="single" w:sz="4" w:space="0" w:color="8D6E10" w:themeColor="accent3" w:themeShade="95"/>
        <w:insideV w:val="single" w:sz="4" w:space="0" w:color="8D6E10" w:themeColor="accent3" w:themeShade="95"/>
      </w:tblBorders>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BorderedLined-Accent43">
    <w:name w:val="Bordered &amp; Lined - Accent 4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3A6854" w:themeColor="accent4" w:themeShade="95"/>
        <w:left w:val="single" w:sz="4" w:space="0" w:color="3A6854" w:themeColor="accent4" w:themeShade="95"/>
        <w:bottom w:val="single" w:sz="4" w:space="0" w:color="3A6854" w:themeColor="accent4" w:themeShade="95"/>
        <w:right w:val="single" w:sz="4" w:space="0" w:color="3A6854" w:themeColor="accent4" w:themeShade="95"/>
        <w:insideH w:val="single" w:sz="4" w:space="0" w:color="3A6854" w:themeColor="accent4" w:themeShade="95"/>
        <w:insideV w:val="single" w:sz="4" w:space="0" w:color="3A6854" w:themeColor="accent4" w:themeShade="95"/>
      </w:tblBorders>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BorderedLined-Accent53">
    <w:name w:val="Bordered &amp; Lined - Accent 5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314C59" w:themeColor="accent5" w:themeShade="95"/>
        <w:left w:val="single" w:sz="4" w:space="0" w:color="314C59" w:themeColor="accent5" w:themeShade="95"/>
        <w:bottom w:val="single" w:sz="4" w:space="0" w:color="314C59" w:themeColor="accent5" w:themeShade="95"/>
        <w:right w:val="single" w:sz="4" w:space="0" w:color="314C59" w:themeColor="accent5" w:themeShade="95"/>
        <w:insideH w:val="single" w:sz="4" w:space="0" w:color="314C59" w:themeColor="accent5" w:themeShade="95"/>
        <w:insideV w:val="single" w:sz="4" w:space="0" w:color="314C59" w:themeColor="accent5" w:themeShade="95"/>
      </w:tblBorders>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BorderedLined-Accent63">
    <w:name w:val="Bordered &amp; Lined - Accent 63"/>
    <w:basedOn w:val="a5"/>
    <w:uiPriority w:val="99"/>
    <w:rsid w:val="00250BEC"/>
    <w:pPr>
      <w:spacing w:after="0" w:line="240" w:lineRule="auto"/>
    </w:pPr>
    <w:rPr>
      <w:color w:val="404040"/>
      <w:sz w:val="20"/>
      <w:szCs w:val="20"/>
      <w:lang w:eastAsia="ru-RU"/>
    </w:rPr>
    <w:tblPr>
      <w:tblStyleRowBandSize w:val="1"/>
      <w:tblStyleColBandSize w:val="1"/>
      <w:tblBorders>
        <w:top w:val="single" w:sz="4" w:space="0" w:color="5C375A" w:themeColor="accent6" w:themeShade="95"/>
        <w:left w:val="single" w:sz="4" w:space="0" w:color="5C375A" w:themeColor="accent6" w:themeShade="95"/>
        <w:bottom w:val="single" w:sz="4" w:space="0" w:color="5C375A" w:themeColor="accent6" w:themeShade="95"/>
        <w:right w:val="single" w:sz="4" w:space="0" w:color="5C375A" w:themeColor="accent6" w:themeShade="95"/>
        <w:insideH w:val="single" w:sz="4" w:space="0" w:color="5C375A" w:themeColor="accent6" w:themeShade="95"/>
        <w:insideV w:val="single" w:sz="4" w:space="0" w:color="5C375A" w:themeColor="accent6" w:themeShade="95"/>
      </w:tblBorders>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3">
    <w:name w:val="Bordered3"/>
    <w:basedOn w:val="a5"/>
    <w:uiPriority w:val="99"/>
    <w:rsid w:val="00250BEC"/>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3">
    <w:name w:val="Bordered - Accent 13"/>
    <w:basedOn w:val="a5"/>
    <w:uiPriority w:val="99"/>
    <w:rsid w:val="00250BEC"/>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rFonts w:ascii="Arial" w:hAnsi="Arial"/>
        <w:color w:val="404040"/>
        <w:sz w:val="22"/>
      </w:rPr>
      <w:tblPr/>
      <w:tcPr>
        <w:tcBorders>
          <w:bottom w:val="single" w:sz="12" w:space="0" w:color="B01513" w:themeColor="accent1"/>
        </w:tcBorders>
      </w:tcPr>
    </w:tblStylePr>
    <w:tblStylePr w:type="lastRow">
      <w:rPr>
        <w:rFonts w:ascii="Arial" w:hAnsi="Arial"/>
        <w:color w:val="404040"/>
        <w:sz w:val="22"/>
      </w:rPr>
      <w:tblPr/>
      <w:tcPr>
        <w:tcBorders>
          <w:top w:val="single" w:sz="12" w:space="0" w:color="B01513"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01513" w:themeColor="accent1"/>
        </w:tcBorders>
      </w:tc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Bordered-Accent23">
    <w:name w:val="Bordered - Accent 23"/>
    <w:basedOn w:val="a5"/>
    <w:uiPriority w:val="99"/>
    <w:rsid w:val="00250BEC"/>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rFonts w:ascii="Arial" w:hAnsi="Arial"/>
        <w:color w:val="404040"/>
        <w:sz w:val="22"/>
      </w:rPr>
      <w:tblPr/>
      <w:tcPr>
        <w:tcBorders>
          <w:bottom w:val="single" w:sz="12" w:space="0" w:color="F4A170" w:themeColor="accent2" w:themeTint="97"/>
        </w:tcBorders>
      </w:tcPr>
    </w:tblStylePr>
    <w:tblStylePr w:type="lastRow">
      <w:rPr>
        <w:rFonts w:ascii="Arial" w:hAnsi="Arial"/>
        <w:color w:val="404040"/>
        <w:sz w:val="22"/>
      </w:rPr>
      <w:tblPr/>
      <w:tcPr>
        <w:tcBorders>
          <w:top w:val="single" w:sz="12" w:space="0" w:color="F4A170"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A170" w:themeColor="accent2" w:themeTint="97"/>
        </w:tcBorders>
      </w:tc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Bordered-Accent33">
    <w:name w:val="Bordered - Accent 33"/>
    <w:basedOn w:val="a5"/>
    <w:uiPriority w:val="99"/>
    <w:rsid w:val="00250BEC"/>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rFonts w:ascii="Arial" w:hAnsi="Arial"/>
        <w:color w:val="404040"/>
        <w:sz w:val="22"/>
      </w:rPr>
      <w:tblPr/>
      <w:tcPr>
        <w:tcBorders>
          <w:bottom w:val="single" w:sz="12" w:space="0" w:color="F0D37F" w:themeColor="accent3" w:themeTint="98"/>
        </w:tcBorders>
      </w:tcPr>
    </w:tblStylePr>
    <w:tblStylePr w:type="lastRow">
      <w:rPr>
        <w:rFonts w:ascii="Arial" w:hAnsi="Arial"/>
        <w:color w:val="404040"/>
        <w:sz w:val="22"/>
      </w:rPr>
      <w:tblPr/>
      <w:tcPr>
        <w:tcBorders>
          <w:top w:val="single" w:sz="12" w:space="0" w:color="F0D37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0D37F" w:themeColor="accent3" w:themeTint="98"/>
        </w:tcBorders>
      </w:tc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Bordered-Accent43">
    <w:name w:val="Bordered - Accent 43"/>
    <w:basedOn w:val="a5"/>
    <w:uiPriority w:val="99"/>
    <w:rsid w:val="00250BEC"/>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rFonts w:ascii="Arial" w:hAnsi="Arial"/>
        <w:color w:val="404040"/>
        <w:sz w:val="22"/>
      </w:rPr>
      <w:tblPr/>
      <w:tcPr>
        <w:tcBorders>
          <w:bottom w:val="single" w:sz="12" w:space="0" w:color="A4CCBB" w:themeColor="accent4" w:themeTint="9A"/>
        </w:tcBorders>
      </w:tcPr>
    </w:tblStylePr>
    <w:tblStylePr w:type="lastRow">
      <w:rPr>
        <w:rFonts w:ascii="Arial" w:hAnsi="Arial"/>
        <w:color w:val="404040"/>
        <w:sz w:val="22"/>
      </w:rPr>
      <w:tblPr/>
      <w:tcPr>
        <w:tcBorders>
          <w:top w:val="single" w:sz="12" w:space="0" w:color="A4CCBB"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4CCBB" w:themeColor="accent4" w:themeTint="9A"/>
        </w:tcBorders>
      </w:tc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Bordered-Accent53">
    <w:name w:val="Bordered - Accent 53"/>
    <w:basedOn w:val="a5"/>
    <w:uiPriority w:val="99"/>
    <w:rsid w:val="00250BEC"/>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rFonts w:ascii="Arial" w:hAnsi="Arial"/>
        <w:color w:val="404040"/>
        <w:sz w:val="22"/>
      </w:rPr>
      <w:tblPr/>
      <w:tcPr>
        <w:tcBorders>
          <w:bottom w:val="single" w:sz="12" w:space="0" w:color="94B5C5" w:themeColor="accent5" w:themeTint="9A"/>
        </w:tcBorders>
      </w:tcPr>
    </w:tblStylePr>
    <w:tblStylePr w:type="lastRow">
      <w:rPr>
        <w:rFonts w:ascii="Arial" w:hAnsi="Arial"/>
        <w:color w:val="404040"/>
        <w:sz w:val="22"/>
      </w:rPr>
      <w:tblPr/>
      <w:tcPr>
        <w:tcBorders>
          <w:top w:val="single" w:sz="12" w:space="0" w:color="94B5C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4B5C5" w:themeColor="accent5" w:themeTint="9A"/>
        </w:tcBorders>
      </w:tc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Bordered-Accent63">
    <w:name w:val="Bordered - Accent 63"/>
    <w:basedOn w:val="a5"/>
    <w:uiPriority w:val="99"/>
    <w:rsid w:val="00250BEC"/>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rFonts w:ascii="Arial" w:hAnsi="Arial"/>
        <w:color w:val="404040"/>
        <w:sz w:val="22"/>
      </w:rPr>
      <w:tblPr/>
      <w:tcPr>
        <w:tcBorders>
          <w:bottom w:val="single" w:sz="12" w:space="0" w:color="C59EC3" w:themeColor="accent6" w:themeTint="98"/>
        </w:tcBorders>
      </w:tcPr>
    </w:tblStylePr>
    <w:tblStylePr w:type="lastRow">
      <w:rPr>
        <w:rFonts w:ascii="Arial" w:hAnsi="Arial"/>
        <w:color w:val="404040"/>
        <w:sz w:val="22"/>
      </w:rPr>
      <w:tblPr/>
      <w:tcPr>
        <w:tcBorders>
          <w:top w:val="single" w:sz="12" w:space="0" w:color="C59EC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59EC3" w:themeColor="accent6" w:themeTint="98"/>
        </w:tcBorders>
      </w:tc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TableNormal13">
    <w:name w:val="Table Normal13"/>
    <w:rsid w:val="00250BEC"/>
    <w:pPr>
      <w:spacing w:after="0" w:line="276" w:lineRule="auto"/>
    </w:pPr>
    <w:rPr>
      <w:rFonts w:ascii="Arial" w:eastAsia="Times New Roman" w:hAnsi="Arial" w:cs="Arial"/>
      <w:lang w:val="ru" w:eastAsia="ru-RU"/>
    </w:rPr>
    <w:tblPr>
      <w:tblCellMar>
        <w:top w:w="0" w:type="dxa"/>
        <w:left w:w="0" w:type="dxa"/>
        <w:bottom w:w="0" w:type="dxa"/>
        <w:right w:w="0" w:type="dxa"/>
      </w:tblCellMar>
    </w:tblPr>
  </w:style>
  <w:style w:type="table" w:customStyle="1" w:styleId="-74">
    <w:name w:val="Список-таблица 7 цветная4"/>
    <w:basedOn w:val="a5"/>
    <w:next w:val="-7"/>
    <w:uiPriority w:val="52"/>
    <w:rsid w:val="00250BEC"/>
    <w:pPr>
      <w:spacing w:after="0" w:line="240" w:lineRule="auto"/>
    </w:pPr>
    <w:rPr>
      <w:rFonts w:ascii="Calibri" w:eastAsia="Times New Roman" w:hAnsi="Calibri" w:cs="Times New Roman"/>
      <w:color w:val="000000"/>
      <w:lang w:eastAsia="ru-RU"/>
    </w:rPr>
    <w:tblPr>
      <w:tblStyleRowBandSize w:val="1"/>
      <w:tblStyleColBandSize w:val="1"/>
    </w:tblPr>
    <w:tblStylePr w:type="firstRow">
      <w:rPr>
        <w:rFonts w:ascii="Cambria" w:eastAsia="Times New Roman" w:hAnsi="Cambria" w:cs="Times New Roman"/>
        <w:i/>
        <w:iCs/>
        <w:sz w:val="26"/>
      </w:rPr>
      <w:tblPr/>
      <w:tcPr>
        <w:tcBorders>
          <w:bottom w:val="single" w:sz="4" w:space="0" w:color="000000"/>
        </w:tcBorders>
        <w:shd w:val="clear" w:color="auto" w:fill="FFFFFF"/>
      </w:tcPr>
    </w:tblStylePr>
    <w:tblStylePr w:type="lastRow">
      <w:rPr>
        <w:rFonts w:ascii="Cambria" w:eastAsia="Times New Roman" w:hAnsi="Cambria" w:cs="Times New Roman"/>
        <w:i/>
        <w:iCs/>
        <w:sz w:val="26"/>
      </w:rPr>
      <w:tblPr/>
      <w:tcPr>
        <w:tcBorders>
          <w:top w:val="single" w:sz="4" w:space="0" w:color="000000"/>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000000"/>
        </w:tcBorders>
        <w:shd w:val="clear" w:color="auto" w:fill="FFFFFF"/>
      </w:tcPr>
    </w:tblStylePr>
    <w:tblStylePr w:type="lastCol">
      <w:rPr>
        <w:rFonts w:ascii="Cambria" w:eastAsia="Times New Roman" w:hAnsi="Cambria"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821">
    <w:name w:val="Нет списка82"/>
    <w:next w:val="a6"/>
    <w:uiPriority w:val="99"/>
    <w:semiHidden/>
    <w:unhideWhenUsed/>
    <w:rsid w:val="00250BEC"/>
  </w:style>
  <w:style w:type="numbering" w:customStyle="1" w:styleId="921">
    <w:name w:val="Нет списка92"/>
    <w:next w:val="a6"/>
    <w:semiHidden/>
    <w:rsid w:val="00250BEC"/>
  </w:style>
  <w:style w:type="numbering" w:customStyle="1" w:styleId="1020">
    <w:name w:val="Нет списка102"/>
    <w:next w:val="a6"/>
    <w:uiPriority w:val="99"/>
    <w:semiHidden/>
    <w:unhideWhenUsed/>
    <w:rsid w:val="00250BEC"/>
  </w:style>
  <w:style w:type="table" w:customStyle="1" w:styleId="103">
    <w:name w:val="Сетка таблицы103"/>
    <w:basedOn w:val="a5"/>
    <w:next w:val="aff4"/>
    <w:uiPriority w:val="59"/>
    <w:rsid w:val="00250BE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next w:val="aff4"/>
    <w:uiPriority w:val="59"/>
    <w:rsid w:val="00250BEC"/>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5"/>
    <w:next w:val="aff4"/>
    <w:uiPriority w:val="39"/>
    <w:rsid w:val="00250BEC"/>
    <w:pPr>
      <w:spacing w:after="0" w:line="240" w:lineRule="auto"/>
    </w:pPr>
    <w:rPr>
      <w:rFonts w:ascii="Calibri" w:eastAsia="Calibri" w:hAnsi="Calibri" w:cs="Times New Roman"/>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
    <w:basedOn w:val="a5"/>
    <w:next w:val="aff4"/>
    <w:uiPriority w:val="39"/>
    <w:rsid w:val="00250BE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6"/>
    <w:uiPriority w:val="99"/>
    <w:semiHidden/>
    <w:unhideWhenUsed/>
    <w:rsid w:val="00250BEC"/>
  </w:style>
  <w:style w:type="table" w:customStyle="1" w:styleId="142">
    <w:name w:val="Сетка таблицы142"/>
    <w:basedOn w:val="a5"/>
    <w:next w:val="aff4"/>
    <w:uiPriority w:val="59"/>
    <w:rsid w:val="00250BE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6159">
      <w:bodyDiv w:val="1"/>
      <w:marLeft w:val="0"/>
      <w:marRight w:val="0"/>
      <w:marTop w:val="0"/>
      <w:marBottom w:val="0"/>
      <w:divBdr>
        <w:top w:val="none" w:sz="0" w:space="0" w:color="auto"/>
        <w:left w:val="none" w:sz="0" w:space="0" w:color="auto"/>
        <w:bottom w:val="none" w:sz="0" w:space="0" w:color="auto"/>
        <w:right w:val="none" w:sz="0" w:space="0" w:color="auto"/>
      </w:divBdr>
    </w:div>
    <w:div w:id="10761289">
      <w:bodyDiv w:val="1"/>
      <w:marLeft w:val="0"/>
      <w:marRight w:val="0"/>
      <w:marTop w:val="0"/>
      <w:marBottom w:val="0"/>
      <w:divBdr>
        <w:top w:val="none" w:sz="0" w:space="0" w:color="auto"/>
        <w:left w:val="none" w:sz="0" w:space="0" w:color="auto"/>
        <w:bottom w:val="none" w:sz="0" w:space="0" w:color="auto"/>
        <w:right w:val="none" w:sz="0" w:space="0" w:color="auto"/>
      </w:divBdr>
    </w:div>
    <w:div w:id="28461404">
      <w:bodyDiv w:val="1"/>
      <w:marLeft w:val="0"/>
      <w:marRight w:val="0"/>
      <w:marTop w:val="0"/>
      <w:marBottom w:val="0"/>
      <w:divBdr>
        <w:top w:val="none" w:sz="0" w:space="0" w:color="auto"/>
        <w:left w:val="none" w:sz="0" w:space="0" w:color="auto"/>
        <w:bottom w:val="none" w:sz="0" w:space="0" w:color="auto"/>
        <w:right w:val="none" w:sz="0" w:space="0" w:color="auto"/>
      </w:divBdr>
    </w:div>
    <w:div w:id="32730606">
      <w:bodyDiv w:val="1"/>
      <w:marLeft w:val="0"/>
      <w:marRight w:val="0"/>
      <w:marTop w:val="0"/>
      <w:marBottom w:val="0"/>
      <w:divBdr>
        <w:top w:val="none" w:sz="0" w:space="0" w:color="auto"/>
        <w:left w:val="none" w:sz="0" w:space="0" w:color="auto"/>
        <w:bottom w:val="none" w:sz="0" w:space="0" w:color="auto"/>
        <w:right w:val="none" w:sz="0" w:space="0" w:color="auto"/>
      </w:divBdr>
    </w:div>
    <w:div w:id="56638397">
      <w:bodyDiv w:val="1"/>
      <w:marLeft w:val="0"/>
      <w:marRight w:val="0"/>
      <w:marTop w:val="0"/>
      <w:marBottom w:val="0"/>
      <w:divBdr>
        <w:top w:val="none" w:sz="0" w:space="0" w:color="auto"/>
        <w:left w:val="none" w:sz="0" w:space="0" w:color="auto"/>
        <w:bottom w:val="none" w:sz="0" w:space="0" w:color="auto"/>
        <w:right w:val="none" w:sz="0" w:space="0" w:color="auto"/>
      </w:divBdr>
    </w:div>
    <w:div w:id="139465484">
      <w:bodyDiv w:val="1"/>
      <w:marLeft w:val="0"/>
      <w:marRight w:val="0"/>
      <w:marTop w:val="0"/>
      <w:marBottom w:val="0"/>
      <w:divBdr>
        <w:top w:val="none" w:sz="0" w:space="0" w:color="auto"/>
        <w:left w:val="none" w:sz="0" w:space="0" w:color="auto"/>
        <w:bottom w:val="none" w:sz="0" w:space="0" w:color="auto"/>
        <w:right w:val="none" w:sz="0" w:space="0" w:color="auto"/>
      </w:divBdr>
    </w:div>
    <w:div w:id="150877012">
      <w:bodyDiv w:val="1"/>
      <w:marLeft w:val="0"/>
      <w:marRight w:val="0"/>
      <w:marTop w:val="0"/>
      <w:marBottom w:val="0"/>
      <w:divBdr>
        <w:top w:val="none" w:sz="0" w:space="0" w:color="auto"/>
        <w:left w:val="none" w:sz="0" w:space="0" w:color="auto"/>
        <w:bottom w:val="none" w:sz="0" w:space="0" w:color="auto"/>
        <w:right w:val="none" w:sz="0" w:space="0" w:color="auto"/>
      </w:divBdr>
    </w:div>
    <w:div w:id="175578624">
      <w:bodyDiv w:val="1"/>
      <w:marLeft w:val="0"/>
      <w:marRight w:val="0"/>
      <w:marTop w:val="0"/>
      <w:marBottom w:val="0"/>
      <w:divBdr>
        <w:top w:val="none" w:sz="0" w:space="0" w:color="auto"/>
        <w:left w:val="none" w:sz="0" w:space="0" w:color="auto"/>
        <w:bottom w:val="none" w:sz="0" w:space="0" w:color="auto"/>
        <w:right w:val="none" w:sz="0" w:space="0" w:color="auto"/>
      </w:divBdr>
    </w:div>
    <w:div w:id="204684737">
      <w:bodyDiv w:val="1"/>
      <w:marLeft w:val="0"/>
      <w:marRight w:val="0"/>
      <w:marTop w:val="0"/>
      <w:marBottom w:val="0"/>
      <w:divBdr>
        <w:top w:val="none" w:sz="0" w:space="0" w:color="auto"/>
        <w:left w:val="none" w:sz="0" w:space="0" w:color="auto"/>
        <w:bottom w:val="none" w:sz="0" w:space="0" w:color="auto"/>
        <w:right w:val="none" w:sz="0" w:space="0" w:color="auto"/>
      </w:divBdr>
    </w:div>
    <w:div w:id="228226437">
      <w:bodyDiv w:val="1"/>
      <w:marLeft w:val="0"/>
      <w:marRight w:val="0"/>
      <w:marTop w:val="0"/>
      <w:marBottom w:val="0"/>
      <w:divBdr>
        <w:top w:val="none" w:sz="0" w:space="0" w:color="auto"/>
        <w:left w:val="none" w:sz="0" w:space="0" w:color="auto"/>
        <w:bottom w:val="none" w:sz="0" w:space="0" w:color="auto"/>
        <w:right w:val="none" w:sz="0" w:space="0" w:color="auto"/>
      </w:divBdr>
    </w:div>
    <w:div w:id="248077653">
      <w:bodyDiv w:val="1"/>
      <w:marLeft w:val="0"/>
      <w:marRight w:val="0"/>
      <w:marTop w:val="0"/>
      <w:marBottom w:val="0"/>
      <w:divBdr>
        <w:top w:val="none" w:sz="0" w:space="0" w:color="auto"/>
        <w:left w:val="none" w:sz="0" w:space="0" w:color="auto"/>
        <w:bottom w:val="none" w:sz="0" w:space="0" w:color="auto"/>
        <w:right w:val="none" w:sz="0" w:space="0" w:color="auto"/>
      </w:divBdr>
    </w:div>
    <w:div w:id="260377550">
      <w:bodyDiv w:val="1"/>
      <w:marLeft w:val="0"/>
      <w:marRight w:val="0"/>
      <w:marTop w:val="0"/>
      <w:marBottom w:val="0"/>
      <w:divBdr>
        <w:top w:val="none" w:sz="0" w:space="0" w:color="auto"/>
        <w:left w:val="none" w:sz="0" w:space="0" w:color="auto"/>
        <w:bottom w:val="none" w:sz="0" w:space="0" w:color="auto"/>
        <w:right w:val="none" w:sz="0" w:space="0" w:color="auto"/>
      </w:divBdr>
    </w:div>
    <w:div w:id="343481899">
      <w:bodyDiv w:val="1"/>
      <w:marLeft w:val="0"/>
      <w:marRight w:val="0"/>
      <w:marTop w:val="0"/>
      <w:marBottom w:val="0"/>
      <w:divBdr>
        <w:top w:val="none" w:sz="0" w:space="0" w:color="auto"/>
        <w:left w:val="none" w:sz="0" w:space="0" w:color="auto"/>
        <w:bottom w:val="none" w:sz="0" w:space="0" w:color="auto"/>
        <w:right w:val="none" w:sz="0" w:space="0" w:color="auto"/>
      </w:divBdr>
    </w:div>
    <w:div w:id="359087147">
      <w:bodyDiv w:val="1"/>
      <w:marLeft w:val="0"/>
      <w:marRight w:val="0"/>
      <w:marTop w:val="0"/>
      <w:marBottom w:val="0"/>
      <w:divBdr>
        <w:top w:val="none" w:sz="0" w:space="0" w:color="auto"/>
        <w:left w:val="none" w:sz="0" w:space="0" w:color="auto"/>
        <w:bottom w:val="none" w:sz="0" w:space="0" w:color="auto"/>
        <w:right w:val="none" w:sz="0" w:space="0" w:color="auto"/>
      </w:divBdr>
    </w:div>
    <w:div w:id="362437161">
      <w:bodyDiv w:val="1"/>
      <w:marLeft w:val="0"/>
      <w:marRight w:val="0"/>
      <w:marTop w:val="0"/>
      <w:marBottom w:val="0"/>
      <w:divBdr>
        <w:top w:val="none" w:sz="0" w:space="0" w:color="auto"/>
        <w:left w:val="none" w:sz="0" w:space="0" w:color="auto"/>
        <w:bottom w:val="none" w:sz="0" w:space="0" w:color="auto"/>
        <w:right w:val="none" w:sz="0" w:space="0" w:color="auto"/>
      </w:divBdr>
    </w:div>
    <w:div w:id="425073739">
      <w:bodyDiv w:val="1"/>
      <w:marLeft w:val="0"/>
      <w:marRight w:val="0"/>
      <w:marTop w:val="0"/>
      <w:marBottom w:val="0"/>
      <w:divBdr>
        <w:top w:val="none" w:sz="0" w:space="0" w:color="auto"/>
        <w:left w:val="none" w:sz="0" w:space="0" w:color="auto"/>
        <w:bottom w:val="none" w:sz="0" w:space="0" w:color="auto"/>
        <w:right w:val="none" w:sz="0" w:space="0" w:color="auto"/>
      </w:divBdr>
    </w:div>
    <w:div w:id="457142561">
      <w:bodyDiv w:val="1"/>
      <w:marLeft w:val="0"/>
      <w:marRight w:val="0"/>
      <w:marTop w:val="0"/>
      <w:marBottom w:val="0"/>
      <w:divBdr>
        <w:top w:val="none" w:sz="0" w:space="0" w:color="auto"/>
        <w:left w:val="none" w:sz="0" w:space="0" w:color="auto"/>
        <w:bottom w:val="none" w:sz="0" w:space="0" w:color="auto"/>
        <w:right w:val="none" w:sz="0" w:space="0" w:color="auto"/>
      </w:divBdr>
    </w:div>
    <w:div w:id="471213017">
      <w:bodyDiv w:val="1"/>
      <w:marLeft w:val="0"/>
      <w:marRight w:val="0"/>
      <w:marTop w:val="0"/>
      <w:marBottom w:val="0"/>
      <w:divBdr>
        <w:top w:val="none" w:sz="0" w:space="0" w:color="auto"/>
        <w:left w:val="none" w:sz="0" w:space="0" w:color="auto"/>
        <w:bottom w:val="none" w:sz="0" w:space="0" w:color="auto"/>
        <w:right w:val="none" w:sz="0" w:space="0" w:color="auto"/>
      </w:divBdr>
    </w:div>
    <w:div w:id="491528717">
      <w:bodyDiv w:val="1"/>
      <w:marLeft w:val="0"/>
      <w:marRight w:val="0"/>
      <w:marTop w:val="0"/>
      <w:marBottom w:val="0"/>
      <w:divBdr>
        <w:top w:val="none" w:sz="0" w:space="0" w:color="auto"/>
        <w:left w:val="none" w:sz="0" w:space="0" w:color="auto"/>
        <w:bottom w:val="none" w:sz="0" w:space="0" w:color="auto"/>
        <w:right w:val="none" w:sz="0" w:space="0" w:color="auto"/>
      </w:divBdr>
    </w:div>
    <w:div w:id="523203622">
      <w:bodyDiv w:val="1"/>
      <w:marLeft w:val="0"/>
      <w:marRight w:val="0"/>
      <w:marTop w:val="0"/>
      <w:marBottom w:val="0"/>
      <w:divBdr>
        <w:top w:val="none" w:sz="0" w:space="0" w:color="auto"/>
        <w:left w:val="none" w:sz="0" w:space="0" w:color="auto"/>
        <w:bottom w:val="none" w:sz="0" w:space="0" w:color="auto"/>
        <w:right w:val="none" w:sz="0" w:space="0" w:color="auto"/>
      </w:divBdr>
    </w:div>
    <w:div w:id="532695201">
      <w:bodyDiv w:val="1"/>
      <w:marLeft w:val="0"/>
      <w:marRight w:val="0"/>
      <w:marTop w:val="0"/>
      <w:marBottom w:val="0"/>
      <w:divBdr>
        <w:top w:val="none" w:sz="0" w:space="0" w:color="auto"/>
        <w:left w:val="none" w:sz="0" w:space="0" w:color="auto"/>
        <w:bottom w:val="none" w:sz="0" w:space="0" w:color="auto"/>
        <w:right w:val="none" w:sz="0" w:space="0" w:color="auto"/>
      </w:divBdr>
    </w:div>
    <w:div w:id="589894064">
      <w:bodyDiv w:val="1"/>
      <w:marLeft w:val="0"/>
      <w:marRight w:val="0"/>
      <w:marTop w:val="0"/>
      <w:marBottom w:val="0"/>
      <w:divBdr>
        <w:top w:val="none" w:sz="0" w:space="0" w:color="auto"/>
        <w:left w:val="none" w:sz="0" w:space="0" w:color="auto"/>
        <w:bottom w:val="none" w:sz="0" w:space="0" w:color="auto"/>
        <w:right w:val="none" w:sz="0" w:space="0" w:color="auto"/>
      </w:divBdr>
    </w:div>
    <w:div w:id="612203005">
      <w:bodyDiv w:val="1"/>
      <w:marLeft w:val="0"/>
      <w:marRight w:val="0"/>
      <w:marTop w:val="0"/>
      <w:marBottom w:val="0"/>
      <w:divBdr>
        <w:top w:val="none" w:sz="0" w:space="0" w:color="auto"/>
        <w:left w:val="none" w:sz="0" w:space="0" w:color="auto"/>
        <w:bottom w:val="none" w:sz="0" w:space="0" w:color="auto"/>
        <w:right w:val="none" w:sz="0" w:space="0" w:color="auto"/>
      </w:divBdr>
    </w:div>
    <w:div w:id="629408527">
      <w:bodyDiv w:val="1"/>
      <w:marLeft w:val="0"/>
      <w:marRight w:val="0"/>
      <w:marTop w:val="0"/>
      <w:marBottom w:val="0"/>
      <w:divBdr>
        <w:top w:val="none" w:sz="0" w:space="0" w:color="auto"/>
        <w:left w:val="none" w:sz="0" w:space="0" w:color="auto"/>
        <w:bottom w:val="none" w:sz="0" w:space="0" w:color="auto"/>
        <w:right w:val="none" w:sz="0" w:space="0" w:color="auto"/>
      </w:divBdr>
    </w:div>
    <w:div w:id="730421404">
      <w:bodyDiv w:val="1"/>
      <w:marLeft w:val="0"/>
      <w:marRight w:val="0"/>
      <w:marTop w:val="0"/>
      <w:marBottom w:val="0"/>
      <w:divBdr>
        <w:top w:val="none" w:sz="0" w:space="0" w:color="auto"/>
        <w:left w:val="none" w:sz="0" w:space="0" w:color="auto"/>
        <w:bottom w:val="none" w:sz="0" w:space="0" w:color="auto"/>
        <w:right w:val="none" w:sz="0" w:space="0" w:color="auto"/>
      </w:divBdr>
    </w:div>
    <w:div w:id="734742434">
      <w:bodyDiv w:val="1"/>
      <w:marLeft w:val="0"/>
      <w:marRight w:val="0"/>
      <w:marTop w:val="0"/>
      <w:marBottom w:val="0"/>
      <w:divBdr>
        <w:top w:val="none" w:sz="0" w:space="0" w:color="auto"/>
        <w:left w:val="none" w:sz="0" w:space="0" w:color="auto"/>
        <w:bottom w:val="none" w:sz="0" w:space="0" w:color="auto"/>
        <w:right w:val="none" w:sz="0" w:space="0" w:color="auto"/>
      </w:divBdr>
    </w:div>
    <w:div w:id="793408953">
      <w:bodyDiv w:val="1"/>
      <w:marLeft w:val="0"/>
      <w:marRight w:val="0"/>
      <w:marTop w:val="0"/>
      <w:marBottom w:val="0"/>
      <w:divBdr>
        <w:top w:val="none" w:sz="0" w:space="0" w:color="auto"/>
        <w:left w:val="none" w:sz="0" w:space="0" w:color="auto"/>
        <w:bottom w:val="none" w:sz="0" w:space="0" w:color="auto"/>
        <w:right w:val="none" w:sz="0" w:space="0" w:color="auto"/>
      </w:divBdr>
    </w:div>
    <w:div w:id="814879976">
      <w:bodyDiv w:val="1"/>
      <w:marLeft w:val="0"/>
      <w:marRight w:val="0"/>
      <w:marTop w:val="0"/>
      <w:marBottom w:val="0"/>
      <w:divBdr>
        <w:top w:val="none" w:sz="0" w:space="0" w:color="auto"/>
        <w:left w:val="none" w:sz="0" w:space="0" w:color="auto"/>
        <w:bottom w:val="none" w:sz="0" w:space="0" w:color="auto"/>
        <w:right w:val="none" w:sz="0" w:space="0" w:color="auto"/>
      </w:divBdr>
    </w:div>
    <w:div w:id="886838061">
      <w:bodyDiv w:val="1"/>
      <w:marLeft w:val="0"/>
      <w:marRight w:val="0"/>
      <w:marTop w:val="0"/>
      <w:marBottom w:val="0"/>
      <w:divBdr>
        <w:top w:val="none" w:sz="0" w:space="0" w:color="auto"/>
        <w:left w:val="none" w:sz="0" w:space="0" w:color="auto"/>
        <w:bottom w:val="none" w:sz="0" w:space="0" w:color="auto"/>
        <w:right w:val="none" w:sz="0" w:space="0" w:color="auto"/>
      </w:divBdr>
    </w:div>
    <w:div w:id="887842059">
      <w:bodyDiv w:val="1"/>
      <w:marLeft w:val="0"/>
      <w:marRight w:val="0"/>
      <w:marTop w:val="0"/>
      <w:marBottom w:val="0"/>
      <w:divBdr>
        <w:top w:val="none" w:sz="0" w:space="0" w:color="auto"/>
        <w:left w:val="none" w:sz="0" w:space="0" w:color="auto"/>
        <w:bottom w:val="none" w:sz="0" w:space="0" w:color="auto"/>
        <w:right w:val="none" w:sz="0" w:space="0" w:color="auto"/>
      </w:divBdr>
    </w:div>
    <w:div w:id="898976873">
      <w:bodyDiv w:val="1"/>
      <w:marLeft w:val="0"/>
      <w:marRight w:val="0"/>
      <w:marTop w:val="0"/>
      <w:marBottom w:val="0"/>
      <w:divBdr>
        <w:top w:val="none" w:sz="0" w:space="0" w:color="auto"/>
        <w:left w:val="none" w:sz="0" w:space="0" w:color="auto"/>
        <w:bottom w:val="none" w:sz="0" w:space="0" w:color="auto"/>
        <w:right w:val="none" w:sz="0" w:space="0" w:color="auto"/>
      </w:divBdr>
    </w:div>
    <w:div w:id="899099521">
      <w:bodyDiv w:val="1"/>
      <w:marLeft w:val="0"/>
      <w:marRight w:val="0"/>
      <w:marTop w:val="0"/>
      <w:marBottom w:val="0"/>
      <w:divBdr>
        <w:top w:val="none" w:sz="0" w:space="0" w:color="auto"/>
        <w:left w:val="none" w:sz="0" w:space="0" w:color="auto"/>
        <w:bottom w:val="none" w:sz="0" w:space="0" w:color="auto"/>
        <w:right w:val="none" w:sz="0" w:space="0" w:color="auto"/>
      </w:divBdr>
    </w:div>
    <w:div w:id="905607962">
      <w:bodyDiv w:val="1"/>
      <w:marLeft w:val="0"/>
      <w:marRight w:val="0"/>
      <w:marTop w:val="0"/>
      <w:marBottom w:val="0"/>
      <w:divBdr>
        <w:top w:val="none" w:sz="0" w:space="0" w:color="auto"/>
        <w:left w:val="none" w:sz="0" w:space="0" w:color="auto"/>
        <w:bottom w:val="none" w:sz="0" w:space="0" w:color="auto"/>
        <w:right w:val="none" w:sz="0" w:space="0" w:color="auto"/>
      </w:divBdr>
    </w:div>
    <w:div w:id="906770616">
      <w:bodyDiv w:val="1"/>
      <w:marLeft w:val="0"/>
      <w:marRight w:val="0"/>
      <w:marTop w:val="0"/>
      <w:marBottom w:val="0"/>
      <w:divBdr>
        <w:top w:val="none" w:sz="0" w:space="0" w:color="auto"/>
        <w:left w:val="none" w:sz="0" w:space="0" w:color="auto"/>
        <w:bottom w:val="none" w:sz="0" w:space="0" w:color="auto"/>
        <w:right w:val="none" w:sz="0" w:space="0" w:color="auto"/>
      </w:divBdr>
    </w:div>
    <w:div w:id="919563785">
      <w:bodyDiv w:val="1"/>
      <w:marLeft w:val="0"/>
      <w:marRight w:val="0"/>
      <w:marTop w:val="0"/>
      <w:marBottom w:val="0"/>
      <w:divBdr>
        <w:top w:val="none" w:sz="0" w:space="0" w:color="auto"/>
        <w:left w:val="none" w:sz="0" w:space="0" w:color="auto"/>
        <w:bottom w:val="none" w:sz="0" w:space="0" w:color="auto"/>
        <w:right w:val="none" w:sz="0" w:space="0" w:color="auto"/>
      </w:divBdr>
    </w:div>
    <w:div w:id="929507355">
      <w:bodyDiv w:val="1"/>
      <w:marLeft w:val="0"/>
      <w:marRight w:val="0"/>
      <w:marTop w:val="0"/>
      <w:marBottom w:val="0"/>
      <w:divBdr>
        <w:top w:val="none" w:sz="0" w:space="0" w:color="auto"/>
        <w:left w:val="none" w:sz="0" w:space="0" w:color="auto"/>
        <w:bottom w:val="none" w:sz="0" w:space="0" w:color="auto"/>
        <w:right w:val="none" w:sz="0" w:space="0" w:color="auto"/>
      </w:divBdr>
    </w:div>
    <w:div w:id="962006286">
      <w:bodyDiv w:val="1"/>
      <w:marLeft w:val="0"/>
      <w:marRight w:val="0"/>
      <w:marTop w:val="0"/>
      <w:marBottom w:val="0"/>
      <w:divBdr>
        <w:top w:val="none" w:sz="0" w:space="0" w:color="auto"/>
        <w:left w:val="none" w:sz="0" w:space="0" w:color="auto"/>
        <w:bottom w:val="none" w:sz="0" w:space="0" w:color="auto"/>
        <w:right w:val="none" w:sz="0" w:space="0" w:color="auto"/>
      </w:divBdr>
    </w:div>
    <w:div w:id="966544927">
      <w:bodyDiv w:val="1"/>
      <w:marLeft w:val="0"/>
      <w:marRight w:val="0"/>
      <w:marTop w:val="0"/>
      <w:marBottom w:val="0"/>
      <w:divBdr>
        <w:top w:val="none" w:sz="0" w:space="0" w:color="auto"/>
        <w:left w:val="none" w:sz="0" w:space="0" w:color="auto"/>
        <w:bottom w:val="none" w:sz="0" w:space="0" w:color="auto"/>
        <w:right w:val="none" w:sz="0" w:space="0" w:color="auto"/>
      </w:divBdr>
    </w:div>
    <w:div w:id="975065229">
      <w:bodyDiv w:val="1"/>
      <w:marLeft w:val="0"/>
      <w:marRight w:val="0"/>
      <w:marTop w:val="0"/>
      <w:marBottom w:val="0"/>
      <w:divBdr>
        <w:top w:val="none" w:sz="0" w:space="0" w:color="auto"/>
        <w:left w:val="none" w:sz="0" w:space="0" w:color="auto"/>
        <w:bottom w:val="none" w:sz="0" w:space="0" w:color="auto"/>
        <w:right w:val="none" w:sz="0" w:space="0" w:color="auto"/>
      </w:divBdr>
    </w:div>
    <w:div w:id="984358804">
      <w:bodyDiv w:val="1"/>
      <w:marLeft w:val="0"/>
      <w:marRight w:val="0"/>
      <w:marTop w:val="0"/>
      <w:marBottom w:val="0"/>
      <w:divBdr>
        <w:top w:val="none" w:sz="0" w:space="0" w:color="auto"/>
        <w:left w:val="none" w:sz="0" w:space="0" w:color="auto"/>
        <w:bottom w:val="none" w:sz="0" w:space="0" w:color="auto"/>
        <w:right w:val="none" w:sz="0" w:space="0" w:color="auto"/>
      </w:divBdr>
    </w:div>
    <w:div w:id="1023291082">
      <w:bodyDiv w:val="1"/>
      <w:marLeft w:val="0"/>
      <w:marRight w:val="0"/>
      <w:marTop w:val="0"/>
      <w:marBottom w:val="0"/>
      <w:divBdr>
        <w:top w:val="none" w:sz="0" w:space="0" w:color="auto"/>
        <w:left w:val="none" w:sz="0" w:space="0" w:color="auto"/>
        <w:bottom w:val="none" w:sz="0" w:space="0" w:color="auto"/>
        <w:right w:val="none" w:sz="0" w:space="0" w:color="auto"/>
      </w:divBdr>
    </w:div>
    <w:div w:id="1050960185">
      <w:bodyDiv w:val="1"/>
      <w:marLeft w:val="0"/>
      <w:marRight w:val="0"/>
      <w:marTop w:val="0"/>
      <w:marBottom w:val="0"/>
      <w:divBdr>
        <w:top w:val="none" w:sz="0" w:space="0" w:color="auto"/>
        <w:left w:val="none" w:sz="0" w:space="0" w:color="auto"/>
        <w:bottom w:val="none" w:sz="0" w:space="0" w:color="auto"/>
        <w:right w:val="none" w:sz="0" w:space="0" w:color="auto"/>
      </w:divBdr>
    </w:div>
    <w:div w:id="1060788326">
      <w:bodyDiv w:val="1"/>
      <w:marLeft w:val="0"/>
      <w:marRight w:val="0"/>
      <w:marTop w:val="0"/>
      <w:marBottom w:val="0"/>
      <w:divBdr>
        <w:top w:val="none" w:sz="0" w:space="0" w:color="auto"/>
        <w:left w:val="none" w:sz="0" w:space="0" w:color="auto"/>
        <w:bottom w:val="none" w:sz="0" w:space="0" w:color="auto"/>
        <w:right w:val="none" w:sz="0" w:space="0" w:color="auto"/>
      </w:divBdr>
    </w:div>
    <w:div w:id="1073358112">
      <w:bodyDiv w:val="1"/>
      <w:marLeft w:val="0"/>
      <w:marRight w:val="0"/>
      <w:marTop w:val="0"/>
      <w:marBottom w:val="0"/>
      <w:divBdr>
        <w:top w:val="none" w:sz="0" w:space="0" w:color="auto"/>
        <w:left w:val="none" w:sz="0" w:space="0" w:color="auto"/>
        <w:bottom w:val="none" w:sz="0" w:space="0" w:color="auto"/>
        <w:right w:val="none" w:sz="0" w:space="0" w:color="auto"/>
      </w:divBdr>
    </w:div>
    <w:div w:id="1075467792">
      <w:bodyDiv w:val="1"/>
      <w:marLeft w:val="0"/>
      <w:marRight w:val="0"/>
      <w:marTop w:val="0"/>
      <w:marBottom w:val="0"/>
      <w:divBdr>
        <w:top w:val="none" w:sz="0" w:space="0" w:color="auto"/>
        <w:left w:val="none" w:sz="0" w:space="0" w:color="auto"/>
        <w:bottom w:val="none" w:sz="0" w:space="0" w:color="auto"/>
        <w:right w:val="none" w:sz="0" w:space="0" w:color="auto"/>
      </w:divBdr>
    </w:div>
    <w:div w:id="1093547528">
      <w:bodyDiv w:val="1"/>
      <w:marLeft w:val="0"/>
      <w:marRight w:val="0"/>
      <w:marTop w:val="0"/>
      <w:marBottom w:val="0"/>
      <w:divBdr>
        <w:top w:val="none" w:sz="0" w:space="0" w:color="auto"/>
        <w:left w:val="none" w:sz="0" w:space="0" w:color="auto"/>
        <w:bottom w:val="none" w:sz="0" w:space="0" w:color="auto"/>
        <w:right w:val="none" w:sz="0" w:space="0" w:color="auto"/>
      </w:divBdr>
    </w:div>
    <w:div w:id="1125660574">
      <w:bodyDiv w:val="1"/>
      <w:marLeft w:val="0"/>
      <w:marRight w:val="0"/>
      <w:marTop w:val="0"/>
      <w:marBottom w:val="0"/>
      <w:divBdr>
        <w:top w:val="none" w:sz="0" w:space="0" w:color="auto"/>
        <w:left w:val="none" w:sz="0" w:space="0" w:color="auto"/>
        <w:bottom w:val="none" w:sz="0" w:space="0" w:color="auto"/>
        <w:right w:val="none" w:sz="0" w:space="0" w:color="auto"/>
      </w:divBdr>
    </w:div>
    <w:div w:id="1178731910">
      <w:bodyDiv w:val="1"/>
      <w:marLeft w:val="0"/>
      <w:marRight w:val="0"/>
      <w:marTop w:val="0"/>
      <w:marBottom w:val="0"/>
      <w:divBdr>
        <w:top w:val="none" w:sz="0" w:space="0" w:color="auto"/>
        <w:left w:val="none" w:sz="0" w:space="0" w:color="auto"/>
        <w:bottom w:val="none" w:sz="0" w:space="0" w:color="auto"/>
        <w:right w:val="none" w:sz="0" w:space="0" w:color="auto"/>
      </w:divBdr>
    </w:div>
    <w:div w:id="1226450968">
      <w:bodyDiv w:val="1"/>
      <w:marLeft w:val="0"/>
      <w:marRight w:val="0"/>
      <w:marTop w:val="0"/>
      <w:marBottom w:val="0"/>
      <w:divBdr>
        <w:top w:val="none" w:sz="0" w:space="0" w:color="auto"/>
        <w:left w:val="none" w:sz="0" w:space="0" w:color="auto"/>
        <w:bottom w:val="none" w:sz="0" w:space="0" w:color="auto"/>
        <w:right w:val="none" w:sz="0" w:space="0" w:color="auto"/>
      </w:divBdr>
    </w:div>
    <w:div w:id="1229224043">
      <w:bodyDiv w:val="1"/>
      <w:marLeft w:val="0"/>
      <w:marRight w:val="0"/>
      <w:marTop w:val="0"/>
      <w:marBottom w:val="0"/>
      <w:divBdr>
        <w:top w:val="none" w:sz="0" w:space="0" w:color="auto"/>
        <w:left w:val="none" w:sz="0" w:space="0" w:color="auto"/>
        <w:bottom w:val="none" w:sz="0" w:space="0" w:color="auto"/>
        <w:right w:val="none" w:sz="0" w:space="0" w:color="auto"/>
      </w:divBdr>
    </w:div>
    <w:div w:id="1244995386">
      <w:bodyDiv w:val="1"/>
      <w:marLeft w:val="0"/>
      <w:marRight w:val="0"/>
      <w:marTop w:val="0"/>
      <w:marBottom w:val="0"/>
      <w:divBdr>
        <w:top w:val="none" w:sz="0" w:space="0" w:color="auto"/>
        <w:left w:val="none" w:sz="0" w:space="0" w:color="auto"/>
        <w:bottom w:val="none" w:sz="0" w:space="0" w:color="auto"/>
        <w:right w:val="none" w:sz="0" w:space="0" w:color="auto"/>
      </w:divBdr>
    </w:div>
    <w:div w:id="1300912593">
      <w:bodyDiv w:val="1"/>
      <w:marLeft w:val="0"/>
      <w:marRight w:val="0"/>
      <w:marTop w:val="0"/>
      <w:marBottom w:val="0"/>
      <w:divBdr>
        <w:top w:val="none" w:sz="0" w:space="0" w:color="auto"/>
        <w:left w:val="none" w:sz="0" w:space="0" w:color="auto"/>
        <w:bottom w:val="none" w:sz="0" w:space="0" w:color="auto"/>
        <w:right w:val="none" w:sz="0" w:space="0" w:color="auto"/>
      </w:divBdr>
    </w:div>
    <w:div w:id="1311473494">
      <w:bodyDiv w:val="1"/>
      <w:marLeft w:val="0"/>
      <w:marRight w:val="0"/>
      <w:marTop w:val="0"/>
      <w:marBottom w:val="0"/>
      <w:divBdr>
        <w:top w:val="none" w:sz="0" w:space="0" w:color="auto"/>
        <w:left w:val="none" w:sz="0" w:space="0" w:color="auto"/>
        <w:bottom w:val="none" w:sz="0" w:space="0" w:color="auto"/>
        <w:right w:val="none" w:sz="0" w:space="0" w:color="auto"/>
      </w:divBdr>
    </w:div>
    <w:div w:id="1342050611">
      <w:bodyDiv w:val="1"/>
      <w:marLeft w:val="0"/>
      <w:marRight w:val="0"/>
      <w:marTop w:val="0"/>
      <w:marBottom w:val="0"/>
      <w:divBdr>
        <w:top w:val="none" w:sz="0" w:space="0" w:color="auto"/>
        <w:left w:val="none" w:sz="0" w:space="0" w:color="auto"/>
        <w:bottom w:val="none" w:sz="0" w:space="0" w:color="auto"/>
        <w:right w:val="none" w:sz="0" w:space="0" w:color="auto"/>
      </w:divBdr>
    </w:div>
    <w:div w:id="1347710309">
      <w:bodyDiv w:val="1"/>
      <w:marLeft w:val="0"/>
      <w:marRight w:val="0"/>
      <w:marTop w:val="0"/>
      <w:marBottom w:val="0"/>
      <w:divBdr>
        <w:top w:val="none" w:sz="0" w:space="0" w:color="auto"/>
        <w:left w:val="none" w:sz="0" w:space="0" w:color="auto"/>
        <w:bottom w:val="none" w:sz="0" w:space="0" w:color="auto"/>
        <w:right w:val="none" w:sz="0" w:space="0" w:color="auto"/>
      </w:divBdr>
    </w:div>
    <w:div w:id="1350257428">
      <w:bodyDiv w:val="1"/>
      <w:marLeft w:val="0"/>
      <w:marRight w:val="0"/>
      <w:marTop w:val="0"/>
      <w:marBottom w:val="0"/>
      <w:divBdr>
        <w:top w:val="none" w:sz="0" w:space="0" w:color="auto"/>
        <w:left w:val="none" w:sz="0" w:space="0" w:color="auto"/>
        <w:bottom w:val="none" w:sz="0" w:space="0" w:color="auto"/>
        <w:right w:val="none" w:sz="0" w:space="0" w:color="auto"/>
      </w:divBdr>
    </w:div>
    <w:div w:id="1350982777">
      <w:bodyDiv w:val="1"/>
      <w:marLeft w:val="0"/>
      <w:marRight w:val="0"/>
      <w:marTop w:val="0"/>
      <w:marBottom w:val="0"/>
      <w:divBdr>
        <w:top w:val="none" w:sz="0" w:space="0" w:color="auto"/>
        <w:left w:val="none" w:sz="0" w:space="0" w:color="auto"/>
        <w:bottom w:val="none" w:sz="0" w:space="0" w:color="auto"/>
        <w:right w:val="none" w:sz="0" w:space="0" w:color="auto"/>
      </w:divBdr>
    </w:div>
    <w:div w:id="1397632157">
      <w:bodyDiv w:val="1"/>
      <w:marLeft w:val="0"/>
      <w:marRight w:val="0"/>
      <w:marTop w:val="0"/>
      <w:marBottom w:val="0"/>
      <w:divBdr>
        <w:top w:val="none" w:sz="0" w:space="0" w:color="auto"/>
        <w:left w:val="none" w:sz="0" w:space="0" w:color="auto"/>
        <w:bottom w:val="none" w:sz="0" w:space="0" w:color="auto"/>
        <w:right w:val="none" w:sz="0" w:space="0" w:color="auto"/>
      </w:divBdr>
    </w:div>
    <w:div w:id="1402144237">
      <w:bodyDiv w:val="1"/>
      <w:marLeft w:val="0"/>
      <w:marRight w:val="0"/>
      <w:marTop w:val="0"/>
      <w:marBottom w:val="0"/>
      <w:divBdr>
        <w:top w:val="none" w:sz="0" w:space="0" w:color="auto"/>
        <w:left w:val="none" w:sz="0" w:space="0" w:color="auto"/>
        <w:bottom w:val="none" w:sz="0" w:space="0" w:color="auto"/>
        <w:right w:val="none" w:sz="0" w:space="0" w:color="auto"/>
      </w:divBdr>
    </w:div>
    <w:div w:id="1408303197">
      <w:bodyDiv w:val="1"/>
      <w:marLeft w:val="0"/>
      <w:marRight w:val="0"/>
      <w:marTop w:val="0"/>
      <w:marBottom w:val="0"/>
      <w:divBdr>
        <w:top w:val="none" w:sz="0" w:space="0" w:color="auto"/>
        <w:left w:val="none" w:sz="0" w:space="0" w:color="auto"/>
        <w:bottom w:val="none" w:sz="0" w:space="0" w:color="auto"/>
        <w:right w:val="none" w:sz="0" w:space="0" w:color="auto"/>
      </w:divBdr>
    </w:div>
    <w:div w:id="1446735260">
      <w:bodyDiv w:val="1"/>
      <w:marLeft w:val="0"/>
      <w:marRight w:val="0"/>
      <w:marTop w:val="0"/>
      <w:marBottom w:val="0"/>
      <w:divBdr>
        <w:top w:val="none" w:sz="0" w:space="0" w:color="auto"/>
        <w:left w:val="none" w:sz="0" w:space="0" w:color="auto"/>
        <w:bottom w:val="none" w:sz="0" w:space="0" w:color="auto"/>
        <w:right w:val="none" w:sz="0" w:space="0" w:color="auto"/>
      </w:divBdr>
    </w:div>
    <w:div w:id="1478718350">
      <w:bodyDiv w:val="1"/>
      <w:marLeft w:val="0"/>
      <w:marRight w:val="0"/>
      <w:marTop w:val="0"/>
      <w:marBottom w:val="0"/>
      <w:divBdr>
        <w:top w:val="none" w:sz="0" w:space="0" w:color="auto"/>
        <w:left w:val="none" w:sz="0" w:space="0" w:color="auto"/>
        <w:bottom w:val="none" w:sz="0" w:space="0" w:color="auto"/>
        <w:right w:val="none" w:sz="0" w:space="0" w:color="auto"/>
      </w:divBdr>
    </w:div>
    <w:div w:id="1497301305">
      <w:bodyDiv w:val="1"/>
      <w:marLeft w:val="0"/>
      <w:marRight w:val="0"/>
      <w:marTop w:val="0"/>
      <w:marBottom w:val="0"/>
      <w:divBdr>
        <w:top w:val="none" w:sz="0" w:space="0" w:color="auto"/>
        <w:left w:val="none" w:sz="0" w:space="0" w:color="auto"/>
        <w:bottom w:val="none" w:sz="0" w:space="0" w:color="auto"/>
        <w:right w:val="none" w:sz="0" w:space="0" w:color="auto"/>
      </w:divBdr>
    </w:div>
    <w:div w:id="1500656099">
      <w:bodyDiv w:val="1"/>
      <w:marLeft w:val="0"/>
      <w:marRight w:val="0"/>
      <w:marTop w:val="0"/>
      <w:marBottom w:val="0"/>
      <w:divBdr>
        <w:top w:val="none" w:sz="0" w:space="0" w:color="auto"/>
        <w:left w:val="none" w:sz="0" w:space="0" w:color="auto"/>
        <w:bottom w:val="none" w:sz="0" w:space="0" w:color="auto"/>
        <w:right w:val="none" w:sz="0" w:space="0" w:color="auto"/>
      </w:divBdr>
    </w:div>
    <w:div w:id="1516656477">
      <w:bodyDiv w:val="1"/>
      <w:marLeft w:val="0"/>
      <w:marRight w:val="0"/>
      <w:marTop w:val="0"/>
      <w:marBottom w:val="0"/>
      <w:divBdr>
        <w:top w:val="none" w:sz="0" w:space="0" w:color="auto"/>
        <w:left w:val="none" w:sz="0" w:space="0" w:color="auto"/>
        <w:bottom w:val="none" w:sz="0" w:space="0" w:color="auto"/>
        <w:right w:val="none" w:sz="0" w:space="0" w:color="auto"/>
      </w:divBdr>
    </w:div>
    <w:div w:id="1522167111">
      <w:bodyDiv w:val="1"/>
      <w:marLeft w:val="0"/>
      <w:marRight w:val="0"/>
      <w:marTop w:val="0"/>
      <w:marBottom w:val="0"/>
      <w:divBdr>
        <w:top w:val="none" w:sz="0" w:space="0" w:color="auto"/>
        <w:left w:val="none" w:sz="0" w:space="0" w:color="auto"/>
        <w:bottom w:val="none" w:sz="0" w:space="0" w:color="auto"/>
        <w:right w:val="none" w:sz="0" w:space="0" w:color="auto"/>
      </w:divBdr>
    </w:div>
    <w:div w:id="1549680139">
      <w:bodyDiv w:val="1"/>
      <w:marLeft w:val="0"/>
      <w:marRight w:val="0"/>
      <w:marTop w:val="0"/>
      <w:marBottom w:val="0"/>
      <w:divBdr>
        <w:top w:val="none" w:sz="0" w:space="0" w:color="auto"/>
        <w:left w:val="none" w:sz="0" w:space="0" w:color="auto"/>
        <w:bottom w:val="none" w:sz="0" w:space="0" w:color="auto"/>
        <w:right w:val="none" w:sz="0" w:space="0" w:color="auto"/>
      </w:divBdr>
    </w:div>
    <w:div w:id="1571423810">
      <w:bodyDiv w:val="1"/>
      <w:marLeft w:val="0"/>
      <w:marRight w:val="0"/>
      <w:marTop w:val="0"/>
      <w:marBottom w:val="0"/>
      <w:divBdr>
        <w:top w:val="none" w:sz="0" w:space="0" w:color="auto"/>
        <w:left w:val="none" w:sz="0" w:space="0" w:color="auto"/>
        <w:bottom w:val="none" w:sz="0" w:space="0" w:color="auto"/>
        <w:right w:val="none" w:sz="0" w:space="0" w:color="auto"/>
      </w:divBdr>
    </w:div>
    <w:div w:id="1614243220">
      <w:bodyDiv w:val="1"/>
      <w:marLeft w:val="0"/>
      <w:marRight w:val="0"/>
      <w:marTop w:val="0"/>
      <w:marBottom w:val="0"/>
      <w:divBdr>
        <w:top w:val="none" w:sz="0" w:space="0" w:color="auto"/>
        <w:left w:val="none" w:sz="0" w:space="0" w:color="auto"/>
        <w:bottom w:val="none" w:sz="0" w:space="0" w:color="auto"/>
        <w:right w:val="none" w:sz="0" w:space="0" w:color="auto"/>
      </w:divBdr>
    </w:div>
    <w:div w:id="1623072350">
      <w:bodyDiv w:val="1"/>
      <w:marLeft w:val="0"/>
      <w:marRight w:val="0"/>
      <w:marTop w:val="0"/>
      <w:marBottom w:val="0"/>
      <w:divBdr>
        <w:top w:val="none" w:sz="0" w:space="0" w:color="auto"/>
        <w:left w:val="none" w:sz="0" w:space="0" w:color="auto"/>
        <w:bottom w:val="none" w:sz="0" w:space="0" w:color="auto"/>
        <w:right w:val="none" w:sz="0" w:space="0" w:color="auto"/>
      </w:divBdr>
    </w:div>
    <w:div w:id="1628509680">
      <w:bodyDiv w:val="1"/>
      <w:marLeft w:val="0"/>
      <w:marRight w:val="0"/>
      <w:marTop w:val="0"/>
      <w:marBottom w:val="0"/>
      <w:divBdr>
        <w:top w:val="none" w:sz="0" w:space="0" w:color="auto"/>
        <w:left w:val="none" w:sz="0" w:space="0" w:color="auto"/>
        <w:bottom w:val="none" w:sz="0" w:space="0" w:color="auto"/>
        <w:right w:val="none" w:sz="0" w:space="0" w:color="auto"/>
      </w:divBdr>
    </w:div>
    <w:div w:id="1633712947">
      <w:bodyDiv w:val="1"/>
      <w:marLeft w:val="0"/>
      <w:marRight w:val="0"/>
      <w:marTop w:val="0"/>
      <w:marBottom w:val="0"/>
      <w:divBdr>
        <w:top w:val="none" w:sz="0" w:space="0" w:color="auto"/>
        <w:left w:val="none" w:sz="0" w:space="0" w:color="auto"/>
        <w:bottom w:val="none" w:sz="0" w:space="0" w:color="auto"/>
        <w:right w:val="none" w:sz="0" w:space="0" w:color="auto"/>
      </w:divBdr>
    </w:div>
    <w:div w:id="1685786777">
      <w:bodyDiv w:val="1"/>
      <w:marLeft w:val="0"/>
      <w:marRight w:val="0"/>
      <w:marTop w:val="0"/>
      <w:marBottom w:val="0"/>
      <w:divBdr>
        <w:top w:val="none" w:sz="0" w:space="0" w:color="auto"/>
        <w:left w:val="none" w:sz="0" w:space="0" w:color="auto"/>
        <w:bottom w:val="none" w:sz="0" w:space="0" w:color="auto"/>
        <w:right w:val="none" w:sz="0" w:space="0" w:color="auto"/>
      </w:divBdr>
    </w:div>
    <w:div w:id="1695881761">
      <w:bodyDiv w:val="1"/>
      <w:marLeft w:val="0"/>
      <w:marRight w:val="0"/>
      <w:marTop w:val="0"/>
      <w:marBottom w:val="0"/>
      <w:divBdr>
        <w:top w:val="none" w:sz="0" w:space="0" w:color="auto"/>
        <w:left w:val="none" w:sz="0" w:space="0" w:color="auto"/>
        <w:bottom w:val="none" w:sz="0" w:space="0" w:color="auto"/>
        <w:right w:val="none" w:sz="0" w:space="0" w:color="auto"/>
      </w:divBdr>
    </w:div>
    <w:div w:id="1696497234">
      <w:bodyDiv w:val="1"/>
      <w:marLeft w:val="0"/>
      <w:marRight w:val="0"/>
      <w:marTop w:val="0"/>
      <w:marBottom w:val="0"/>
      <w:divBdr>
        <w:top w:val="none" w:sz="0" w:space="0" w:color="auto"/>
        <w:left w:val="none" w:sz="0" w:space="0" w:color="auto"/>
        <w:bottom w:val="none" w:sz="0" w:space="0" w:color="auto"/>
        <w:right w:val="none" w:sz="0" w:space="0" w:color="auto"/>
      </w:divBdr>
    </w:div>
    <w:div w:id="1715693035">
      <w:bodyDiv w:val="1"/>
      <w:marLeft w:val="0"/>
      <w:marRight w:val="0"/>
      <w:marTop w:val="0"/>
      <w:marBottom w:val="0"/>
      <w:divBdr>
        <w:top w:val="none" w:sz="0" w:space="0" w:color="auto"/>
        <w:left w:val="none" w:sz="0" w:space="0" w:color="auto"/>
        <w:bottom w:val="none" w:sz="0" w:space="0" w:color="auto"/>
        <w:right w:val="none" w:sz="0" w:space="0" w:color="auto"/>
      </w:divBdr>
    </w:div>
    <w:div w:id="1725982304">
      <w:bodyDiv w:val="1"/>
      <w:marLeft w:val="0"/>
      <w:marRight w:val="0"/>
      <w:marTop w:val="0"/>
      <w:marBottom w:val="0"/>
      <w:divBdr>
        <w:top w:val="none" w:sz="0" w:space="0" w:color="auto"/>
        <w:left w:val="none" w:sz="0" w:space="0" w:color="auto"/>
        <w:bottom w:val="none" w:sz="0" w:space="0" w:color="auto"/>
        <w:right w:val="none" w:sz="0" w:space="0" w:color="auto"/>
      </w:divBdr>
    </w:div>
    <w:div w:id="1752509764">
      <w:bodyDiv w:val="1"/>
      <w:marLeft w:val="0"/>
      <w:marRight w:val="0"/>
      <w:marTop w:val="0"/>
      <w:marBottom w:val="0"/>
      <w:divBdr>
        <w:top w:val="none" w:sz="0" w:space="0" w:color="auto"/>
        <w:left w:val="none" w:sz="0" w:space="0" w:color="auto"/>
        <w:bottom w:val="none" w:sz="0" w:space="0" w:color="auto"/>
        <w:right w:val="none" w:sz="0" w:space="0" w:color="auto"/>
      </w:divBdr>
    </w:div>
    <w:div w:id="1754278939">
      <w:bodyDiv w:val="1"/>
      <w:marLeft w:val="0"/>
      <w:marRight w:val="0"/>
      <w:marTop w:val="0"/>
      <w:marBottom w:val="0"/>
      <w:divBdr>
        <w:top w:val="none" w:sz="0" w:space="0" w:color="auto"/>
        <w:left w:val="none" w:sz="0" w:space="0" w:color="auto"/>
        <w:bottom w:val="none" w:sz="0" w:space="0" w:color="auto"/>
        <w:right w:val="none" w:sz="0" w:space="0" w:color="auto"/>
      </w:divBdr>
    </w:div>
    <w:div w:id="1788505232">
      <w:bodyDiv w:val="1"/>
      <w:marLeft w:val="0"/>
      <w:marRight w:val="0"/>
      <w:marTop w:val="0"/>
      <w:marBottom w:val="0"/>
      <w:divBdr>
        <w:top w:val="none" w:sz="0" w:space="0" w:color="auto"/>
        <w:left w:val="none" w:sz="0" w:space="0" w:color="auto"/>
        <w:bottom w:val="none" w:sz="0" w:space="0" w:color="auto"/>
        <w:right w:val="none" w:sz="0" w:space="0" w:color="auto"/>
      </w:divBdr>
    </w:div>
    <w:div w:id="1809280459">
      <w:bodyDiv w:val="1"/>
      <w:marLeft w:val="0"/>
      <w:marRight w:val="0"/>
      <w:marTop w:val="0"/>
      <w:marBottom w:val="0"/>
      <w:divBdr>
        <w:top w:val="none" w:sz="0" w:space="0" w:color="auto"/>
        <w:left w:val="none" w:sz="0" w:space="0" w:color="auto"/>
        <w:bottom w:val="none" w:sz="0" w:space="0" w:color="auto"/>
        <w:right w:val="none" w:sz="0" w:space="0" w:color="auto"/>
      </w:divBdr>
    </w:div>
    <w:div w:id="1814365817">
      <w:bodyDiv w:val="1"/>
      <w:marLeft w:val="0"/>
      <w:marRight w:val="0"/>
      <w:marTop w:val="0"/>
      <w:marBottom w:val="0"/>
      <w:divBdr>
        <w:top w:val="none" w:sz="0" w:space="0" w:color="auto"/>
        <w:left w:val="none" w:sz="0" w:space="0" w:color="auto"/>
        <w:bottom w:val="none" w:sz="0" w:space="0" w:color="auto"/>
        <w:right w:val="none" w:sz="0" w:space="0" w:color="auto"/>
      </w:divBdr>
    </w:div>
    <w:div w:id="1816877839">
      <w:bodyDiv w:val="1"/>
      <w:marLeft w:val="0"/>
      <w:marRight w:val="0"/>
      <w:marTop w:val="0"/>
      <w:marBottom w:val="0"/>
      <w:divBdr>
        <w:top w:val="none" w:sz="0" w:space="0" w:color="auto"/>
        <w:left w:val="none" w:sz="0" w:space="0" w:color="auto"/>
        <w:bottom w:val="none" w:sz="0" w:space="0" w:color="auto"/>
        <w:right w:val="none" w:sz="0" w:space="0" w:color="auto"/>
      </w:divBdr>
    </w:div>
    <w:div w:id="1876041670">
      <w:bodyDiv w:val="1"/>
      <w:marLeft w:val="0"/>
      <w:marRight w:val="0"/>
      <w:marTop w:val="0"/>
      <w:marBottom w:val="0"/>
      <w:divBdr>
        <w:top w:val="none" w:sz="0" w:space="0" w:color="auto"/>
        <w:left w:val="none" w:sz="0" w:space="0" w:color="auto"/>
        <w:bottom w:val="none" w:sz="0" w:space="0" w:color="auto"/>
        <w:right w:val="none" w:sz="0" w:space="0" w:color="auto"/>
      </w:divBdr>
    </w:div>
    <w:div w:id="1893729107">
      <w:bodyDiv w:val="1"/>
      <w:marLeft w:val="0"/>
      <w:marRight w:val="0"/>
      <w:marTop w:val="0"/>
      <w:marBottom w:val="0"/>
      <w:divBdr>
        <w:top w:val="none" w:sz="0" w:space="0" w:color="auto"/>
        <w:left w:val="none" w:sz="0" w:space="0" w:color="auto"/>
        <w:bottom w:val="none" w:sz="0" w:space="0" w:color="auto"/>
        <w:right w:val="none" w:sz="0" w:space="0" w:color="auto"/>
      </w:divBdr>
    </w:div>
    <w:div w:id="2086367691">
      <w:bodyDiv w:val="1"/>
      <w:marLeft w:val="0"/>
      <w:marRight w:val="0"/>
      <w:marTop w:val="0"/>
      <w:marBottom w:val="0"/>
      <w:divBdr>
        <w:top w:val="none" w:sz="0" w:space="0" w:color="auto"/>
        <w:left w:val="none" w:sz="0" w:space="0" w:color="auto"/>
        <w:bottom w:val="none" w:sz="0" w:space="0" w:color="auto"/>
        <w:right w:val="none" w:sz="0" w:space="0" w:color="auto"/>
      </w:divBdr>
    </w:div>
    <w:div w:id="2087991594">
      <w:bodyDiv w:val="1"/>
      <w:marLeft w:val="0"/>
      <w:marRight w:val="0"/>
      <w:marTop w:val="0"/>
      <w:marBottom w:val="0"/>
      <w:divBdr>
        <w:top w:val="none" w:sz="0" w:space="0" w:color="auto"/>
        <w:left w:val="none" w:sz="0" w:space="0" w:color="auto"/>
        <w:bottom w:val="none" w:sz="0" w:space="0" w:color="auto"/>
        <w:right w:val="none" w:sz="0" w:space="0" w:color="auto"/>
      </w:divBdr>
    </w:div>
    <w:div w:id="2104569377">
      <w:bodyDiv w:val="1"/>
      <w:marLeft w:val="0"/>
      <w:marRight w:val="0"/>
      <w:marTop w:val="0"/>
      <w:marBottom w:val="0"/>
      <w:divBdr>
        <w:top w:val="none" w:sz="0" w:space="0" w:color="auto"/>
        <w:left w:val="none" w:sz="0" w:space="0" w:color="auto"/>
        <w:bottom w:val="none" w:sz="0" w:space="0" w:color="auto"/>
        <w:right w:val="none" w:sz="0" w:space="0" w:color="auto"/>
      </w:divBdr>
    </w:div>
    <w:div w:id="2112621219">
      <w:bodyDiv w:val="1"/>
      <w:marLeft w:val="0"/>
      <w:marRight w:val="0"/>
      <w:marTop w:val="0"/>
      <w:marBottom w:val="0"/>
      <w:divBdr>
        <w:top w:val="none" w:sz="0" w:space="0" w:color="auto"/>
        <w:left w:val="none" w:sz="0" w:space="0" w:color="auto"/>
        <w:bottom w:val="none" w:sz="0" w:space="0" w:color="auto"/>
        <w:right w:val="none" w:sz="0" w:space="0" w:color="auto"/>
      </w:divBdr>
    </w:div>
    <w:div w:id="2127045099">
      <w:bodyDiv w:val="1"/>
      <w:marLeft w:val="0"/>
      <w:marRight w:val="0"/>
      <w:marTop w:val="0"/>
      <w:marBottom w:val="0"/>
      <w:divBdr>
        <w:top w:val="none" w:sz="0" w:space="0" w:color="auto"/>
        <w:left w:val="none" w:sz="0" w:space="0" w:color="auto"/>
        <w:bottom w:val="none" w:sz="0" w:space="0" w:color="auto"/>
        <w:right w:val="none" w:sz="0" w:space="0" w:color="auto"/>
      </w:divBdr>
    </w:div>
    <w:div w:id="2139258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package" Target="embeddings/______Microsoft_PowerPoint16.sldx"/><Relationship Id="rId21" Type="http://schemas.openxmlformats.org/officeDocument/2006/relationships/chart" Target="charts/chart9.xml"/><Relationship Id="rId34" Type="http://schemas.openxmlformats.org/officeDocument/2006/relationships/package" Target="embeddings/______Microsoft_PowerPoint14.sldx"/><Relationship Id="rId42" Type="http://schemas.openxmlformats.org/officeDocument/2006/relationships/image" Target="media/image11.emf"/><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hyperlink" Target="http://internet.garant.ru/document/redirect/12160914/0" TargetMode="External"/><Relationship Id="rId63" Type="http://schemas.openxmlformats.org/officeDocument/2006/relationships/chart" Target="charts/chart23.xml"/><Relationship Id="rId68"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amp;base=RLAW076&amp;n=75444&amp;dst=100016" TargetMode="External"/><Relationship Id="rId24" Type="http://schemas.openxmlformats.org/officeDocument/2006/relationships/chart" Target="charts/chart12.xml"/><Relationship Id="rId32" Type="http://schemas.openxmlformats.org/officeDocument/2006/relationships/package" Target="embeddings/______Microsoft_PowerPoint13.sldx"/><Relationship Id="rId37" Type="http://schemas.openxmlformats.org/officeDocument/2006/relationships/hyperlink" Target="consultantplus://offline/ref=F27C0E28E4D036841365EEEE2A5AA297EA6CB0F8E01CCD9B17004928A50BC2C388BC33BE2B994337t6uBF" TargetMode="External"/><Relationship Id="rId40" Type="http://schemas.openxmlformats.org/officeDocument/2006/relationships/hyperlink" Target="https://raexpert.ru/ratings/regioncredit/" TargetMode="External"/><Relationship Id="rId45" Type="http://schemas.openxmlformats.org/officeDocument/2006/relationships/chart" Target="charts/chart16.xml"/><Relationship Id="rId53" Type="http://schemas.openxmlformats.org/officeDocument/2006/relationships/image" Target="media/image17.png"/><Relationship Id="rId58" Type="http://schemas.openxmlformats.org/officeDocument/2006/relationships/image" Target="media/image18.png"/><Relationship Id="rId66" Type="http://schemas.openxmlformats.org/officeDocument/2006/relationships/chart" Target="charts/chart26.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1.xml"/><Relationship Id="rId28" Type="http://schemas.openxmlformats.org/officeDocument/2006/relationships/package" Target="embeddings/______Microsoft_PowerPoint.sldx"/><Relationship Id="rId36" Type="http://schemas.openxmlformats.org/officeDocument/2006/relationships/package" Target="embeddings/______Microsoft_PowerPoint15.sldx"/><Relationship Id="rId49" Type="http://schemas.openxmlformats.org/officeDocument/2006/relationships/image" Target="media/image14.png"/><Relationship Id="rId57" Type="http://schemas.openxmlformats.org/officeDocument/2006/relationships/chart" Target="charts/chart19.xml"/><Relationship Id="rId61" Type="http://schemas.openxmlformats.org/officeDocument/2006/relationships/chart" Target="charts/chart21.xml"/><Relationship Id="rId10" Type="http://schemas.openxmlformats.org/officeDocument/2006/relationships/hyperlink" Target="https://xn--80aapampemcchfmo7a3c9ehj.xn--p1ai/new-projects/molodezh-i-deti/" TargetMode="External"/><Relationship Id="rId19" Type="http://schemas.openxmlformats.org/officeDocument/2006/relationships/chart" Target="charts/chart7.xml"/><Relationship Id="rId31" Type="http://schemas.openxmlformats.org/officeDocument/2006/relationships/image" Target="media/image7.emf"/><Relationship Id="rId44" Type="http://schemas.openxmlformats.org/officeDocument/2006/relationships/chart" Target="charts/chart15.xml"/><Relationship Id="rId52" Type="http://schemas.openxmlformats.org/officeDocument/2006/relationships/image" Target="media/image16.png"/><Relationship Id="rId60" Type="http://schemas.openxmlformats.org/officeDocument/2006/relationships/chart" Target="charts/chart20.xml"/><Relationship Id="rId65" Type="http://schemas.openxmlformats.org/officeDocument/2006/relationships/chart" Target="charts/chart25.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3.xml"/><Relationship Id="rId22" Type="http://schemas.openxmlformats.org/officeDocument/2006/relationships/chart" Target="charts/chart10.xml"/><Relationship Id="rId27" Type="http://schemas.openxmlformats.org/officeDocument/2006/relationships/image" Target="media/image5.emf"/><Relationship Id="rId30" Type="http://schemas.openxmlformats.org/officeDocument/2006/relationships/package" Target="embeddings/______Microsoft_PowerPoint12.sldx"/><Relationship Id="rId35" Type="http://schemas.openxmlformats.org/officeDocument/2006/relationships/image" Target="media/image9.emf"/><Relationship Id="rId43" Type="http://schemas.openxmlformats.org/officeDocument/2006/relationships/package" Target="embeddings/______Microsoft_PowerPoint17.sldx"/><Relationship Id="rId48" Type="http://schemas.openxmlformats.org/officeDocument/2006/relationships/image" Target="media/image13.png"/><Relationship Id="rId56" Type="http://schemas.openxmlformats.org/officeDocument/2006/relationships/hyperlink" Target="https://vk.com/wall-12892744_24787" TargetMode="External"/><Relationship Id="rId64" Type="http://schemas.openxmlformats.org/officeDocument/2006/relationships/chart" Target="charts/chart24.xm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18.xml"/><Relationship Id="rId3" Type="http://schemas.openxmlformats.org/officeDocument/2006/relationships/styles" Target="styles.xml"/><Relationship Id="rId12" Type="http://schemas.openxmlformats.org/officeDocument/2006/relationships/hyperlink" Target="https://www.gosfinansy.ru/" TargetMode="External"/><Relationship Id="rId17" Type="http://schemas.openxmlformats.org/officeDocument/2006/relationships/image" Target="media/image3.png"/><Relationship Id="rId25" Type="http://schemas.openxmlformats.org/officeDocument/2006/relationships/chart" Target="charts/chart13.xml"/><Relationship Id="rId33" Type="http://schemas.openxmlformats.org/officeDocument/2006/relationships/image" Target="media/image8.emf"/><Relationship Id="rId38" Type="http://schemas.openxmlformats.org/officeDocument/2006/relationships/image" Target="media/image10.emf"/><Relationship Id="rId46" Type="http://schemas.openxmlformats.org/officeDocument/2006/relationships/chart" Target="charts/chart17.xml"/><Relationship Id="rId59" Type="http://schemas.openxmlformats.org/officeDocument/2006/relationships/image" Target="media/image19.png"/><Relationship Id="rId67" Type="http://schemas.openxmlformats.org/officeDocument/2006/relationships/chart" Target="charts/chart27.xml"/><Relationship Id="rId20" Type="http://schemas.openxmlformats.org/officeDocument/2006/relationships/chart" Target="charts/chart8.xml"/><Relationship Id="rId41" Type="http://schemas.openxmlformats.org/officeDocument/2006/relationships/hyperlink" Target="https://raexpert.ru/database/regions/ulyan/" TargetMode="External"/><Relationship Id="rId54" Type="http://schemas.openxmlformats.org/officeDocument/2006/relationships/hyperlink" Target="consultantplus://offline/ref=89725D6237C28284EDFF11651B392F49F25DD7A1AE99F72BFCD8494525kCU7P" TargetMode="External"/><Relationship Id="rId62" Type="http://schemas.openxmlformats.org/officeDocument/2006/relationships/chart" Target="charts/chart22.xm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7.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9.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1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19.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20.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21.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15.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17.xm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frompc\&#1086;&#1090;&#1095;&#1105;&#1090;%20&#1079;&#1072;%20%202025%20&#1075;&#1086;&#1076;.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D:\frompc\&#1086;&#1090;&#1095;&#1105;&#1090;%20&#1079;&#1072;%20%202025%20&#1075;&#1086;&#1076;.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D:\frompc\&#1086;&#1090;&#1095;&#1105;&#1090;%20&#1079;&#1072;%20%202025%20&#1075;&#1086;&#1076;.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D:\frompc\&#1086;&#1090;&#1095;&#1105;&#1090;%20&#1079;&#1072;%20%202025%20&#1075;&#1086;&#1076;.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frompc\&#1086;&#1090;&#1095;&#1105;&#1090;%20&#1079;&#1072;%20%202025%20&#1075;&#1086;&#1076;.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oleObject" Target="file:///\\dlink-03485B\Volume_1\DKA\&#1044;&#1054;&#1050;&#1051;&#1040;&#1044;&#1067;%20%20&#1054;%20&#1057;&#1054;&#1057;&#1058;&#1054;&#1071;&#1053;&#1048;&#1048;%20&#1050;&#1059;&#1051;&#1068;&#1058;&#1059;&#1056;&#1067;\2020\&#1088;&#1072;&#1073;&#1086;&#1095;&#1072;&#1103;\&#1044;&#1080;&#1072;&#1075;&#1088;&#1072;&#1084;&#1084;&#1072;%20&#1047;&#1055;%202019-2021.xlsx"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ru-RU"/>
              <a:t>Уровень среднемесячной заработной платы</a:t>
            </a:r>
          </a:p>
        </c:rich>
      </c:tx>
      <c:overlay val="0"/>
      <c:spPr>
        <a:noFill/>
        <a:ln>
          <a:noFill/>
        </a:ln>
        <a:effectLst/>
      </c:spPr>
    </c:title>
    <c:autoTitleDeleted val="0"/>
    <c:plotArea>
      <c:layout/>
      <c:barChart>
        <c:barDir val="col"/>
        <c:grouping val="clustered"/>
        <c:varyColors val="0"/>
        <c:ser>
          <c:idx val="0"/>
          <c:order val="0"/>
          <c:tx>
            <c:strRef>
              <c:f>Лист1!$B$1</c:f>
              <c:strCache>
                <c:ptCount val="1"/>
                <c:pt idx="0">
                  <c:v>2020 год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педагоги школ</c:v>
                </c:pt>
                <c:pt idx="1">
                  <c:v>педагоги детских садов</c:v>
                </c:pt>
                <c:pt idx="2">
                  <c:v>педагоги дополнительного образования</c:v>
                </c:pt>
                <c:pt idx="3">
                  <c:v>преподаватели и мастера производственного обучения</c:v>
                </c:pt>
              </c:strCache>
            </c:strRef>
          </c:cat>
          <c:val>
            <c:numRef>
              <c:f>Лист1!$B$2:$B$5</c:f>
              <c:numCache>
                <c:formatCode>\О\с\н\о\в\н\о\й</c:formatCode>
                <c:ptCount val="4"/>
                <c:pt idx="0">
                  <c:v>29193</c:v>
                </c:pt>
                <c:pt idx="1">
                  <c:v>26097</c:v>
                </c:pt>
                <c:pt idx="2">
                  <c:v>27541</c:v>
                </c:pt>
                <c:pt idx="3">
                  <c:v>30613</c:v>
                </c:pt>
              </c:numCache>
            </c:numRef>
          </c:val>
          <c:extLst>
            <c:ext xmlns:c16="http://schemas.microsoft.com/office/drawing/2014/chart" uri="{C3380CC4-5D6E-409C-BE32-E72D297353CC}">
              <c16:uniqueId val="{00000000-67E4-4D0C-8098-DB8AD285BB45}"/>
            </c:ext>
          </c:extLst>
        </c:ser>
        <c:ser>
          <c:idx val="1"/>
          <c:order val="1"/>
          <c:tx>
            <c:strRef>
              <c:f>Лист1!$C$1</c:f>
              <c:strCache>
                <c:ptCount val="1"/>
                <c:pt idx="0">
                  <c:v>2025 год</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педагоги школ</c:v>
                </c:pt>
                <c:pt idx="1">
                  <c:v>педагоги детских садов</c:v>
                </c:pt>
                <c:pt idx="2">
                  <c:v>педагоги дополнительного образования</c:v>
                </c:pt>
                <c:pt idx="3">
                  <c:v>преподаватели и мастера производственного обучения</c:v>
                </c:pt>
              </c:strCache>
            </c:strRef>
          </c:cat>
          <c:val>
            <c:numRef>
              <c:f>Лист1!$C$2:$C$5</c:f>
              <c:numCache>
                <c:formatCode>\О\с\н\о\в\н\о\й</c:formatCode>
                <c:ptCount val="4"/>
                <c:pt idx="0">
                  <c:v>55611</c:v>
                </c:pt>
                <c:pt idx="1">
                  <c:v>54137</c:v>
                </c:pt>
                <c:pt idx="2">
                  <c:v>53383</c:v>
                </c:pt>
                <c:pt idx="3">
                  <c:v>55515</c:v>
                </c:pt>
              </c:numCache>
            </c:numRef>
          </c:val>
          <c:extLst>
            <c:ext xmlns:c16="http://schemas.microsoft.com/office/drawing/2014/chart" uri="{C3380CC4-5D6E-409C-BE32-E72D297353CC}">
              <c16:uniqueId val="{00000001-67E4-4D0C-8098-DB8AD285BB45}"/>
            </c:ext>
          </c:extLst>
        </c:ser>
        <c:dLbls>
          <c:showLegendKey val="0"/>
          <c:showVal val="0"/>
          <c:showCatName val="0"/>
          <c:showSerName val="0"/>
          <c:showPercent val="0"/>
          <c:showBubbleSize val="0"/>
        </c:dLbls>
        <c:gapWidth val="219"/>
        <c:overlap val="-27"/>
        <c:axId val="200156400"/>
        <c:axId val="1"/>
      </c:barChart>
      <c:catAx>
        <c:axId val="200156400"/>
        <c:scaling>
          <c:orientation val="minMax"/>
        </c:scaling>
        <c:delete val="0"/>
        <c:axPos val="b"/>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О\с\н\о\в\н\о\й"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00156400"/>
        <c:crosses val="autoZero"/>
        <c:crossBetween val="between"/>
      </c:valAx>
      <c:spPr>
        <a:noFill/>
        <a:ln w="25377">
          <a:noFill/>
        </a:ln>
      </c:spPr>
    </c:plotArea>
    <c:legend>
      <c:legendPos val="b"/>
      <c:overlay val="0"/>
      <c:spPr>
        <a:noFill/>
        <a:ln>
          <a:noFill/>
        </a:ln>
        <a:effectLst/>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6" cap="flat" cmpd="sng" algn="ctr">
      <a:noFill/>
      <a:round/>
    </a:ln>
    <a:effectLst/>
  </c:spPr>
  <c:txPr>
    <a:bodyPr/>
    <a:lstStyle/>
    <a:p>
      <a:pPr algn="ctr">
        <a:defRPr/>
      </a:pPr>
      <a:endParaRPr lang="ru-RU"/>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57975387807063"/>
          <c:y val="0.12978773029302021"/>
          <c:w val="0.85548611438540245"/>
          <c:h val="0.66839712427250941"/>
        </c:manualLayout>
      </c:layout>
      <c:barChart>
        <c:barDir val="col"/>
        <c:grouping val="clustered"/>
        <c:varyColors val="0"/>
        <c:ser>
          <c:idx val="0"/>
          <c:order val="0"/>
          <c:tx>
            <c:strRef>
              <c:f>Лист1!$B$1</c:f>
              <c:strCache>
                <c:ptCount val="1"/>
                <c:pt idx="0">
                  <c:v>2023</c:v>
                </c:pt>
              </c:strCache>
            </c:strRef>
          </c:tx>
          <c:spPr>
            <a:solidFill>
              <a:schemeClr val="accent6">
                <a:shade val="76000"/>
              </a:schemeClr>
            </a:solidFill>
            <a:ln>
              <a:noFill/>
            </a:ln>
            <a:effectLst/>
          </c:spPr>
          <c:invertIfNegative val="0"/>
          <c:dLbls>
            <c:dLbl>
              <c:idx val="3"/>
              <c:layout>
                <c:manualLayout>
                  <c:x val="-2.4691358024691357E-2"/>
                  <c:y val="-7.984031936127743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AC-442F-A4C8-3723BE95BED3}"/>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открытость информации</c:v>
                </c:pt>
                <c:pt idx="1">
                  <c:v>комфортность условий</c:v>
                </c:pt>
                <c:pt idx="2">
                  <c:v>доступность для инвалидов</c:v>
                </c:pt>
                <c:pt idx="3">
                  <c:v>доброжелательность персонала</c:v>
                </c:pt>
                <c:pt idx="4">
                  <c:v>удовлетворенность</c:v>
                </c:pt>
              </c:strCache>
            </c:strRef>
          </c:cat>
          <c:val>
            <c:numRef>
              <c:f>Лист1!$B$2:$B$6</c:f>
              <c:numCache>
                <c:formatCode>General</c:formatCode>
                <c:ptCount val="5"/>
                <c:pt idx="0">
                  <c:v>73.400000000000006</c:v>
                </c:pt>
                <c:pt idx="1">
                  <c:v>92.2</c:v>
                </c:pt>
                <c:pt idx="2">
                  <c:v>60.5</c:v>
                </c:pt>
                <c:pt idx="3">
                  <c:v>97.9</c:v>
                </c:pt>
                <c:pt idx="4">
                  <c:v>97.7</c:v>
                </c:pt>
              </c:numCache>
            </c:numRef>
          </c:val>
          <c:extLst>
            <c:ext xmlns:c16="http://schemas.microsoft.com/office/drawing/2014/chart" uri="{C3380CC4-5D6E-409C-BE32-E72D297353CC}">
              <c16:uniqueId val="{00000001-FBAC-442F-A4C8-3723BE95BED3}"/>
            </c:ext>
          </c:extLst>
        </c:ser>
        <c:ser>
          <c:idx val="1"/>
          <c:order val="1"/>
          <c:tx>
            <c:strRef>
              <c:f>Лист1!$C$1</c:f>
              <c:strCache>
                <c:ptCount val="1"/>
                <c:pt idx="0">
                  <c:v>2025</c:v>
                </c:pt>
              </c:strCache>
            </c:strRef>
          </c:tx>
          <c:spPr>
            <a:solidFill>
              <a:schemeClr val="accent6">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открытость информации</c:v>
                </c:pt>
                <c:pt idx="1">
                  <c:v>комфортность условий</c:v>
                </c:pt>
                <c:pt idx="2">
                  <c:v>доступность для инвалидов</c:v>
                </c:pt>
                <c:pt idx="3">
                  <c:v>доброжелательность персонала</c:v>
                </c:pt>
                <c:pt idx="4">
                  <c:v>удовлетворенность</c:v>
                </c:pt>
              </c:strCache>
            </c:strRef>
          </c:cat>
          <c:val>
            <c:numRef>
              <c:f>Лист1!$C$2:$C$6</c:f>
              <c:numCache>
                <c:formatCode>General</c:formatCode>
                <c:ptCount val="5"/>
                <c:pt idx="0">
                  <c:v>89.15</c:v>
                </c:pt>
                <c:pt idx="1">
                  <c:v>94.68</c:v>
                </c:pt>
                <c:pt idx="2">
                  <c:v>65.67</c:v>
                </c:pt>
                <c:pt idx="3">
                  <c:v>96</c:v>
                </c:pt>
                <c:pt idx="4">
                  <c:v>97.88</c:v>
                </c:pt>
              </c:numCache>
            </c:numRef>
          </c:val>
          <c:extLst>
            <c:ext xmlns:c16="http://schemas.microsoft.com/office/drawing/2014/chart" uri="{C3380CC4-5D6E-409C-BE32-E72D297353CC}">
              <c16:uniqueId val="{00000002-FBAC-442F-A4C8-3723BE95BED3}"/>
            </c:ext>
          </c:extLst>
        </c:ser>
        <c:dLbls>
          <c:dLblPos val="outEnd"/>
          <c:showLegendKey val="0"/>
          <c:showVal val="1"/>
          <c:showCatName val="0"/>
          <c:showSerName val="0"/>
          <c:showPercent val="0"/>
          <c:showBubbleSize val="0"/>
        </c:dLbls>
        <c:gapWidth val="219"/>
        <c:axId val="265695920"/>
        <c:axId val="265699840"/>
      </c:barChart>
      <c:catAx>
        <c:axId val="265695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265699840"/>
        <c:crosses val="autoZero"/>
        <c:auto val="1"/>
        <c:lblAlgn val="ctr"/>
        <c:lblOffset val="100"/>
        <c:noMultiLvlLbl val="0"/>
      </c:catAx>
      <c:valAx>
        <c:axId val="265699840"/>
        <c:scaling>
          <c:orientation val="minMax"/>
          <c:max val="100"/>
          <c:min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265695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noFill/>
    <a:ln w="9525" cap="flat" cmpd="sng" algn="ctr">
      <a:noFill/>
      <a:round/>
    </a:ln>
    <a:effectLst/>
  </c:spPr>
  <c:txPr>
    <a:bodyPr/>
    <a:lstStyle/>
    <a:p>
      <a:pPr>
        <a:defRPr sz="1000" i="0">
          <a:solidFill>
            <a:schemeClr val="tx1"/>
          </a:solidFill>
          <a:latin typeface="PT Astra Serif" panose="020A0603040505020204" pitchFamily="18" charset="-52"/>
          <a:ea typeface="PT Astra Serif" panose="020A0603040505020204" pitchFamily="18" charset="-52"/>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a:pPr>
            <a:r>
              <a:rPr lang="ru-RU" sz="1000" b="1"/>
              <a:t>Объём инвестиций в туристическую отрасль региона </a:t>
            </a:r>
          </a:p>
          <a:p>
            <a:pPr>
              <a:defRPr sz="1000" b="1"/>
            </a:pPr>
            <a:r>
              <a:rPr lang="ru-RU" sz="1000" b="1"/>
              <a:t>(2022 - 2025 годы)</a:t>
            </a:r>
          </a:p>
        </c:rich>
      </c:tx>
      <c:layout>
        <c:manualLayout>
          <c:xMode val="edge"/>
          <c:yMode val="edge"/>
          <c:x val="0.25919908581342577"/>
          <c:y val="5.1861371049474796E-2"/>
        </c:manualLayout>
      </c:layout>
      <c:overlay val="0"/>
    </c:title>
    <c:autoTitleDeleted val="0"/>
    <c:plotArea>
      <c:layout>
        <c:manualLayout>
          <c:layoutTarget val="inner"/>
          <c:xMode val="edge"/>
          <c:yMode val="edge"/>
          <c:x val="0.16894553035155199"/>
          <c:y val="0.34372159745124586"/>
          <c:w val="0.80207009339713164"/>
          <c:h val="0.52185253447653723"/>
        </c:manualLayout>
      </c:layout>
      <c:lineChart>
        <c:grouping val="standard"/>
        <c:varyColors val="0"/>
        <c:ser>
          <c:idx val="0"/>
          <c:order val="0"/>
          <c:tx>
            <c:strRef>
              <c:f>Лист1!$B$1</c:f>
              <c:strCache>
                <c:ptCount val="1"/>
                <c:pt idx="0">
                  <c:v>Млн. руб.</c:v>
                </c:pt>
              </c:strCache>
            </c:strRef>
          </c:tx>
          <c:marker>
            <c:symbol val="none"/>
          </c:marker>
          <c:dLbls>
            <c:spPr>
              <a:noFill/>
              <a:ln>
                <a:noFill/>
              </a:ln>
              <a:effectLst/>
            </c:spPr>
            <c:txPr>
              <a:bodyPr wrap="square" lIns="38100" tIns="19050" rIns="38100" bIns="19050" anchor="ctr">
                <a:spAutoFit/>
              </a:bodyPr>
              <a:lstStyle/>
              <a:p>
                <a:pPr>
                  <a:defRPr sz="900"/>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2022 год</c:v>
                </c:pt>
                <c:pt idx="1">
                  <c:v>2023 год</c:v>
                </c:pt>
                <c:pt idx="2">
                  <c:v>2024 год</c:v>
                </c:pt>
                <c:pt idx="3">
                  <c:v>2025 год</c:v>
                </c:pt>
              </c:strCache>
            </c:strRef>
          </c:cat>
          <c:val>
            <c:numRef>
              <c:f>Лист1!$B$2:$B$5</c:f>
              <c:numCache>
                <c:formatCode>General</c:formatCode>
                <c:ptCount val="4"/>
                <c:pt idx="0">
                  <c:v>780</c:v>
                </c:pt>
                <c:pt idx="1">
                  <c:v>860</c:v>
                </c:pt>
                <c:pt idx="2">
                  <c:v>1300</c:v>
                </c:pt>
                <c:pt idx="3">
                  <c:v>1450</c:v>
                </c:pt>
              </c:numCache>
            </c:numRef>
          </c:val>
          <c:smooth val="0"/>
          <c:extLst>
            <c:ext xmlns:c16="http://schemas.microsoft.com/office/drawing/2014/chart" uri="{C3380CC4-5D6E-409C-BE32-E72D297353CC}">
              <c16:uniqueId val="{00000000-B54B-49B8-8C52-C6470F2FF01F}"/>
            </c:ext>
          </c:extLst>
        </c:ser>
        <c:dLbls>
          <c:showLegendKey val="0"/>
          <c:showVal val="0"/>
          <c:showCatName val="0"/>
          <c:showSerName val="0"/>
          <c:showPercent val="0"/>
          <c:showBubbleSize val="0"/>
        </c:dLbls>
        <c:smooth val="0"/>
        <c:axId val="88564480"/>
        <c:axId val="88566400"/>
      </c:lineChart>
      <c:catAx>
        <c:axId val="88564480"/>
        <c:scaling>
          <c:orientation val="minMax"/>
        </c:scaling>
        <c:delete val="0"/>
        <c:axPos val="b"/>
        <c:numFmt formatCode="General" sourceLinked="0"/>
        <c:majorTickMark val="none"/>
        <c:minorTickMark val="none"/>
        <c:tickLblPos val="nextTo"/>
        <c:txPr>
          <a:bodyPr/>
          <a:lstStyle/>
          <a:p>
            <a:pPr>
              <a:defRPr sz="900"/>
            </a:pPr>
            <a:endParaRPr lang="ru-RU"/>
          </a:p>
        </c:txPr>
        <c:crossAx val="88566400"/>
        <c:crosses val="autoZero"/>
        <c:auto val="1"/>
        <c:lblAlgn val="ctr"/>
        <c:lblOffset val="100"/>
        <c:noMultiLvlLbl val="0"/>
      </c:catAx>
      <c:valAx>
        <c:axId val="88566400"/>
        <c:scaling>
          <c:orientation val="minMax"/>
        </c:scaling>
        <c:delete val="0"/>
        <c:axPos val="l"/>
        <c:majorGridlines/>
        <c:title>
          <c:tx>
            <c:rich>
              <a:bodyPr/>
              <a:lstStyle/>
              <a:p>
                <a:pPr>
                  <a:defRPr sz="900" b="0"/>
                </a:pPr>
                <a:r>
                  <a:rPr lang="ru-RU" sz="900" b="0"/>
                  <a:t>Размер инвестиций, тыс. руб.</a:t>
                </a:r>
              </a:p>
              <a:p>
                <a:pPr>
                  <a:defRPr sz="900" b="0"/>
                </a:pPr>
                <a:endParaRPr lang="ru-RU" sz="900" b="0"/>
              </a:p>
            </c:rich>
          </c:tx>
          <c:layout>
            <c:manualLayout>
              <c:xMode val="edge"/>
              <c:yMode val="edge"/>
              <c:x val="2.2034065127452304E-2"/>
              <c:y val="0.15129376793407054"/>
            </c:manualLayout>
          </c:layout>
          <c:overlay val="0"/>
        </c:title>
        <c:numFmt formatCode="General" sourceLinked="1"/>
        <c:majorTickMark val="none"/>
        <c:minorTickMark val="none"/>
        <c:tickLblPos val="nextTo"/>
        <c:crossAx val="88564480"/>
        <c:crosses val="autoZero"/>
        <c:crossBetween val="between"/>
      </c:valAx>
    </c:plotArea>
    <c:plotVisOnly val="1"/>
    <c:dispBlanksAs val="gap"/>
    <c:showDLblsOverMax val="0"/>
  </c:chart>
  <c:spPr>
    <a:noFill/>
    <a:ln w="38100">
      <a:noFill/>
    </a:ln>
  </c:spPr>
  <c:txPr>
    <a:bodyPr/>
    <a:lstStyle/>
    <a:p>
      <a:pPr>
        <a:defRPr>
          <a:latin typeface="PT Astra Serif" panose="020A0603040505020204" pitchFamily="18" charset="-52"/>
          <a:ea typeface="PT Astra Serif" panose="020A0603040505020204" pitchFamily="18" charset="-52"/>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2024 год</c:v>
                </c:pt>
              </c:strCache>
            </c:strRef>
          </c:tx>
          <c:invertIfNegative val="0"/>
          <c:dLbls>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средства федерального бюджета, тыс. руб.</c:v>
                </c:pt>
                <c:pt idx="1">
                  <c:v>средства регионального бюджета, тыс. руб.</c:v>
                </c:pt>
              </c:strCache>
            </c:strRef>
          </c:cat>
          <c:val>
            <c:numRef>
              <c:f>Лист1!$B$2:$B$3</c:f>
              <c:numCache>
                <c:formatCode>General</c:formatCode>
                <c:ptCount val="2"/>
                <c:pt idx="0">
                  <c:v>87839.13</c:v>
                </c:pt>
                <c:pt idx="1">
                  <c:v>2716.67</c:v>
                </c:pt>
              </c:numCache>
            </c:numRef>
          </c:val>
          <c:extLst>
            <c:ext xmlns:c16="http://schemas.microsoft.com/office/drawing/2014/chart" uri="{C3380CC4-5D6E-409C-BE32-E72D297353CC}">
              <c16:uniqueId val="{00000000-645E-4450-A98F-5E64167C63AD}"/>
            </c:ext>
          </c:extLst>
        </c:ser>
        <c:ser>
          <c:idx val="1"/>
          <c:order val="1"/>
          <c:tx>
            <c:strRef>
              <c:f>Лист1!$C$1</c:f>
              <c:strCache>
                <c:ptCount val="1"/>
                <c:pt idx="0">
                  <c:v>2025 год</c:v>
                </c:pt>
              </c:strCache>
            </c:strRef>
          </c:tx>
          <c:invertIfNegative val="0"/>
          <c:dLbls>
            <c:dLbl>
              <c:idx val="0"/>
              <c:layout>
                <c:manualLayout>
                  <c:x val="3.7037037037037056E-2"/>
                  <c:y val="-3.5714285714285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5E-4450-A98F-5E64167C63AD}"/>
                </c:ext>
              </c:extLst>
            </c:dLbl>
            <c:dLbl>
              <c:idx val="1"/>
              <c:layout>
                <c:manualLayout>
                  <c:x val="3.9351851851851853E-2"/>
                  <c:y val="-2.77777777777783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5E-4450-A98F-5E64167C63AD}"/>
                </c:ext>
              </c:extLst>
            </c:dLbl>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средства федерального бюджета, тыс. руб.</c:v>
                </c:pt>
                <c:pt idx="1">
                  <c:v>средства регионального бюджета, тыс. руб.</c:v>
                </c:pt>
              </c:strCache>
            </c:strRef>
          </c:cat>
          <c:val>
            <c:numRef>
              <c:f>Лист1!$C$2:$C$3</c:f>
              <c:numCache>
                <c:formatCode>General</c:formatCode>
                <c:ptCount val="2"/>
                <c:pt idx="0">
                  <c:v>75943</c:v>
                </c:pt>
                <c:pt idx="1">
                  <c:v>2349</c:v>
                </c:pt>
              </c:numCache>
            </c:numRef>
          </c:val>
          <c:extLst>
            <c:ext xmlns:c16="http://schemas.microsoft.com/office/drawing/2014/chart" uri="{C3380CC4-5D6E-409C-BE32-E72D297353CC}">
              <c16:uniqueId val="{00000003-645E-4450-A98F-5E64167C63AD}"/>
            </c:ext>
          </c:extLst>
        </c:ser>
        <c:dLbls>
          <c:showLegendKey val="0"/>
          <c:showVal val="0"/>
          <c:showCatName val="0"/>
          <c:showSerName val="0"/>
          <c:showPercent val="0"/>
          <c:showBubbleSize val="0"/>
        </c:dLbls>
        <c:gapWidth val="150"/>
        <c:axId val="145975552"/>
        <c:axId val="145979264"/>
      </c:barChart>
      <c:catAx>
        <c:axId val="145975552"/>
        <c:scaling>
          <c:orientation val="minMax"/>
        </c:scaling>
        <c:delete val="0"/>
        <c:axPos val="b"/>
        <c:numFmt formatCode="General" sourceLinked="0"/>
        <c:majorTickMark val="out"/>
        <c:minorTickMark val="none"/>
        <c:tickLblPos val="nextTo"/>
        <c:txPr>
          <a:bodyPr/>
          <a:lstStyle/>
          <a:p>
            <a:pPr>
              <a:defRPr sz="800"/>
            </a:pPr>
            <a:endParaRPr lang="ru-RU"/>
          </a:p>
        </c:txPr>
        <c:crossAx val="145979264"/>
        <c:crosses val="autoZero"/>
        <c:auto val="1"/>
        <c:lblAlgn val="ctr"/>
        <c:lblOffset val="100"/>
        <c:noMultiLvlLbl val="0"/>
      </c:catAx>
      <c:valAx>
        <c:axId val="145979264"/>
        <c:scaling>
          <c:orientation val="minMax"/>
        </c:scaling>
        <c:delete val="0"/>
        <c:axPos val="l"/>
        <c:majorGridlines/>
        <c:numFmt formatCode="General" sourceLinked="1"/>
        <c:majorTickMark val="out"/>
        <c:minorTickMark val="none"/>
        <c:tickLblPos val="nextTo"/>
        <c:txPr>
          <a:bodyPr/>
          <a:lstStyle/>
          <a:p>
            <a:pPr>
              <a:defRPr sz="900"/>
            </a:pPr>
            <a:endParaRPr lang="ru-RU"/>
          </a:p>
        </c:txPr>
        <c:crossAx val="145975552"/>
        <c:crosses val="autoZero"/>
        <c:crossBetween val="between"/>
      </c:valAx>
    </c:plotArea>
    <c:legend>
      <c:legendPos val="r"/>
      <c:overlay val="0"/>
      <c:txPr>
        <a:bodyPr/>
        <a:lstStyle/>
        <a:p>
          <a:pPr>
            <a:defRPr sz="900"/>
          </a:pPr>
          <a:endParaRPr lang="ru-RU"/>
        </a:p>
      </c:txPr>
    </c:legend>
    <c:plotVisOnly val="1"/>
    <c:dispBlanksAs val="gap"/>
    <c:showDLblsOverMax val="0"/>
  </c:chart>
  <c:spPr>
    <a:noFill/>
    <a:ln>
      <a:noFill/>
    </a:ln>
  </c:spPr>
  <c:txPr>
    <a:bodyPr/>
    <a:lstStyle/>
    <a:p>
      <a:pPr>
        <a:defRPr>
          <a:latin typeface="PT Astra Serif" panose="020A0603040505020204" pitchFamily="18" charset="-52"/>
          <a:ea typeface="PT Astra Serif" panose="020A0603040505020204" pitchFamily="18" charset="-52"/>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1000" b="1"/>
            </a:pPr>
            <a:r>
              <a:rPr lang="ru-RU" sz="1000" b="1"/>
              <a:t>Позиции регионов ПФО по количеству турпоездок в 2025 году , тыс.штук</a:t>
            </a:r>
          </a:p>
        </c:rich>
      </c:tx>
      <c:layout>
        <c:manualLayout>
          <c:xMode val="edge"/>
          <c:yMode val="edge"/>
          <c:x val="0.19275367149975137"/>
          <c:y val="3.0913982856938849E-2"/>
        </c:manualLayout>
      </c:layout>
      <c:overlay val="0"/>
    </c:title>
    <c:autoTitleDeleted val="0"/>
    <c:plotArea>
      <c:layout>
        <c:manualLayout>
          <c:layoutTarget val="inner"/>
          <c:xMode val="edge"/>
          <c:yMode val="edge"/>
          <c:x val="0.15268010808715049"/>
          <c:y val="0.25376984126984825"/>
          <c:w val="0.84455071480802468"/>
          <c:h val="0.31978033995751365"/>
        </c:manualLayout>
      </c:layout>
      <c:barChart>
        <c:barDir val="col"/>
        <c:grouping val="clustered"/>
        <c:varyColors val="0"/>
        <c:ser>
          <c:idx val="0"/>
          <c:order val="0"/>
          <c:tx>
            <c:strRef>
              <c:f>Лист1!$B$1</c:f>
              <c:strCache>
                <c:ptCount val="1"/>
                <c:pt idx="0">
                  <c:v>Рейтинг регионов в ПФО по количеству турпоездок в 2025 году , тыс.штук</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Лист1!$A$2:$A$15</c:f>
              <c:strCache>
                <c:ptCount val="14"/>
                <c:pt idx="0">
                  <c:v>1.Республика Татарстан </c:v>
                </c:pt>
                <c:pt idx="1">
                  <c:v>2.Нижегородская область</c:v>
                </c:pt>
                <c:pt idx="2">
                  <c:v>3.Самарская область</c:v>
                </c:pt>
                <c:pt idx="3">
                  <c:v>4.Республика Башкортостан</c:v>
                </c:pt>
                <c:pt idx="4">
                  <c:v>5.Пермский край</c:v>
                </c:pt>
                <c:pt idx="5">
                  <c:v>6.Саратовская область</c:v>
                </c:pt>
                <c:pt idx="6">
                  <c:v>7.Удмуртская Республика</c:v>
                </c:pt>
                <c:pt idx="7">
                  <c:v>8.Оренбургская область</c:v>
                </c:pt>
                <c:pt idx="8">
                  <c:v>9.Ульяновская область</c:v>
                </c:pt>
                <c:pt idx="9">
                  <c:v>10.Пензенская область</c:v>
                </c:pt>
                <c:pt idx="10">
                  <c:v>11.Кировская область</c:v>
                </c:pt>
                <c:pt idx="11">
                  <c:v>12.Чувашская Республика</c:v>
                </c:pt>
                <c:pt idx="12">
                  <c:v>13.Республика Марий Эл</c:v>
                </c:pt>
                <c:pt idx="13">
                  <c:v>14.Республика Мордовия</c:v>
                </c:pt>
              </c:strCache>
            </c:strRef>
          </c:cat>
          <c:val>
            <c:numRef>
              <c:f>Лист1!$B$2:$B$15</c:f>
              <c:numCache>
                <c:formatCode>0</c:formatCode>
                <c:ptCount val="14"/>
                <c:pt idx="0">
                  <c:v>3083.2</c:v>
                </c:pt>
                <c:pt idx="1">
                  <c:v>1891</c:v>
                </c:pt>
                <c:pt idx="2">
                  <c:v>1359.8</c:v>
                </c:pt>
                <c:pt idx="3">
                  <c:v>1263.9000000000001</c:v>
                </c:pt>
                <c:pt idx="4">
                  <c:v>1066</c:v>
                </c:pt>
                <c:pt idx="5">
                  <c:v>740.9</c:v>
                </c:pt>
                <c:pt idx="6">
                  <c:v>576.4</c:v>
                </c:pt>
                <c:pt idx="7">
                  <c:v>554.4</c:v>
                </c:pt>
                <c:pt idx="8">
                  <c:v>516.6</c:v>
                </c:pt>
                <c:pt idx="9">
                  <c:v>484</c:v>
                </c:pt>
                <c:pt idx="10">
                  <c:v>480.8</c:v>
                </c:pt>
                <c:pt idx="11">
                  <c:v>409.5</c:v>
                </c:pt>
                <c:pt idx="12">
                  <c:v>233.8</c:v>
                </c:pt>
                <c:pt idx="13">
                  <c:v>231</c:v>
                </c:pt>
              </c:numCache>
            </c:numRef>
          </c:val>
          <c:extLst>
            <c:ext xmlns:c16="http://schemas.microsoft.com/office/drawing/2014/chart" uri="{C3380CC4-5D6E-409C-BE32-E72D297353CC}">
              <c16:uniqueId val="{00000000-A45C-4CCA-BF4A-1151F27A264D}"/>
            </c:ext>
          </c:extLst>
        </c:ser>
        <c:dLbls>
          <c:showLegendKey val="0"/>
          <c:showVal val="1"/>
          <c:showCatName val="0"/>
          <c:showSerName val="0"/>
          <c:showPercent val="0"/>
          <c:showBubbleSize val="0"/>
        </c:dLbls>
        <c:gapWidth val="150"/>
        <c:overlap val="-25"/>
        <c:axId val="100872960"/>
        <c:axId val="100874496"/>
      </c:barChart>
      <c:catAx>
        <c:axId val="100872960"/>
        <c:scaling>
          <c:orientation val="minMax"/>
        </c:scaling>
        <c:delete val="0"/>
        <c:axPos val="b"/>
        <c:numFmt formatCode="General" sourceLinked="0"/>
        <c:majorTickMark val="none"/>
        <c:minorTickMark val="none"/>
        <c:tickLblPos val="nextTo"/>
        <c:txPr>
          <a:bodyPr/>
          <a:lstStyle/>
          <a:p>
            <a:pPr>
              <a:defRPr sz="600"/>
            </a:pPr>
            <a:endParaRPr lang="ru-RU"/>
          </a:p>
        </c:txPr>
        <c:crossAx val="100874496"/>
        <c:crosses val="autoZero"/>
        <c:auto val="1"/>
        <c:lblAlgn val="ctr"/>
        <c:lblOffset val="100"/>
        <c:noMultiLvlLbl val="0"/>
      </c:catAx>
      <c:valAx>
        <c:axId val="100874496"/>
        <c:scaling>
          <c:orientation val="minMax"/>
        </c:scaling>
        <c:delete val="1"/>
        <c:axPos val="l"/>
        <c:numFmt formatCode="0" sourceLinked="1"/>
        <c:majorTickMark val="none"/>
        <c:minorTickMark val="none"/>
        <c:tickLblPos val="nextTo"/>
        <c:crossAx val="100872960"/>
        <c:crosses val="autoZero"/>
        <c:crossBetween val="between"/>
      </c:valAx>
    </c:plotArea>
    <c:plotVisOnly val="1"/>
    <c:dispBlanksAs val="gap"/>
    <c:showDLblsOverMax val="0"/>
  </c:chart>
  <c:spPr>
    <a:noFill/>
    <a:ln>
      <a:noFill/>
    </a:ln>
  </c:spPr>
  <c:txPr>
    <a:bodyPr/>
    <a:lstStyle/>
    <a:p>
      <a:pPr>
        <a:defRPr>
          <a:latin typeface="PT Astra Serif" panose="020A0603040505020204" pitchFamily="18" charset="-52"/>
          <a:ea typeface="PT Astra Serif" panose="020A0603040505020204" pitchFamily="18" charset="-52"/>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000" b="1"/>
            </a:pPr>
            <a:r>
              <a:rPr lang="ru-RU" sz="1000" b="1"/>
              <a:t>Количество туристических поездок в 2025 году,</a:t>
            </a:r>
            <a:br>
              <a:rPr lang="ru-RU" sz="1000" b="1"/>
            </a:br>
            <a:r>
              <a:rPr lang="ru-RU" sz="1000" b="1"/>
              <a:t> млн шт</a:t>
            </a:r>
          </a:p>
        </c:rich>
      </c:tx>
      <c:layout>
        <c:manualLayout>
          <c:xMode val="edge"/>
          <c:yMode val="edge"/>
          <c:x val="0.32867436438795539"/>
          <c:y val="4.4680256911477263E-2"/>
        </c:manualLayout>
      </c:layout>
      <c:overlay val="0"/>
    </c:title>
    <c:autoTitleDeleted val="0"/>
    <c:plotArea>
      <c:layout/>
      <c:lineChart>
        <c:grouping val="standard"/>
        <c:varyColors val="0"/>
        <c:ser>
          <c:idx val="0"/>
          <c:order val="0"/>
          <c:tx>
            <c:strRef>
              <c:f>Лист1!$B$1</c:f>
              <c:strCache>
                <c:ptCount val="1"/>
                <c:pt idx="0">
                  <c:v>Количество туристических поездок в 2025 году, млн шт</c:v>
                </c:pt>
              </c:strCache>
            </c:strRef>
          </c:tx>
          <c:dLbls>
            <c:dLbl>
              <c:idx val="11"/>
              <c:layout>
                <c:manualLayout>
                  <c:x val="0"/>
                  <c:y val="-4.4677545531739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F8-4E04-9756-CB2EABF05882}"/>
                </c:ext>
              </c:extLst>
            </c:dLbl>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5.9200000000000128E-2</c:v>
                </c:pt>
                <c:pt idx="1">
                  <c:v>7.6100000000000084E-2</c:v>
                </c:pt>
                <c:pt idx="2">
                  <c:v>0.11930000000000017</c:v>
                </c:pt>
                <c:pt idx="3">
                  <c:v>0.13450000000000001</c:v>
                </c:pt>
                <c:pt idx="4">
                  <c:v>0.19010000000000019</c:v>
                </c:pt>
                <c:pt idx="5">
                  <c:v>0.24190000000000181</c:v>
                </c:pt>
                <c:pt idx="6">
                  <c:v>0.31110000000000032</c:v>
                </c:pt>
                <c:pt idx="7">
                  <c:v>0.40110000000000001</c:v>
                </c:pt>
                <c:pt idx="8">
                  <c:v>0.38690000000000441</c:v>
                </c:pt>
                <c:pt idx="9">
                  <c:v>0.4521</c:v>
                </c:pt>
                <c:pt idx="10">
                  <c:v>0.48790000000000339</c:v>
                </c:pt>
                <c:pt idx="11">
                  <c:v>0.5165999999999995</c:v>
                </c:pt>
              </c:numCache>
            </c:numRef>
          </c:val>
          <c:smooth val="0"/>
          <c:extLst>
            <c:ext xmlns:c16="http://schemas.microsoft.com/office/drawing/2014/chart" uri="{C3380CC4-5D6E-409C-BE32-E72D297353CC}">
              <c16:uniqueId val="{00000001-8BF8-4E04-9756-CB2EABF05882}"/>
            </c:ext>
          </c:extLst>
        </c:ser>
        <c:dLbls>
          <c:showLegendKey val="0"/>
          <c:showVal val="0"/>
          <c:showCatName val="0"/>
          <c:showSerName val="0"/>
          <c:showPercent val="0"/>
          <c:showBubbleSize val="0"/>
        </c:dLbls>
        <c:marker val="1"/>
        <c:smooth val="0"/>
        <c:axId val="100894592"/>
        <c:axId val="100896128"/>
      </c:lineChart>
      <c:catAx>
        <c:axId val="100894592"/>
        <c:scaling>
          <c:orientation val="minMax"/>
        </c:scaling>
        <c:delete val="0"/>
        <c:axPos val="b"/>
        <c:numFmt formatCode="General" sourceLinked="0"/>
        <c:majorTickMark val="out"/>
        <c:minorTickMark val="none"/>
        <c:tickLblPos val="nextTo"/>
        <c:txPr>
          <a:bodyPr/>
          <a:lstStyle/>
          <a:p>
            <a:pPr>
              <a:defRPr sz="600"/>
            </a:pPr>
            <a:endParaRPr lang="ru-RU"/>
          </a:p>
        </c:txPr>
        <c:crossAx val="100896128"/>
        <c:crosses val="autoZero"/>
        <c:auto val="1"/>
        <c:lblAlgn val="ctr"/>
        <c:lblOffset val="100"/>
        <c:noMultiLvlLbl val="0"/>
      </c:catAx>
      <c:valAx>
        <c:axId val="100896128"/>
        <c:scaling>
          <c:orientation val="minMax"/>
        </c:scaling>
        <c:delete val="0"/>
        <c:axPos val="l"/>
        <c:majorGridlines/>
        <c:numFmt formatCode="General" sourceLinked="1"/>
        <c:majorTickMark val="out"/>
        <c:minorTickMark val="none"/>
        <c:tickLblPos val="nextTo"/>
        <c:txPr>
          <a:bodyPr/>
          <a:lstStyle/>
          <a:p>
            <a:pPr>
              <a:defRPr sz="900"/>
            </a:pPr>
            <a:endParaRPr lang="ru-RU"/>
          </a:p>
        </c:txPr>
        <c:crossAx val="100894592"/>
        <c:crosses val="autoZero"/>
        <c:crossBetween val="between"/>
      </c:valAx>
    </c:plotArea>
    <c:plotVisOnly val="1"/>
    <c:dispBlanksAs val="gap"/>
    <c:showDLblsOverMax val="0"/>
  </c:chart>
  <c:spPr>
    <a:noFill/>
    <a:ln>
      <a:noFill/>
    </a:ln>
  </c:spPr>
  <c:txPr>
    <a:bodyPr/>
    <a:lstStyle/>
    <a:p>
      <a:pPr>
        <a:defRPr>
          <a:latin typeface="PT Astra Serif" panose="020A0603040505020204" pitchFamily="18" charset="-52"/>
          <a:ea typeface="PT Astra Serif" panose="020A0603040505020204" pitchFamily="18" charset="-52"/>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j-cs"/>
              </a:defRPr>
            </a:pPr>
            <a:r>
              <a:rPr lang="ru-RU" sz="1000" b="1">
                <a:solidFill>
                  <a:sysClr val="windowText" lastClr="000000"/>
                </a:solidFill>
                <a:latin typeface="PT Astra Serif" panose="020A0603040505020204" pitchFamily="18" charset="-52"/>
                <a:ea typeface="PT Astra Serif" panose="020A0603040505020204" pitchFamily="18" charset="-52"/>
              </a:rPr>
              <a:t>Сводный объём закупок</a:t>
            </a:r>
          </a:p>
        </c:rich>
      </c:tx>
      <c:overlay val="0"/>
      <c:spPr>
        <a:noFill/>
        <a:ln>
          <a:noFill/>
        </a:ln>
        <a:effectLst/>
      </c:spPr>
      <c:txPr>
        <a:bodyPr rot="0" spcFirstLastPara="1" vertOverflow="ellipsis" vert="horz" wrap="square" anchor="ctr" anchorCtr="1"/>
        <a:lstStyle/>
        <a:p>
          <a:pPr>
            <a:defRPr sz="1000" b="1"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j-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1"/>
          <c:order val="1"/>
          <c:tx>
            <c:strRef>
              <c:f>Лист1!$C$12</c:f>
              <c:strCache>
                <c:ptCount val="1"/>
                <c:pt idx="0">
                  <c:v>млрд.руб</c:v>
                </c:pt>
              </c:strCache>
            </c:strRef>
          </c:tx>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Лист1!$B$13:$B$14</c:f>
              <c:numCache>
                <c:formatCode>General</c:formatCode>
                <c:ptCount val="2"/>
                <c:pt idx="0">
                  <c:v>2024</c:v>
                </c:pt>
                <c:pt idx="1">
                  <c:v>2025</c:v>
                </c:pt>
              </c:numCache>
            </c:numRef>
          </c:cat>
          <c:val>
            <c:numRef>
              <c:f>Лист1!$C$13:$C$14</c:f>
              <c:numCache>
                <c:formatCode>General</c:formatCode>
                <c:ptCount val="2"/>
                <c:pt idx="0">
                  <c:v>49.3</c:v>
                </c:pt>
                <c:pt idx="1">
                  <c:v>53.7</c:v>
                </c:pt>
              </c:numCache>
            </c:numRef>
          </c:val>
          <c:extLst>
            <c:ext xmlns:c16="http://schemas.microsoft.com/office/drawing/2014/chart" uri="{C3380CC4-5D6E-409C-BE32-E72D297353CC}">
              <c16:uniqueId val="{00000000-DF09-4785-A873-2FF809BBBE0E}"/>
            </c:ext>
          </c:extLst>
        </c:ser>
        <c:dLbls>
          <c:showLegendKey val="0"/>
          <c:showVal val="1"/>
          <c:showCatName val="0"/>
          <c:showSerName val="0"/>
          <c:showPercent val="0"/>
          <c:showBubbleSize val="0"/>
        </c:dLbls>
        <c:gapWidth val="150"/>
        <c:shape val="box"/>
        <c:axId val="1337772192"/>
        <c:axId val="1337761632"/>
        <c:axId val="0"/>
        <c:extLst>
          <c:ext xmlns:c15="http://schemas.microsoft.com/office/drawing/2012/chart" uri="{02D57815-91ED-43cb-92C2-25804820EDAC}">
            <c15:filteredBarSeries>
              <c15:ser>
                <c:idx val="0"/>
                <c:order val="0"/>
                <c:tx>
                  <c:strRef>
                    <c:extLst>
                      <c:ext uri="{02D57815-91ED-43cb-92C2-25804820EDAC}">
                        <c15:formulaRef>
                          <c15:sqref>Лист1!$B$12</c15:sqref>
                        </c15:formulaRef>
                      </c:ext>
                    </c:extLst>
                    <c:strCache>
                      <c:ptCount val="1"/>
                      <c:pt idx="0">
                        <c:v>год</c:v>
                      </c:pt>
                    </c:strCache>
                  </c:strRef>
                </c:tx>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numRef>
                    <c:extLst>
                      <c:ext uri="{02D57815-91ED-43cb-92C2-25804820EDAC}">
                        <c15:formulaRef>
                          <c15:sqref>Лист1!$B$13:$B$14</c15:sqref>
                        </c15:formulaRef>
                      </c:ext>
                    </c:extLst>
                    <c:numCache>
                      <c:formatCode>General</c:formatCode>
                      <c:ptCount val="2"/>
                      <c:pt idx="0">
                        <c:v>2024</c:v>
                      </c:pt>
                      <c:pt idx="1">
                        <c:v>2025</c:v>
                      </c:pt>
                    </c:numCache>
                  </c:numRef>
                </c:cat>
                <c:val>
                  <c:numRef>
                    <c:extLst>
                      <c:ext uri="{02D57815-91ED-43cb-92C2-25804820EDAC}">
                        <c15:formulaRef>
                          <c15:sqref>Лист1!$B$13:$B$14</c15:sqref>
                        </c15:formulaRef>
                      </c:ext>
                    </c:extLst>
                    <c:numCache>
                      <c:formatCode>General</c:formatCode>
                      <c:ptCount val="2"/>
                      <c:pt idx="0">
                        <c:v>2024</c:v>
                      </c:pt>
                      <c:pt idx="1">
                        <c:v>2025</c:v>
                      </c:pt>
                    </c:numCache>
                  </c:numRef>
                </c:val>
                <c:extLst>
                  <c:ext xmlns:c16="http://schemas.microsoft.com/office/drawing/2014/chart" uri="{C3380CC4-5D6E-409C-BE32-E72D297353CC}">
                    <c16:uniqueId val="{00000001-DF09-4785-A873-2FF809BBBE0E}"/>
                  </c:ext>
                </c:extLst>
              </c15:ser>
            </c15:filteredBarSeries>
          </c:ext>
        </c:extLst>
      </c:bar3DChart>
      <c:catAx>
        <c:axId val="13377721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1337761632"/>
        <c:crosses val="autoZero"/>
        <c:auto val="1"/>
        <c:lblAlgn val="ctr"/>
        <c:lblOffset val="100"/>
        <c:noMultiLvlLbl val="0"/>
      </c:catAx>
      <c:valAx>
        <c:axId val="1337761632"/>
        <c:scaling>
          <c:orientation val="minMax"/>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37772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solidFill>
      <a:schemeClr val="bg1"/>
    </a:solidFill>
    <a:ln w="9525" cap="flat" cmpd="sng" algn="ctr">
      <a:solidFill>
        <a:sysClr val="window" lastClr="FFFFFF"/>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r>
              <a:rPr lang="ru-RU" sz="1000">
                <a:solidFill>
                  <a:sysClr val="windowText" lastClr="000000"/>
                </a:solidFill>
                <a:latin typeface="PT Astra Serif" panose="020A0603040505020204" pitchFamily="18" charset="-52"/>
                <a:ea typeface="PT Astra Serif" panose="020A0603040505020204" pitchFamily="18" charset="-52"/>
              </a:rPr>
              <a:t>Сравнительный анализ закупок</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47688393409535"/>
          <c:y val="0.17293439472961844"/>
          <c:w val="0.8693152695057893"/>
          <c:h val="0.66838224963850423"/>
        </c:manualLayout>
      </c:layout>
      <c:bar3DChart>
        <c:barDir val="col"/>
        <c:grouping val="clustered"/>
        <c:varyColors val="0"/>
        <c:ser>
          <c:idx val="0"/>
          <c:order val="0"/>
          <c:tx>
            <c:strRef>
              <c:f>Лист2!$B$8</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manualLayout>
                  <c:x val="-4.4524885361381398E-17"/>
                  <c:y val="-3.47067050396934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75-4137-9C3A-ABAF4D695D2E}"/>
                </c:ext>
              </c:extLst>
            </c:dLbl>
            <c:dLbl>
              <c:idx val="1"/>
              <c:layout>
                <c:manualLayout>
                  <c:x val="4.8573163327261691E-3"/>
                  <c:y val="-3.0800821355236138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5.4644808743169397E-2"/>
                      <c:h val="7.9568788501026694E-2"/>
                    </c:manualLayout>
                  </c15:layout>
                </c:ext>
                <c:ext xmlns:c16="http://schemas.microsoft.com/office/drawing/2014/chart" uri="{C3380CC4-5D6E-409C-BE32-E72D297353CC}">
                  <c16:uniqueId val="{00000001-DF75-4137-9C3A-ABAF4D695D2E}"/>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Лист2!$C$7:$D$7</c:f>
              <c:strCache>
                <c:ptCount val="2"/>
                <c:pt idx="0">
                  <c:v>44 ФЗ</c:v>
                </c:pt>
                <c:pt idx="1">
                  <c:v>223 ФЗ</c:v>
                </c:pt>
              </c:strCache>
            </c:strRef>
          </c:cat>
          <c:val>
            <c:numRef>
              <c:f>Лист2!$C$8:$D$8</c:f>
              <c:numCache>
                <c:formatCode>General</c:formatCode>
                <c:ptCount val="2"/>
                <c:pt idx="0">
                  <c:v>42.2</c:v>
                </c:pt>
                <c:pt idx="1">
                  <c:v>7.1</c:v>
                </c:pt>
              </c:numCache>
            </c:numRef>
          </c:val>
          <c:extLst>
            <c:ext xmlns:c16="http://schemas.microsoft.com/office/drawing/2014/chart" uri="{C3380CC4-5D6E-409C-BE32-E72D297353CC}">
              <c16:uniqueId val="{00000002-DF75-4137-9C3A-ABAF4D695D2E}"/>
            </c:ext>
          </c:extLst>
        </c:ser>
        <c:ser>
          <c:idx val="1"/>
          <c:order val="1"/>
          <c:tx>
            <c:strRef>
              <c:f>Лист2!$B$9</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manualLayout>
                  <c:x val="2.4918032786885248E-2"/>
                  <c:y val="-2.5707367944510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75-4137-9C3A-ABAF4D695D2E}"/>
                </c:ext>
              </c:extLst>
            </c:dLbl>
            <c:dLbl>
              <c:idx val="1"/>
              <c:layout>
                <c:manualLayout>
                  <c:x val="2.1850465413134835E-2"/>
                  <c:y val="-1.99202897379100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75-4137-9C3A-ABAF4D695D2E}"/>
                </c:ext>
              </c:extLst>
            </c:dLbl>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Лист2!$C$7:$D$7</c:f>
              <c:strCache>
                <c:ptCount val="2"/>
                <c:pt idx="0">
                  <c:v>44 ФЗ</c:v>
                </c:pt>
                <c:pt idx="1">
                  <c:v>223 ФЗ</c:v>
                </c:pt>
              </c:strCache>
            </c:strRef>
          </c:cat>
          <c:val>
            <c:numRef>
              <c:f>Лист2!$C$9:$D$9</c:f>
              <c:numCache>
                <c:formatCode>General</c:formatCode>
                <c:ptCount val="2"/>
                <c:pt idx="0">
                  <c:v>45.5</c:v>
                </c:pt>
                <c:pt idx="1">
                  <c:v>8.1999999999999993</c:v>
                </c:pt>
              </c:numCache>
            </c:numRef>
          </c:val>
          <c:extLst>
            <c:ext xmlns:c16="http://schemas.microsoft.com/office/drawing/2014/chart" uri="{C3380CC4-5D6E-409C-BE32-E72D297353CC}">
              <c16:uniqueId val="{00000005-DF75-4137-9C3A-ABAF4D695D2E}"/>
            </c:ext>
          </c:extLst>
        </c:ser>
        <c:dLbls>
          <c:showLegendKey val="0"/>
          <c:showVal val="0"/>
          <c:showCatName val="0"/>
          <c:showSerName val="0"/>
          <c:showPercent val="0"/>
          <c:showBubbleSize val="0"/>
        </c:dLbls>
        <c:gapWidth val="150"/>
        <c:shape val="box"/>
        <c:axId val="1533838944"/>
        <c:axId val="1533829824"/>
        <c:axId val="0"/>
      </c:bar3DChart>
      <c:catAx>
        <c:axId val="15338389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1533829824"/>
        <c:crosses val="autoZero"/>
        <c:auto val="1"/>
        <c:lblAlgn val="ctr"/>
        <c:lblOffset val="100"/>
        <c:noMultiLvlLbl val="0"/>
      </c:catAx>
      <c:valAx>
        <c:axId val="1533829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r>
                  <a:rPr lang="ru-RU" sz="1000">
                    <a:solidFill>
                      <a:sysClr val="windowText" lastClr="000000"/>
                    </a:solidFill>
                    <a:latin typeface="PT Astra Serif" panose="020A0603040505020204" pitchFamily="18" charset="-52"/>
                    <a:ea typeface="PT Astra Serif" panose="020A0603040505020204" pitchFamily="18" charset="-52"/>
                  </a:rPr>
                  <a:t>Объём средств, млрд руб.</a:t>
                </a:r>
              </a:p>
            </c:rich>
          </c:tx>
          <c:layout>
            <c:manualLayout>
              <c:xMode val="edge"/>
              <c:yMode val="edge"/>
              <c:x val="4.9306787102062689E-2"/>
              <c:y val="0.1565708418891170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33838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00" b="1" i="0" u="none" strike="noStrike" kern="1200" baseline="0">
                <a:solidFill>
                  <a:schemeClr val="tx1">
                    <a:lumMod val="65000"/>
                    <a:lumOff val="35000"/>
                  </a:schemeClr>
                </a:solidFill>
                <a:latin typeface="+mn-lt"/>
                <a:ea typeface="+mn-ea"/>
                <a:cs typeface="+mn-cs"/>
              </a:defRPr>
            </a:pPr>
            <a:r>
              <a:rPr lang="ru-RU" sz="1000">
                <a:solidFill>
                  <a:sysClr val="windowText" lastClr="000000"/>
                </a:solidFill>
                <a:latin typeface="PT Astra Serif" panose="020A0603040505020204" pitchFamily="18" charset="-52"/>
                <a:ea typeface="PT Astra Serif" panose="020A0603040505020204" pitchFamily="18" charset="-52"/>
              </a:rPr>
              <a:t>Сравнительный анализ закупок у СМП и</a:t>
            </a:r>
            <a:r>
              <a:rPr lang="ru-RU" sz="1000" baseline="0">
                <a:solidFill>
                  <a:sysClr val="windowText" lastClr="000000"/>
                </a:solidFill>
                <a:latin typeface="PT Astra Serif" panose="020A0603040505020204" pitchFamily="18" charset="-52"/>
                <a:ea typeface="PT Astra Serif" panose="020A0603040505020204" pitchFamily="18" charset="-52"/>
              </a:rPr>
              <a:t> СОНО</a:t>
            </a:r>
            <a:endParaRPr lang="ru-RU" sz="1000">
              <a:solidFill>
                <a:sysClr val="windowText" lastClr="000000"/>
              </a:solidFill>
              <a:latin typeface="PT Astra Serif" panose="020A0603040505020204" pitchFamily="18" charset="-52"/>
              <a:ea typeface="PT Astra Serif" panose="020A0603040505020204" pitchFamily="18" charset="-52"/>
            </a:endParaRPr>
          </a:p>
        </c:rich>
      </c:tx>
      <c:layout>
        <c:manualLayout>
          <c:xMode val="edge"/>
          <c:yMode val="edge"/>
          <c:x val="0.346838939093434"/>
          <c:y val="2.1000098908990829E-2"/>
        </c:manualLayout>
      </c:layout>
      <c:overlay val="0"/>
      <c:spPr>
        <a:noFill/>
        <a:ln>
          <a:noFill/>
        </a:ln>
        <a:effectLst/>
      </c:spPr>
      <c:txPr>
        <a:bodyPr rot="0" spcFirstLastPara="1" vertOverflow="ellipsis" vert="horz" wrap="square" anchor="ctr" anchorCtr="1"/>
        <a:lstStyle/>
        <a:p>
          <a:pPr algn="ctr">
            <a:defRPr sz="10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'смп новая'!$B$8</c:f>
              <c:strCache>
                <c:ptCount val="1"/>
                <c:pt idx="0">
                  <c:v>2024</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manualLayout>
                  <c:x val="-2.8656696440091896E-17"/>
                  <c:y val="-5.0314443260560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65-4B82-838D-B5DDF952E9BC}"/>
                </c:ext>
              </c:extLst>
            </c:dLbl>
            <c:dLbl>
              <c:idx val="1"/>
              <c:layout>
                <c:manualLayout>
                  <c:x val="4.6893317702226284E-3"/>
                  <c:y val="-5.8700183803987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65-4B82-838D-B5DDF952E9BC}"/>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'смп новая'!$C$7:$D$7</c:f>
              <c:strCache>
                <c:ptCount val="2"/>
                <c:pt idx="0">
                  <c:v>44 ФЗ</c:v>
                </c:pt>
                <c:pt idx="1">
                  <c:v>223 ФЗ</c:v>
                </c:pt>
              </c:strCache>
            </c:strRef>
          </c:cat>
          <c:val>
            <c:numRef>
              <c:f>'смп новая'!$C$8:$D$8</c:f>
              <c:numCache>
                <c:formatCode>General</c:formatCode>
                <c:ptCount val="2"/>
                <c:pt idx="0">
                  <c:v>13.2</c:v>
                </c:pt>
                <c:pt idx="1">
                  <c:v>3.7</c:v>
                </c:pt>
              </c:numCache>
            </c:numRef>
          </c:val>
          <c:extLst>
            <c:ext xmlns:c16="http://schemas.microsoft.com/office/drawing/2014/chart" uri="{C3380CC4-5D6E-409C-BE32-E72D297353CC}">
              <c16:uniqueId val="{00000002-5265-4B82-838D-B5DDF952E9BC}"/>
            </c:ext>
          </c:extLst>
        </c:ser>
        <c:ser>
          <c:idx val="1"/>
          <c:order val="1"/>
          <c:tx>
            <c:strRef>
              <c:f>'смп новая'!$B$9</c:f>
              <c:strCache>
                <c:ptCount val="1"/>
                <c:pt idx="0">
                  <c:v>2025</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manualLayout>
                  <c:x val="4.6893317702227429E-3"/>
                  <c:y val="-5.0314443260560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65-4B82-838D-B5DDF952E9BC}"/>
                </c:ext>
              </c:extLst>
            </c:dLbl>
            <c:dLbl>
              <c:idx val="1"/>
              <c:layout>
                <c:manualLayout>
                  <c:x val="1.5631105900742476E-2"/>
                  <c:y val="-5.0314443260560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65-4B82-838D-B5DDF952E9BC}"/>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'смп новая'!$C$7:$D$7</c:f>
              <c:strCache>
                <c:ptCount val="2"/>
                <c:pt idx="0">
                  <c:v>44 ФЗ</c:v>
                </c:pt>
                <c:pt idx="1">
                  <c:v>223 ФЗ</c:v>
                </c:pt>
              </c:strCache>
            </c:strRef>
          </c:cat>
          <c:val>
            <c:numRef>
              <c:f>'смп новая'!$C$9:$D$9</c:f>
              <c:numCache>
                <c:formatCode>General</c:formatCode>
                <c:ptCount val="2"/>
                <c:pt idx="0">
                  <c:v>14.5</c:v>
                </c:pt>
                <c:pt idx="1">
                  <c:v>4.5</c:v>
                </c:pt>
              </c:numCache>
            </c:numRef>
          </c:val>
          <c:extLst>
            <c:ext xmlns:c16="http://schemas.microsoft.com/office/drawing/2014/chart" uri="{C3380CC4-5D6E-409C-BE32-E72D297353CC}">
              <c16:uniqueId val="{00000005-5265-4B82-838D-B5DDF952E9BC}"/>
            </c:ext>
          </c:extLst>
        </c:ser>
        <c:dLbls>
          <c:showLegendKey val="0"/>
          <c:showVal val="0"/>
          <c:showCatName val="0"/>
          <c:showSerName val="0"/>
          <c:showPercent val="0"/>
          <c:showBubbleSize val="0"/>
        </c:dLbls>
        <c:gapWidth val="150"/>
        <c:shape val="box"/>
        <c:axId val="1533838944"/>
        <c:axId val="1533829824"/>
        <c:axId val="0"/>
      </c:bar3DChart>
      <c:catAx>
        <c:axId val="15338389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1533829824"/>
        <c:crosses val="autoZero"/>
        <c:auto val="1"/>
        <c:lblAlgn val="ctr"/>
        <c:lblOffset val="100"/>
        <c:noMultiLvlLbl val="0"/>
      </c:catAx>
      <c:valAx>
        <c:axId val="1533829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r>
                  <a:rPr lang="ru-RU" sz="1000">
                    <a:solidFill>
                      <a:sysClr val="windowText" lastClr="000000"/>
                    </a:solidFill>
                    <a:latin typeface="PT Astra Serif" panose="020A0603040505020204" pitchFamily="18" charset="-52"/>
                    <a:ea typeface="PT Astra Serif" panose="020A0603040505020204" pitchFamily="18" charset="-52"/>
                  </a:rPr>
                  <a:t>Объём средств, млрд руб.</a:t>
                </a:r>
              </a:p>
            </c:rich>
          </c:tx>
          <c:layout>
            <c:manualLayout>
              <c:xMode val="edge"/>
              <c:yMode val="edge"/>
              <c:x val="5.1877232165267635E-2"/>
              <c:y val="0.177498634625887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33838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EB5-4369-9791-A7F30160C09A}"/>
              </c:ext>
            </c:extLst>
          </c:dPt>
          <c:dPt>
            <c:idx val="1"/>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EB5-4369-9791-A7F30160C09A}"/>
              </c:ext>
            </c:extLst>
          </c:dPt>
          <c:dPt>
            <c:idx val="2"/>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EB5-4369-9791-A7F30160C09A}"/>
              </c:ext>
            </c:extLst>
          </c:dPt>
          <c:dPt>
            <c:idx val="3"/>
            <c:bubble3D val="0"/>
            <c:spPr>
              <a:solidFill>
                <a:schemeClr val="accent6">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EB5-4369-9791-A7F30160C09A}"/>
              </c:ext>
            </c:extLst>
          </c:dPt>
          <c:dLbls>
            <c:dLbl>
              <c:idx val="0"/>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1-0EB5-4369-9791-A7F30160C09A}"/>
                </c:ext>
              </c:extLst>
            </c:dLbl>
            <c:dLbl>
              <c:idx val="1"/>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3-0EB5-4369-9791-A7F30160C09A}"/>
                </c:ext>
              </c:extLst>
            </c:dLbl>
            <c:dLbl>
              <c:idx val="2"/>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5-0EB5-4369-9791-A7F30160C09A}"/>
                </c:ext>
              </c:extLst>
            </c:dLbl>
            <c:dLbl>
              <c:idx val="3"/>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extLst>
                <c:ext xmlns:c16="http://schemas.microsoft.com/office/drawing/2014/chart" uri="{C3380CC4-5D6E-409C-BE32-E72D297353CC}">
                  <c16:uniqueId val="{00000007-0EB5-4369-9791-A7F30160C09A}"/>
                </c:ext>
              </c:extLst>
            </c:dLbl>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tx1"/>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('223'!$A$3,'223'!$A$5:$A$7)</c:f>
              <c:strCache>
                <c:ptCount val="4"/>
                <c:pt idx="0">
                  <c:v>Конкурентные процедуры</c:v>
                </c:pt>
                <c:pt idx="1">
                  <c:v>Электронные магазины</c:v>
                </c:pt>
                <c:pt idx="2">
                  <c:v>Монополии</c:v>
                </c:pt>
                <c:pt idx="3">
                  <c:v>Прочие</c:v>
                </c:pt>
              </c:strCache>
            </c:strRef>
          </c:cat>
          <c:val>
            <c:numRef>
              <c:f>('223'!$C$3,'223'!$C$5:$C$7)</c:f>
              <c:numCache>
                <c:formatCode>0%</c:formatCode>
                <c:ptCount val="4"/>
                <c:pt idx="0">
                  <c:v>0.32098765432098769</c:v>
                </c:pt>
                <c:pt idx="1">
                  <c:v>2.469135802469136E-2</c:v>
                </c:pt>
                <c:pt idx="2">
                  <c:v>8.6419753086419748E-2</c:v>
                </c:pt>
                <c:pt idx="3">
                  <c:v>0.5679012345679012</c:v>
                </c:pt>
              </c:numCache>
            </c:numRef>
          </c:val>
          <c:extLst>
            <c:ext xmlns:c16="http://schemas.microsoft.com/office/drawing/2014/chart" uri="{C3380CC4-5D6E-409C-BE32-E72D297353CC}">
              <c16:uniqueId val="{00000008-0EB5-4369-9791-A7F30160C09A}"/>
            </c:ext>
          </c:extLst>
        </c:ser>
        <c:dLbls>
          <c:dLblPos val="outEnd"/>
          <c:showLegendKey val="0"/>
          <c:showVal val="0"/>
          <c:showCatName val="1"/>
          <c:showSerName val="0"/>
          <c:showPercent val="0"/>
          <c:showBubbleSize val="0"/>
          <c:showLeaderLines val="1"/>
        </c:dLbls>
      </c:pie3DChart>
      <c:spPr>
        <a:noFill/>
        <a:ln>
          <a:noFill/>
        </a:ln>
        <a:effectLst/>
      </c:spPr>
    </c:plotArea>
    <c:legend>
      <c:legendPos val="r"/>
      <c:layout>
        <c:manualLayout>
          <c:xMode val="edge"/>
          <c:yMode val="edge"/>
          <c:x val="0.63671725502395871"/>
          <c:y val="0.14601866566646832"/>
          <c:w val="0.32412864728332436"/>
          <c:h val="0.61456702613413439"/>
        </c:manualLayout>
      </c:layout>
      <c:overlay val="0"/>
      <c:spPr>
        <a:noFill/>
        <a:ln>
          <a:noFill/>
        </a:ln>
        <a:effectLst/>
      </c:spPr>
      <c:txPr>
        <a:bodyPr rot="0" spcFirstLastPara="1" vertOverflow="ellipsis" vert="horz" wrap="square" anchor="ctr" anchorCtr="1"/>
        <a:lstStyle/>
        <a:p>
          <a:pPr>
            <a:defRPr lang="en-US" sz="1000" b="1"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lang="en-US" sz="1000" b="0" i="0" u="none" strike="noStrike" kern="1200" baseline="0">
          <a:solidFill>
            <a:schemeClr val="tx1"/>
          </a:solidFill>
          <a:latin typeface="+mn-lt"/>
          <a:ea typeface="+mn-ea"/>
          <a:cs typeface="+mn-cs"/>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dk1">
                    <a:lumMod val="75000"/>
                    <a:lumOff val="25000"/>
                  </a:schemeClr>
                </a:solidFill>
                <a:latin typeface="PT Astra Serif" panose="020A0603040505020204" pitchFamily="18" charset="-52"/>
                <a:ea typeface="PT Astra Serif" panose="020A0603040505020204" pitchFamily="18" charset="-52"/>
                <a:cs typeface="+mn-cs"/>
              </a:defRPr>
            </a:pPr>
            <a:r>
              <a:rPr lang="ru-RU" sz="1050">
                <a:latin typeface="PT Astra Serif" panose="020A0603040505020204" pitchFamily="18" charset="-52"/>
                <a:ea typeface="PT Astra Serif" panose="020A0603040505020204" pitchFamily="18" charset="-52"/>
              </a:rPr>
              <a:t>Практика студентов в 2025 г.</a:t>
            </a:r>
          </a:p>
        </c:rich>
      </c:tx>
      <c:layout>
        <c:manualLayout>
          <c:xMode val="edge"/>
          <c:yMode val="edge"/>
          <c:x val="0.37753690350321678"/>
          <c:y val="2.324660597246337E-2"/>
        </c:manualLayout>
      </c:layout>
      <c:overlay val="0"/>
      <c:spPr>
        <a:noFill/>
        <a:ln w="24128">
          <a:noFill/>
        </a:ln>
      </c:spPr>
    </c:title>
    <c:autoTitleDeleted val="0"/>
    <c:view3D>
      <c:rotX val="50"/>
      <c:rotY val="0"/>
      <c:rAngAx val="0"/>
      <c:perspective val="0"/>
    </c:view3D>
    <c:floor>
      <c:thickness val="0"/>
    </c:floor>
    <c:sideWall>
      <c:thickness val="0"/>
    </c:sideWall>
    <c:backWall>
      <c:thickness val="0"/>
    </c:backWall>
    <c:plotArea>
      <c:layout>
        <c:manualLayout>
          <c:layoutTarget val="inner"/>
          <c:xMode val="edge"/>
          <c:yMode val="edge"/>
          <c:x val="8.6922695140109196E-2"/>
          <c:y val="0.10626710791585835"/>
          <c:w val="0.9130773048598908"/>
          <c:h val="0.74589919738293586"/>
        </c:manualLayout>
      </c:layout>
      <c:pie3DChart>
        <c:varyColors val="1"/>
        <c:ser>
          <c:idx val="0"/>
          <c:order val="0"/>
          <c:tx>
            <c:strRef>
              <c:f>Sheet1!$A$2</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DD2F-4A59-8658-5DEAAB2B2B85}"/>
              </c:ext>
            </c:extLst>
          </c:dPt>
          <c:dLbls>
            <c:dLbl>
              <c:idx val="3"/>
              <c:layout>
                <c:manualLayout>
                  <c:x val="-5.1579498048264392E-3"/>
                  <c:y val="0.110199094678382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D2F-4A59-8658-5DEAAB2B2B85}"/>
                </c:ext>
              </c:extLst>
            </c:dLbl>
            <c:dLbl>
              <c:idx val="4"/>
              <c:layout>
                <c:manualLayout>
                  <c:x val="4.3812436562976474E-2"/>
                  <c:y val="8.986967933356154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D2F-4A59-8658-5DEAAB2B2B85}"/>
                </c:ext>
              </c:extLst>
            </c:dLbl>
            <c:dLbl>
              <c:idx val="5"/>
              <c:layout>
                <c:manualLayout>
                  <c:x val="1.3174690472038526E-2"/>
                  <c:y val="0.2096764426185857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D2F-4A59-8658-5DEAAB2B2B85}"/>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PT Astra Serif" panose="020A0603040505020204" pitchFamily="18" charset="-52"/>
                    <a:ea typeface="PT Astra Serif" panose="020A0603040505020204" pitchFamily="18" charset="-52"/>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Sheet1!$B$2:$M$2</c:f>
              <c:numCache>
                <c:formatCode>\О\с\н\о\в\н\о\й</c:formatCode>
                <c:ptCount val="6"/>
                <c:pt idx="0">
                  <c:v>72</c:v>
                </c:pt>
                <c:pt idx="1">
                  <c:v>21</c:v>
                </c:pt>
                <c:pt idx="2">
                  <c:v>33</c:v>
                </c:pt>
                <c:pt idx="3">
                  <c:v>2</c:v>
                </c:pt>
                <c:pt idx="4">
                  <c:v>1</c:v>
                </c:pt>
                <c:pt idx="5">
                  <c:v>1</c:v>
                </c:pt>
              </c:numCache>
            </c:numRef>
          </c:val>
          <c:extLst>
            <c:ext xmlns:c16="http://schemas.microsoft.com/office/drawing/2014/chart" uri="{C3380CC4-5D6E-409C-BE32-E72D297353CC}">
              <c16:uniqueId val="{0000000C-DD2F-4A59-8658-5DEAAB2B2B85}"/>
            </c:ext>
          </c:extLst>
        </c:ser>
        <c:ser>
          <c:idx val="1"/>
          <c:order val="1"/>
          <c:tx>
            <c:strRef>
              <c:f>Sheet1!$A$3</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E-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0-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2-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4-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6-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8-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Sheet1!$B$3:$M$3</c:f>
              <c:numCache>
                <c:formatCode>General</c:formatCode>
                <c:ptCount val="6"/>
              </c:numCache>
            </c:numRef>
          </c:val>
          <c:extLst>
            <c:ext xmlns:c16="http://schemas.microsoft.com/office/drawing/2014/chart" uri="{C3380CC4-5D6E-409C-BE32-E72D297353CC}">
              <c16:uniqueId val="{00000019-DD2F-4A59-8658-5DEAAB2B2B85}"/>
            </c:ext>
          </c:extLst>
        </c:ser>
        <c:ser>
          <c:idx val="2"/>
          <c:order val="2"/>
          <c:tx>
            <c:strRef>
              <c:f>Sheet1!$A$4</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B-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D-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F-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1-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3-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5-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Sheet1!$B$4:$M$4</c:f>
              <c:numCache>
                <c:formatCode>General</c:formatCode>
                <c:ptCount val="6"/>
              </c:numCache>
            </c:numRef>
          </c:val>
          <c:extLst>
            <c:ext xmlns:c16="http://schemas.microsoft.com/office/drawing/2014/chart" uri="{C3380CC4-5D6E-409C-BE32-E72D297353CC}">
              <c16:uniqueId val="{00000026-DD2F-4A59-8658-5DEAAB2B2B85}"/>
            </c:ext>
          </c:extLst>
        </c:ser>
        <c:ser>
          <c:idx val="3"/>
          <c:order val="3"/>
          <c:tx>
            <c:strRef>
              <c:f>Sheet1!$A$5</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8-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A-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C-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2E-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0-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2-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Sheet1!$B$5:$M$5</c:f>
              <c:numCache>
                <c:formatCode>General</c:formatCode>
                <c:ptCount val="6"/>
              </c:numCache>
            </c:numRef>
          </c:val>
          <c:extLst>
            <c:ext xmlns:c16="http://schemas.microsoft.com/office/drawing/2014/chart" uri="{C3380CC4-5D6E-409C-BE32-E72D297353CC}">
              <c16:uniqueId val="{00000033-DD2F-4A59-8658-5DEAAB2B2B85}"/>
            </c:ext>
          </c:extLst>
        </c:ser>
        <c:ser>
          <c:idx val="4"/>
          <c:order val="4"/>
          <c:tx>
            <c:strRef>
              <c:f>Sheet1!$A$6</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5-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7-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9-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B-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D-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3F-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Sheet1!$B$6:$M$6</c:f>
              <c:numCache>
                <c:formatCode>General</c:formatCode>
                <c:ptCount val="6"/>
              </c:numCache>
            </c:numRef>
          </c:val>
          <c:extLst>
            <c:ext xmlns:c16="http://schemas.microsoft.com/office/drawing/2014/chart" uri="{C3380CC4-5D6E-409C-BE32-E72D297353CC}">
              <c16:uniqueId val="{00000040-DD2F-4A59-8658-5DEAAB2B2B85}"/>
            </c:ext>
          </c:extLst>
        </c:ser>
        <c:ser>
          <c:idx val="5"/>
          <c:order val="5"/>
          <c:tx>
            <c:strRef>
              <c:f>Sheet1!$A$7</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2-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4-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6-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8-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A-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C-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Sheet1!$B$7:$M$7</c:f>
              <c:numCache>
                <c:formatCode>General</c:formatCode>
                <c:ptCount val="6"/>
              </c:numCache>
            </c:numRef>
          </c:val>
          <c:extLst>
            <c:ext xmlns:c16="http://schemas.microsoft.com/office/drawing/2014/chart" uri="{C3380CC4-5D6E-409C-BE32-E72D297353CC}">
              <c16:uniqueId val="{0000004D-DD2F-4A59-8658-5DEAAB2B2B85}"/>
            </c:ext>
          </c:extLst>
        </c:ser>
        <c:ser>
          <c:idx val="6"/>
          <c:order val="6"/>
          <c:tx>
            <c:strRef>
              <c:f>Sheet1!$A$8</c:f>
              <c:strCache>
                <c:ptCount val="1"/>
              </c:strCache>
            </c:strRef>
          </c:tx>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4F-DD2F-4A59-8658-5DEAAB2B2B85}"/>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51-DD2F-4A59-8658-5DEAAB2B2B85}"/>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53-DD2F-4A59-8658-5DEAAB2B2B85}"/>
              </c:ext>
            </c:extLst>
          </c:dPt>
          <c:dPt>
            <c:idx val="3"/>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55-DD2F-4A59-8658-5DEAAB2B2B85}"/>
              </c:ext>
            </c:extLst>
          </c:dPt>
          <c:dPt>
            <c:idx val="4"/>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57-DD2F-4A59-8658-5DEAAB2B2B85}"/>
              </c:ext>
            </c:extLst>
          </c:dPt>
          <c:dPt>
            <c:idx val="5"/>
            <c:bubble3D val="0"/>
            <c:spPr>
              <a:solidFill>
                <a:schemeClr val="accent6">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59-DD2F-4A59-8658-5DEAAB2B2B8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5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048">
                  <a:solidFill>
                    <a:schemeClr val="dk1">
                      <a:lumMod val="50000"/>
                      <a:lumOff val="50000"/>
                    </a:schemeClr>
                  </a:solidFill>
                </a:ln>
                <a:effectLst/>
              </c:spPr>
            </c:leaderLines>
            <c:extLst>
              <c:ext xmlns:c15="http://schemas.microsoft.com/office/drawing/2012/chart" uri="{CE6537A1-D6FC-4f65-9D91-7224C49458BB}"/>
            </c:extLst>
          </c:dLbls>
          <c:cat>
            <c:strRef>
              <c:f>Sheet1!$B$1:$M$1</c:f>
              <c:strCache>
                <c:ptCount val="6"/>
                <c:pt idx="0">
                  <c:v>УлГУ</c:v>
                </c:pt>
                <c:pt idx="1">
                  <c:v>РАНХиГС (Ульяновский филиал)</c:v>
                </c:pt>
                <c:pt idx="2">
                  <c:v>УлГТУ</c:v>
                </c:pt>
                <c:pt idx="3">
                  <c:v>УлГПУ</c:v>
                </c:pt>
                <c:pt idx="4">
                  <c:v>РАНХиГС (г.Москва)</c:v>
                </c:pt>
                <c:pt idx="5">
                  <c:v>иные организации</c:v>
                </c:pt>
              </c:strCache>
            </c:strRef>
          </c:cat>
          <c:val>
            <c:numRef>
              <c:f>Sheet1!$B$8:$M$8</c:f>
              <c:numCache>
                <c:formatCode>General</c:formatCode>
                <c:ptCount val="6"/>
              </c:numCache>
            </c:numRef>
          </c:val>
          <c:extLst>
            <c:ext xmlns:c16="http://schemas.microsoft.com/office/drawing/2014/chart" uri="{C3380CC4-5D6E-409C-BE32-E72D297353CC}">
              <c16:uniqueId val="{0000005A-DD2F-4A59-8658-5DEAAB2B2B85}"/>
            </c:ext>
          </c:extLst>
        </c:ser>
        <c:dLbls>
          <c:showLegendKey val="0"/>
          <c:showVal val="0"/>
          <c:showCatName val="0"/>
          <c:showSerName val="0"/>
          <c:showPercent val="0"/>
          <c:showBubbleSize val="0"/>
          <c:showLeaderLines val="1"/>
        </c:dLbls>
      </c:pie3DChart>
      <c:spPr>
        <a:noFill/>
        <a:ln w="24128">
          <a:noFill/>
        </a:ln>
      </c:spPr>
    </c:plotArea>
    <c:legend>
      <c:legendPos val="r"/>
      <c:layout>
        <c:manualLayout>
          <c:xMode val="edge"/>
          <c:yMode val="edge"/>
          <c:x val="0"/>
          <c:y val="0.28221170787337507"/>
          <c:w val="0.31191728416963477"/>
          <c:h val="0.3913070866141732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855" b="0" i="0" u="none" strike="noStrike" kern="1200" baseline="0">
              <a:solidFill>
                <a:schemeClr val="dk1">
                  <a:lumMod val="75000"/>
                  <a:lumOff val="25000"/>
                </a:schemeClr>
              </a:solidFill>
              <a:latin typeface="PT Astra Serif" panose="020A0603040505020204" pitchFamily="18" charset="-52"/>
              <a:ea typeface="PT Astra Serif" panose="020A0603040505020204" pitchFamily="18" charset="-52"/>
              <a:cs typeface="+mn-cs"/>
            </a:defRPr>
          </a:pPr>
          <a:endParaRPr lang="ru-RU"/>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048"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1000" b="1"/>
            </a:pPr>
            <a:r>
              <a:rPr lang="ru-RU" sz="1000" b="1"/>
              <a:t>Структура кадрового состава по образованию</a:t>
            </a:r>
          </a:p>
        </c:rich>
      </c:tx>
      <c:layout>
        <c:manualLayout>
          <c:xMode val="edge"/>
          <c:yMode val="edge"/>
          <c:x val="0.17971014492753623"/>
          <c:y val="0.84586089396672681"/>
        </c:manualLayout>
      </c:layout>
      <c:overlay val="0"/>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8309178743961352E-2"/>
          <c:y val="2.6458208057727004E-2"/>
          <c:w val="0.90338164251207731"/>
          <c:h val="0.45096693039647856"/>
        </c:manualLayout>
      </c:layout>
      <c:pie3DChart>
        <c:varyColors val="1"/>
        <c:ser>
          <c:idx val="0"/>
          <c:order val="0"/>
          <c:tx>
            <c:strRef>
              <c:f>Лист1!$B$1</c:f>
              <c:strCache>
                <c:ptCount val="1"/>
                <c:pt idx="0">
                  <c:v>Столбец1</c:v>
                </c:pt>
              </c:strCache>
            </c:strRef>
          </c:tx>
          <c:dPt>
            <c:idx val="0"/>
            <c:bubble3D val="0"/>
            <c:spPr>
              <a:gradFill rotWithShape="1">
                <a:gsLst>
                  <a:gs pos="0">
                    <a:schemeClr val="accent6">
                      <a:tint val="54000"/>
                      <a:satMod val="103000"/>
                      <a:lumMod val="102000"/>
                      <a:tint val="94000"/>
                    </a:schemeClr>
                  </a:gs>
                  <a:gs pos="50000">
                    <a:schemeClr val="accent6">
                      <a:tint val="54000"/>
                      <a:satMod val="110000"/>
                      <a:lumMod val="100000"/>
                      <a:shade val="100000"/>
                    </a:schemeClr>
                  </a:gs>
                  <a:gs pos="100000">
                    <a:schemeClr val="accent6">
                      <a:tint val="54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F8FA-4424-A919-615A3BC92645}"/>
              </c:ext>
            </c:extLst>
          </c:dPt>
          <c:dPt>
            <c:idx val="1"/>
            <c:bubble3D val="0"/>
            <c:spPr>
              <a:gradFill rotWithShape="1">
                <a:gsLst>
                  <a:gs pos="0">
                    <a:schemeClr val="accent6">
                      <a:tint val="77000"/>
                      <a:satMod val="103000"/>
                      <a:lumMod val="102000"/>
                      <a:tint val="94000"/>
                    </a:schemeClr>
                  </a:gs>
                  <a:gs pos="50000">
                    <a:schemeClr val="accent6">
                      <a:tint val="77000"/>
                      <a:satMod val="110000"/>
                      <a:lumMod val="100000"/>
                      <a:shade val="100000"/>
                    </a:schemeClr>
                  </a:gs>
                  <a:gs pos="100000">
                    <a:schemeClr val="accent6">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F8FA-4424-A919-615A3BC92645}"/>
              </c:ext>
            </c:extLst>
          </c:dPt>
          <c:dPt>
            <c:idx val="2"/>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F8FA-4424-A919-615A3BC92645}"/>
              </c:ext>
            </c:extLst>
          </c:dPt>
          <c:dPt>
            <c:idx val="3"/>
            <c:bubble3D val="0"/>
            <c:spPr>
              <a:gradFill rotWithShape="1">
                <a:gsLst>
                  <a:gs pos="0">
                    <a:schemeClr val="accent6">
                      <a:shade val="76000"/>
                      <a:satMod val="103000"/>
                      <a:lumMod val="102000"/>
                      <a:tint val="94000"/>
                    </a:schemeClr>
                  </a:gs>
                  <a:gs pos="50000">
                    <a:schemeClr val="accent6">
                      <a:shade val="76000"/>
                      <a:satMod val="110000"/>
                      <a:lumMod val="100000"/>
                      <a:shade val="100000"/>
                    </a:schemeClr>
                  </a:gs>
                  <a:gs pos="100000">
                    <a:schemeClr val="accent6">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F8FA-4424-A919-615A3BC92645}"/>
              </c:ext>
            </c:extLst>
          </c:dPt>
          <c:dPt>
            <c:idx val="4"/>
            <c:bubble3D val="0"/>
            <c:spPr>
              <a:gradFill rotWithShape="1">
                <a:gsLst>
                  <a:gs pos="0">
                    <a:schemeClr val="accent6">
                      <a:shade val="53000"/>
                      <a:satMod val="103000"/>
                      <a:lumMod val="102000"/>
                      <a:tint val="94000"/>
                    </a:schemeClr>
                  </a:gs>
                  <a:gs pos="50000">
                    <a:schemeClr val="accent6">
                      <a:shade val="53000"/>
                      <a:satMod val="110000"/>
                      <a:lumMod val="100000"/>
                      <a:shade val="100000"/>
                    </a:schemeClr>
                  </a:gs>
                  <a:gs pos="100000">
                    <a:schemeClr val="accent6">
                      <a:shade val="53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F8FA-4424-A919-615A3BC92645}"/>
              </c:ext>
            </c:extLst>
          </c:dPt>
          <c:dLbls>
            <c:spPr>
              <a:noFill/>
              <a:ln>
                <a:noFill/>
              </a:ln>
              <a:effectLst/>
            </c:spPr>
            <c:txPr>
              <a:bodyPr rot="0" vert="horz"/>
              <a:lstStyle/>
              <a:p>
                <a:pPr>
                  <a:defRPr>
                    <a:solidFill>
                      <a:schemeClr val="bg1"/>
                    </a:solidFill>
                  </a:defRPr>
                </a:pPr>
                <a:endParaRPr lang="ru-RU"/>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высшее профильное образование </c:v>
                </c:pt>
                <c:pt idx="1">
                  <c:v>высшее  образование  </c:v>
                </c:pt>
                <c:pt idx="2">
                  <c:v>среднее профессиональное профильное образование  </c:v>
                </c:pt>
                <c:pt idx="3">
                  <c:v>среднее профессиональное образование</c:v>
                </c:pt>
                <c:pt idx="4">
                  <c:v>среднее общее</c:v>
                </c:pt>
              </c:strCache>
            </c:strRef>
          </c:cat>
          <c:val>
            <c:numRef>
              <c:f>Лист1!$B$2:$B$6</c:f>
              <c:numCache>
                <c:formatCode>General</c:formatCode>
                <c:ptCount val="5"/>
                <c:pt idx="0">
                  <c:v>1746</c:v>
                </c:pt>
                <c:pt idx="1">
                  <c:v>1112</c:v>
                </c:pt>
                <c:pt idx="2">
                  <c:v>1008</c:v>
                </c:pt>
                <c:pt idx="3">
                  <c:v>1044</c:v>
                </c:pt>
                <c:pt idx="4">
                  <c:v>567</c:v>
                </c:pt>
              </c:numCache>
            </c:numRef>
          </c:val>
          <c:extLst>
            <c:ext xmlns:c16="http://schemas.microsoft.com/office/drawing/2014/chart" uri="{C3380CC4-5D6E-409C-BE32-E72D297353CC}">
              <c16:uniqueId val="{0000000A-F8FA-4424-A919-615A3BC92645}"/>
            </c:ext>
          </c:extLst>
        </c:ser>
        <c:dLbls>
          <c:showLegendKey val="0"/>
          <c:showVal val="0"/>
          <c:showCatName val="0"/>
          <c:showSerName val="0"/>
          <c:showPercent val="1"/>
          <c:showBubbleSize val="0"/>
          <c:showLeaderLines val="1"/>
        </c:dLbls>
      </c:pie3DChart>
      <c:spPr>
        <a:noFill/>
        <a:ln>
          <a:noFill/>
        </a:ln>
        <a:effectLst/>
      </c:spPr>
    </c:plotArea>
    <c:legend>
      <c:legendPos val="b"/>
      <c:layout>
        <c:manualLayout>
          <c:xMode val="edge"/>
          <c:yMode val="edge"/>
          <c:x val="7.9152358919561933E-2"/>
          <c:y val="0.50949569367569281"/>
          <c:w val="0.84169493635429959"/>
          <c:h val="0.29006333619001173"/>
        </c:manualLayout>
      </c:layout>
      <c:overlay val="0"/>
      <c:spPr>
        <a:noFill/>
        <a:ln>
          <a:noFill/>
        </a:ln>
        <a:effectLst/>
      </c:spPr>
      <c:txPr>
        <a:bodyPr rot="0" vert="horz"/>
        <a:lstStyle/>
        <a:p>
          <a:pPr>
            <a:defRPr/>
          </a:pPr>
          <a:endParaRPr lang="ru-RU"/>
        </a:p>
      </c:txPr>
    </c:legend>
    <c:plotVisOnly val="1"/>
    <c:dispBlanksAs val="zero"/>
    <c:showDLblsOverMax val="0"/>
  </c:chart>
  <c:spPr>
    <a:noFill/>
    <a:ln w="9525" cap="flat" cmpd="sng" algn="ctr">
      <a:noFill/>
      <a:round/>
    </a:ln>
    <a:effectLst/>
  </c:spPr>
  <c:txPr>
    <a:bodyPr/>
    <a:lstStyle/>
    <a:p>
      <a:pPr>
        <a:defRPr sz="800">
          <a:solidFill>
            <a:sysClr val="windowText" lastClr="000000"/>
          </a:solidFill>
          <a:latin typeface="PT Astra Serif" panose="020A0603040505020204" pitchFamily="18" charset="-52"/>
          <a:ea typeface="PT Astra Serif" panose="020A0603040505020204" pitchFamily="18" charset="-52"/>
          <a:cs typeface="Times New Roman" panose="02020603050405020304"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597" b="1" i="0" u="none" strike="noStrike" kern="1200" baseline="0">
                <a:solidFill>
                  <a:schemeClr val="tx1">
                    <a:lumMod val="65000"/>
                    <a:lumOff val="35000"/>
                  </a:schemeClr>
                </a:solidFill>
                <a:latin typeface="+mn-lt"/>
                <a:ea typeface="+mn-ea"/>
                <a:cs typeface="+mn-cs"/>
              </a:defRPr>
            </a:pPr>
            <a:r>
              <a:rPr lang="ru-RU"/>
              <a:t>Количество назначенных наставников</a:t>
            </a:r>
          </a:p>
        </c:rich>
      </c:tx>
      <c:layout>
        <c:manualLayout>
          <c:xMode val="edge"/>
          <c:yMode val="edge"/>
          <c:x val="0.18255781970415333"/>
          <c:y val="3.174597040400625E-2"/>
        </c:manualLayout>
      </c:layout>
      <c:overlay val="0"/>
      <c:spPr>
        <a:noFill/>
        <a:ln w="25347">
          <a:noFill/>
        </a:ln>
      </c:spPr>
    </c:title>
    <c:autoTitleDeleted val="0"/>
    <c:plotArea>
      <c:layout/>
      <c:barChart>
        <c:barDir val="col"/>
        <c:grouping val="clustered"/>
        <c:varyColors val="0"/>
        <c:ser>
          <c:idx val="0"/>
          <c:order val="0"/>
          <c:tx>
            <c:strRef>
              <c:f>Лист1!$B$1</c:f>
              <c:strCache>
                <c:ptCount val="1"/>
                <c:pt idx="0">
                  <c:v>2017</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Лист1!$B$2:$B$4</c:f>
              <c:numCache>
                <c:formatCode>General</c:formatCode>
                <c:ptCount val="3"/>
                <c:pt idx="0">
                  <c:v>133</c:v>
                </c:pt>
                <c:pt idx="1">
                  <c:v>102</c:v>
                </c:pt>
              </c:numCache>
            </c:numRef>
          </c:val>
          <c:extLst>
            <c:ext xmlns:c16="http://schemas.microsoft.com/office/drawing/2014/chart" uri="{C3380CC4-5D6E-409C-BE32-E72D297353CC}">
              <c16:uniqueId val="{00000000-9D67-42C6-9E70-A95D8B885369}"/>
            </c:ext>
          </c:extLst>
        </c:ser>
        <c:ser>
          <c:idx val="1"/>
          <c:order val="1"/>
          <c:tx>
            <c:strRef>
              <c:f>Лист1!$C$1</c:f>
              <c:strCache>
                <c:ptCount val="1"/>
                <c:pt idx="0">
                  <c:v>2018</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Лист1!$C$2:$C$4</c:f>
              <c:numCache>
                <c:formatCode>General</c:formatCode>
                <c:ptCount val="3"/>
                <c:pt idx="0">
                  <c:v>156</c:v>
                </c:pt>
                <c:pt idx="1">
                  <c:v>131</c:v>
                </c:pt>
              </c:numCache>
            </c:numRef>
          </c:val>
          <c:extLst>
            <c:ext xmlns:c16="http://schemas.microsoft.com/office/drawing/2014/chart" uri="{C3380CC4-5D6E-409C-BE32-E72D297353CC}">
              <c16:uniqueId val="{00000001-9D67-42C6-9E70-A95D8B885369}"/>
            </c:ext>
          </c:extLst>
        </c:ser>
        <c:ser>
          <c:idx val="2"/>
          <c:order val="2"/>
          <c:tx>
            <c:strRef>
              <c:f>Лист1!$D$1</c:f>
              <c:strCache>
                <c:ptCount val="1"/>
                <c:pt idx="0">
                  <c:v>2019</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Лист1!$D$2:$D$4</c:f>
              <c:numCache>
                <c:formatCode>General</c:formatCode>
                <c:ptCount val="3"/>
                <c:pt idx="0">
                  <c:v>140</c:v>
                </c:pt>
                <c:pt idx="1">
                  <c:v>124</c:v>
                </c:pt>
              </c:numCache>
            </c:numRef>
          </c:val>
          <c:extLst>
            <c:ext xmlns:c16="http://schemas.microsoft.com/office/drawing/2014/chart" uri="{C3380CC4-5D6E-409C-BE32-E72D297353CC}">
              <c16:uniqueId val="{00000002-9D67-42C6-9E70-A95D8B885369}"/>
            </c:ext>
          </c:extLst>
        </c:ser>
        <c:ser>
          <c:idx val="3"/>
          <c:order val="3"/>
          <c:tx>
            <c:strRef>
              <c:f>Лист1!$E$1</c:f>
              <c:strCache>
                <c:ptCount val="1"/>
                <c:pt idx="0">
                  <c:v>2020</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Лист1!$E$2:$E$4</c:f>
              <c:numCache>
                <c:formatCode>General</c:formatCode>
                <c:ptCount val="3"/>
                <c:pt idx="0">
                  <c:v>140</c:v>
                </c:pt>
                <c:pt idx="1">
                  <c:v>142</c:v>
                </c:pt>
              </c:numCache>
            </c:numRef>
          </c:val>
          <c:extLst>
            <c:ext xmlns:c16="http://schemas.microsoft.com/office/drawing/2014/chart" uri="{C3380CC4-5D6E-409C-BE32-E72D297353CC}">
              <c16:uniqueId val="{00000003-9D67-42C6-9E70-A95D8B885369}"/>
            </c:ext>
          </c:extLst>
        </c:ser>
        <c:ser>
          <c:idx val="4"/>
          <c:order val="4"/>
          <c:tx>
            <c:strRef>
              <c:f>Лист1!$F$1</c:f>
              <c:strCache>
                <c:ptCount val="1"/>
                <c:pt idx="0">
                  <c:v>2021</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Лист1!$F$2:$F$4</c:f>
              <c:numCache>
                <c:formatCode>General</c:formatCode>
                <c:ptCount val="3"/>
                <c:pt idx="0">
                  <c:v>198</c:v>
                </c:pt>
                <c:pt idx="1">
                  <c:v>198</c:v>
                </c:pt>
              </c:numCache>
            </c:numRef>
          </c:val>
          <c:extLst>
            <c:ext xmlns:c16="http://schemas.microsoft.com/office/drawing/2014/chart" uri="{C3380CC4-5D6E-409C-BE32-E72D297353CC}">
              <c16:uniqueId val="{00000004-9D67-42C6-9E70-A95D8B885369}"/>
            </c:ext>
          </c:extLst>
        </c:ser>
        <c:ser>
          <c:idx val="5"/>
          <c:order val="5"/>
          <c:tx>
            <c:strRef>
              <c:f>Лист1!$G$1</c:f>
              <c:strCache>
                <c:ptCount val="1"/>
                <c:pt idx="0">
                  <c:v>2022</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Лист1!$G$2:$G$4</c:f>
              <c:numCache>
                <c:formatCode>General</c:formatCode>
                <c:ptCount val="3"/>
                <c:pt idx="0">
                  <c:v>237</c:v>
                </c:pt>
                <c:pt idx="1">
                  <c:v>237</c:v>
                </c:pt>
              </c:numCache>
            </c:numRef>
          </c:val>
          <c:extLst>
            <c:ext xmlns:c16="http://schemas.microsoft.com/office/drawing/2014/chart" uri="{C3380CC4-5D6E-409C-BE32-E72D297353CC}">
              <c16:uniqueId val="{00000005-9D67-42C6-9E70-A95D8B885369}"/>
            </c:ext>
          </c:extLst>
        </c:ser>
        <c:ser>
          <c:idx val="6"/>
          <c:order val="6"/>
          <c:tx>
            <c:strRef>
              <c:f>Лист1!$H$1</c:f>
              <c:strCache>
                <c:ptCount val="1"/>
                <c:pt idx="0">
                  <c:v>2023</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Лист1!$H$2:$H$4</c:f>
              <c:numCache>
                <c:formatCode>General</c:formatCode>
                <c:ptCount val="3"/>
                <c:pt idx="0">
                  <c:v>202</c:v>
                </c:pt>
                <c:pt idx="1">
                  <c:v>205</c:v>
                </c:pt>
              </c:numCache>
            </c:numRef>
          </c:val>
          <c:extLst>
            <c:ext xmlns:c16="http://schemas.microsoft.com/office/drawing/2014/chart" uri="{C3380CC4-5D6E-409C-BE32-E72D297353CC}">
              <c16:uniqueId val="{00000006-9D67-42C6-9E70-A95D8B885369}"/>
            </c:ext>
          </c:extLst>
        </c:ser>
        <c:ser>
          <c:idx val="7"/>
          <c:order val="7"/>
          <c:tx>
            <c:strRef>
              <c:f>Лист1!$I$1</c:f>
              <c:strCache>
                <c:ptCount val="1"/>
                <c:pt idx="0">
                  <c:v>2024</c:v>
                </c:pt>
              </c:strCache>
            </c:strRef>
          </c:tx>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Лист1!$I$2:$I$4</c:f>
              <c:numCache>
                <c:formatCode>General</c:formatCode>
                <c:ptCount val="3"/>
                <c:pt idx="0">
                  <c:v>258</c:v>
                </c:pt>
                <c:pt idx="1">
                  <c:v>258</c:v>
                </c:pt>
              </c:numCache>
            </c:numRef>
          </c:val>
          <c:extLst>
            <c:ext xmlns:c16="http://schemas.microsoft.com/office/drawing/2014/chart" uri="{C3380CC4-5D6E-409C-BE32-E72D297353CC}">
              <c16:uniqueId val="{00000007-9D67-42C6-9E70-A95D8B885369}"/>
            </c:ext>
          </c:extLst>
        </c:ser>
        <c:ser>
          <c:idx val="8"/>
          <c:order val="8"/>
          <c:tx>
            <c:strRef>
              <c:f>Лист1!$J$1</c:f>
              <c:strCache>
                <c:ptCount val="1"/>
                <c:pt idx="0">
                  <c:v>2025</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Лист1!$A$2:$A$4</c:f>
              <c:strCache>
                <c:ptCount val="2"/>
                <c:pt idx="0">
                  <c:v>Работники</c:v>
                </c:pt>
                <c:pt idx="1">
                  <c:v>Наставники</c:v>
                </c:pt>
              </c:strCache>
            </c:strRef>
          </c:cat>
          <c:val>
            <c:numRef>
              <c:f>Лист1!$J$2:$J$4</c:f>
              <c:numCache>
                <c:formatCode>General</c:formatCode>
                <c:ptCount val="3"/>
                <c:pt idx="0">
                  <c:v>209</c:v>
                </c:pt>
                <c:pt idx="1">
                  <c:v>209</c:v>
                </c:pt>
              </c:numCache>
            </c:numRef>
          </c:val>
          <c:extLst>
            <c:ext xmlns:c16="http://schemas.microsoft.com/office/drawing/2014/chart" uri="{C3380CC4-5D6E-409C-BE32-E72D297353CC}">
              <c16:uniqueId val="{00000008-9D67-42C6-9E70-A95D8B885369}"/>
            </c:ext>
          </c:extLst>
        </c:ser>
        <c:dLbls>
          <c:showLegendKey val="0"/>
          <c:showVal val="0"/>
          <c:showCatName val="0"/>
          <c:showSerName val="0"/>
          <c:showPercent val="0"/>
          <c:showBubbleSize val="0"/>
        </c:dLbls>
        <c:gapWidth val="100"/>
        <c:overlap val="-24"/>
        <c:axId val="219824328"/>
        <c:axId val="1"/>
      </c:barChart>
      <c:catAx>
        <c:axId val="219824328"/>
        <c:scaling>
          <c:orientation val="minMax"/>
        </c:scaling>
        <c:delete val="0"/>
        <c:axPos val="b"/>
        <c:numFmt formatCode="General" sourceLinked="1"/>
        <c:majorTickMark val="none"/>
        <c:minorTickMark val="none"/>
        <c:tickLblPos val="nextTo"/>
        <c:spPr>
          <a:noFill/>
          <a:ln w="12673"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05" cap="flat" cmpd="sng" algn="ctr">
              <a:solidFill>
                <a:schemeClr val="tx1">
                  <a:lumMod val="15000"/>
                  <a:lumOff val="85000"/>
                </a:schemeClr>
              </a:solidFill>
              <a:round/>
            </a:ln>
            <a:effectLst/>
          </c:spPr>
        </c:majorGridlines>
        <c:numFmt formatCode="General" sourceLinked="1"/>
        <c:majorTickMark val="none"/>
        <c:minorTickMark val="none"/>
        <c:tickLblPos val="nextTo"/>
        <c:spPr>
          <a:ln w="6337">
            <a:noFill/>
          </a:ln>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ru-RU"/>
          </a:p>
        </c:txPr>
        <c:crossAx val="219824328"/>
        <c:crosses val="autoZero"/>
        <c:crossBetween val="between"/>
      </c:valAx>
      <c:spPr>
        <a:noFill/>
        <a:ln w="25347">
          <a:noFill/>
        </a:ln>
      </c:spPr>
    </c:plotArea>
    <c:legend>
      <c:legendPos val="b"/>
      <c:overlay val="0"/>
      <c:spPr>
        <a:noFill/>
        <a:ln w="25347">
          <a:noFill/>
        </a:ln>
      </c:spPr>
      <c:txPr>
        <a:bodyPr rot="0" spcFirstLastPara="1" vertOverflow="ellipsis" vert="horz" wrap="square" anchor="ctr" anchorCtr="1"/>
        <a:lstStyle/>
        <a:p>
          <a:pPr>
            <a:defRPr sz="898"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0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ru-RU" sz="1000" b="1">
                <a:latin typeface="PT Astra Serif" panose="020A0603040505020204" pitchFamily="18" charset="-52"/>
                <a:ea typeface="PT Astra Serif" panose="020A0603040505020204" pitchFamily="18" charset="-52"/>
              </a:rPr>
              <a:t>Количество работников, прошедших "Курс молодого бойца</a:t>
            </a:r>
            <a:r>
              <a:rPr lang="ru-RU" sz="1000"/>
              <a:t>"</a:t>
            </a:r>
          </a:p>
        </c:rich>
      </c:tx>
      <c:layout>
        <c:manualLayout>
          <c:xMode val="edge"/>
          <c:yMode val="edge"/>
          <c:x val="0.1362499705490135"/>
          <c:y val="3.5714321652285476E-2"/>
        </c:manualLayout>
      </c:layout>
      <c:overlay val="0"/>
      <c:spPr>
        <a:noFill/>
        <a:ln w="25355">
          <a:noFill/>
        </a:ln>
      </c:spPr>
    </c:title>
    <c:autoTitleDeleted val="0"/>
    <c:plotArea>
      <c:layout/>
      <c:barChart>
        <c:barDir val="col"/>
        <c:grouping val="clustered"/>
        <c:varyColors val="0"/>
        <c:ser>
          <c:idx val="0"/>
          <c:order val="0"/>
          <c:tx>
            <c:strRef>
              <c:f>Лист1!$B$1</c:f>
              <c:strCache>
                <c:ptCount val="1"/>
                <c:pt idx="0">
                  <c:v>Ряд 1</c:v>
                </c:pt>
              </c:strCache>
            </c:strRef>
          </c:tx>
          <c:spPr>
            <a:solidFill>
              <a:srgbClr val="0070C0"/>
            </a:solidFill>
            <a:ln>
              <a:solidFill>
                <a:srgbClr val="0070C0"/>
              </a:solidFill>
            </a:ln>
            <a:effectLst>
              <a:outerShdw blurRad="76200" dir="18900000" sy="23000" kx="-1200000" algn="bl" rotWithShape="0">
                <a:prstClr val="black">
                  <a:alpha val="20000"/>
                </a:prstClr>
              </a:outerShdw>
            </a:effectLst>
          </c:spPr>
          <c:invertIfNegative val="0"/>
          <c:dLbls>
            <c:spPr>
              <a:noFill/>
              <a:ln w="25355">
                <a:noFill/>
              </a:ln>
            </c:spPr>
            <c:txPr>
              <a:bodyPr rot="0" spcFirstLastPara="1" vertOverflow="ellipsis" vert="horz" wrap="square" lIns="38100" tIns="19050" rIns="38100" bIns="19050" anchor="ctr" anchorCtr="1">
                <a:spAutoFit/>
              </a:bodyPr>
              <a:lstStyle/>
              <a:p>
                <a:pPr>
                  <a:defRPr sz="998"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Лист1!$A$2:$A$15</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Лист1!$B$2:$B$15</c:f>
              <c:numCache>
                <c:formatCode>General</c:formatCode>
                <c:ptCount val="14"/>
                <c:pt idx="0">
                  <c:v>88</c:v>
                </c:pt>
                <c:pt idx="1">
                  <c:v>84</c:v>
                </c:pt>
                <c:pt idx="2">
                  <c:v>74</c:v>
                </c:pt>
                <c:pt idx="3">
                  <c:v>100</c:v>
                </c:pt>
                <c:pt idx="4">
                  <c:v>69</c:v>
                </c:pt>
                <c:pt idx="5">
                  <c:v>52</c:v>
                </c:pt>
                <c:pt idx="6">
                  <c:v>83</c:v>
                </c:pt>
                <c:pt idx="7">
                  <c:v>79</c:v>
                </c:pt>
                <c:pt idx="8">
                  <c:v>89</c:v>
                </c:pt>
                <c:pt idx="9">
                  <c:v>87</c:v>
                </c:pt>
                <c:pt idx="10">
                  <c:v>86</c:v>
                </c:pt>
                <c:pt idx="11">
                  <c:v>86</c:v>
                </c:pt>
                <c:pt idx="12">
                  <c:v>122</c:v>
                </c:pt>
                <c:pt idx="13">
                  <c:v>77</c:v>
                </c:pt>
              </c:numCache>
            </c:numRef>
          </c:val>
          <c:extLst>
            <c:ext xmlns:c16="http://schemas.microsoft.com/office/drawing/2014/chart" uri="{C3380CC4-5D6E-409C-BE32-E72D297353CC}">
              <c16:uniqueId val="{00000000-A7F3-4D70-839F-BBF5440280EE}"/>
            </c:ext>
          </c:extLst>
        </c:ser>
        <c:dLbls>
          <c:showLegendKey val="0"/>
          <c:showVal val="0"/>
          <c:showCatName val="0"/>
          <c:showSerName val="0"/>
          <c:showPercent val="0"/>
          <c:showBubbleSize val="0"/>
        </c:dLbls>
        <c:gapWidth val="41"/>
        <c:axId val="219367264"/>
        <c:axId val="1"/>
      </c:barChart>
      <c:catAx>
        <c:axId val="219367264"/>
        <c:scaling>
          <c:orientation val="minMax"/>
        </c:scaling>
        <c:delete val="0"/>
        <c:axPos val="b"/>
        <c:numFmt formatCode="General" sourceLinked="1"/>
        <c:majorTickMark val="none"/>
        <c:minorTickMark val="none"/>
        <c:tickLblPos val="nextTo"/>
        <c:spPr>
          <a:ln w="6339">
            <a:noFill/>
          </a:ln>
        </c:spPr>
        <c:txPr>
          <a:bodyPr rot="-60000000" spcFirstLastPara="1" vertOverflow="ellipsis" vert="horz" wrap="square" anchor="ctr" anchorCtr="1"/>
          <a:lstStyle/>
          <a:p>
            <a:pPr>
              <a:defRPr sz="898" b="0" i="0" u="none" strike="noStrike" kern="1200" baseline="0">
                <a:solidFill>
                  <a:schemeClr val="dk1">
                    <a:lumMod val="65000"/>
                    <a:lumOff val="35000"/>
                  </a:schemeClr>
                </a:solidFill>
                <a:effectLst/>
                <a:latin typeface="+mn-lt"/>
                <a:ea typeface="+mn-ea"/>
                <a:cs typeface="+mn-cs"/>
              </a:defRPr>
            </a:pPr>
            <a:endParaRPr lang="ru-RU"/>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219367264"/>
        <c:crosses val="autoZero"/>
        <c:crossBetween val="between"/>
      </c:valAx>
      <c:spPr>
        <a:noFill/>
        <a:ln w="25355">
          <a:noFill/>
        </a:ln>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08"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796" b="1" i="0" u="none" strike="noStrike" kern="1200" baseline="0">
                <a:solidFill>
                  <a:schemeClr val="dk1">
                    <a:lumMod val="75000"/>
                    <a:lumOff val="25000"/>
                  </a:schemeClr>
                </a:solidFill>
                <a:latin typeface="+mn-lt"/>
                <a:ea typeface="+mn-ea"/>
                <a:cs typeface="+mn-cs"/>
              </a:defRPr>
            </a:pPr>
            <a:r>
              <a:rPr lang="ru-RU" sz="1100">
                <a:latin typeface="PT Astra Serif" panose="020A0603040505020204" pitchFamily="18" charset="-52"/>
                <a:ea typeface="PT Astra Serif" panose="020A0603040505020204" pitchFamily="18" charset="-52"/>
              </a:rPr>
              <a:t>Лучший наставник в Ульяновской области</a:t>
            </a:r>
          </a:p>
        </c:rich>
      </c:tx>
      <c:layout>
        <c:manualLayout>
          <c:xMode val="edge"/>
          <c:yMode val="edge"/>
          <c:x val="0.21392997426383897"/>
          <c:y val="0"/>
        </c:manualLayout>
      </c:layout>
      <c:overlay val="0"/>
      <c:spPr>
        <a:noFill/>
        <a:ln w="25348">
          <a:noFill/>
        </a:ln>
      </c:spPr>
    </c:title>
    <c:autoTitleDeleted val="0"/>
    <c:view3D>
      <c:rotX val="50"/>
      <c:rotY val="0"/>
      <c:rAngAx val="0"/>
      <c:perspective val="0"/>
    </c:view3D>
    <c:floor>
      <c:thickness val="0"/>
    </c:floor>
    <c:sideWall>
      <c:thickness val="0"/>
    </c:sideWall>
    <c:backWall>
      <c:thickness val="0"/>
    </c:backWall>
    <c:plotArea>
      <c:layout>
        <c:manualLayout>
          <c:layoutTarget val="inner"/>
          <c:xMode val="edge"/>
          <c:yMode val="edge"/>
          <c:x val="4.6296296296296294E-3"/>
          <c:y val="0.20396825396825397"/>
          <c:w val="0.6698111694371538"/>
          <c:h val="0.78809523809523807"/>
        </c:manualLayout>
      </c:layout>
      <c:pie3DChart>
        <c:varyColors val="1"/>
        <c:ser>
          <c:idx val="0"/>
          <c:order val="0"/>
          <c:tx>
            <c:strRef>
              <c:f>Лист1!$B$1</c:f>
              <c:strCache>
                <c:ptCount val="1"/>
                <c:pt idx="0">
                  <c:v>Лучший наставник в Ульяновской области</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C447-4F57-9883-0D1661841C11}"/>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C447-4F57-9883-0D1661841C11}"/>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C447-4F57-9883-0D1661841C11}"/>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C447-4F57-9883-0D1661841C1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98" b="1" i="0" u="none" strike="noStrike" kern="1200" baseline="0">
                    <a:solidFill>
                      <a:schemeClr val="lt1"/>
                    </a:solidFill>
                    <a:latin typeface="PT Astra Serif" panose="020A0603040505020204" pitchFamily="18" charset="-52"/>
                    <a:ea typeface="PT Astra Serif" panose="020A0603040505020204" pitchFamily="18" charset="-52"/>
                    <a:cs typeface="+mn-cs"/>
                  </a:defRPr>
                </a:pPr>
                <a:endParaRPr lang="ru-RU"/>
              </a:p>
            </c:txPr>
            <c:dLblPos val="ctr"/>
            <c:showLegendKey val="0"/>
            <c:showVal val="0"/>
            <c:showCatName val="0"/>
            <c:showSerName val="0"/>
            <c:showPercent val="1"/>
            <c:showBubbleSize val="0"/>
            <c:showLeaderLines val="1"/>
            <c:leaderLines>
              <c:spPr>
                <a:ln w="9506">
                  <a:solidFill>
                    <a:schemeClr val="dk1">
                      <a:lumMod val="50000"/>
                      <a:lumOff val="50000"/>
                    </a:schemeClr>
                  </a:solidFill>
                </a:ln>
                <a:effectLst/>
              </c:spPr>
            </c:leaderLines>
            <c:extLst>
              <c:ext xmlns:c15="http://schemas.microsoft.com/office/drawing/2012/chart" uri="{CE6537A1-D6FC-4f65-9D91-7224C49458BB}"/>
            </c:extLst>
          </c:dLbls>
          <c:cat>
            <c:strRef>
              <c:f>Лист1!$A$2:$A$5</c:f>
              <c:strCache>
                <c:ptCount val="4"/>
                <c:pt idx="0">
                  <c:v>Лучший наставник в сфере науки и образования</c:v>
                </c:pt>
                <c:pt idx="1">
                  <c:v>Лучший наставник в социальной сфере</c:v>
                </c:pt>
                <c:pt idx="2">
                  <c:v>Лучший наставник в государственном или муниципальном органе</c:v>
                </c:pt>
                <c:pt idx="3">
                  <c:v>Лучший наставник в отрасли натуральной экономики и промышленности</c:v>
                </c:pt>
              </c:strCache>
            </c:strRef>
          </c:cat>
          <c:val>
            <c:numRef>
              <c:f>Лист1!$B$2:$B$5</c:f>
              <c:numCache>
                <c:formatCode>\О\с\н\о\в\н\о\й</c:formatCode>
                <c:ptCount val="4"/>
                <c:pt idx="0">
                  <c:v>18</c:v>
                </c:pt>
                <c:pt idx="1">
                  <c:v>5</c:v>
                </c:pt>
                <c:pt idx="2">
                  <c:v>3</c:v>
                </c:pt>
                <c:pt idx="3">
                  <c:v>2</c:v>
                </c:pt>
              </c:numCache>
            </c:numRef>
          </c:val>
          <c:extLst>
            <c:ext xmlns:c16="http://schemas.microsoft.com/office/drawing/2014/chart" uri="{C3380CC4-5D6E-409C-BE32-E72D297353CC}">
              <c16:uniqueId val="{00000008-C447-4F57-9883-0D1661841C11}"/>
            </c:ext>
          </c:extLst>
        </c:ser>
        <c:dLbls>
          <c:showLegendKey val="0"/>
          <c:showVal val="0"/>
          <c:showCatName val="0"/>
          <c:showSerName val="0"/>
          <c:showPercent val="0"/>
          <c:showBubbleSize val="0"/>
          <c:showLeaderLines val="1"/>
        </c:dLbls>
      </c:pie3DChart>
      <c:spPr>
        <a:noFill/>
        <a:ln w="25348">
          <a:noFill/>
        </a:ln>
      </c:spPr>
    </c:plotArea>
    <c:legend>
      <c:legendPos val="r"/>
      <c:layout>
        <c:manualLayout>
          <c:xMode val="edge"/>
          <c:yMode val="edge"/>
          <c:x val="0.62607433860887673"/>
          <c:y val="0.16984699294518371"/>
          <c:w val="0.36954068241469817"/>
          <c:h val="0.5813547774613279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898" b="0" i="0" u="none" strike="noStrike" kern="1200" baseline="0">
              <a:solidFill>
                <a:schemeClr val="dk1">
                  <a:lumMod val="75000"/>
                  <a:lumOff val="25000"/>
                </a:schemeClr>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06"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Лист1!$E$5</c:f>
              <c:strCache>
                <c:ptCount val="1"/>
                <c:pt idx="0">
                  <c:v>Обращения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Лист1!$F$4:$G$4</c:f>
              <c:strCache>
                <c:ptCount val="2"/>
                <c:pt idx="0">
                  <c:v>2025 год</c:v>
                </c:pt>
                <c:pt idx="1">
                  <c:v>2024</c:v>
                </c:pt>
              </c:strCache>
            </c:strRef>
          </c:cat>
          <c:val>
            <c:numRef>
              <c:f>Лист1!$F$5:$G$5</c:f>
              <c:numCache>
                <c:formatCode>General</c:formatCode>
                <c:ptCount val="2"/>
                <c:pt idx="0">
                  <c:v>7601</c:v>
                </c:pt>
                <c:pt idx="1">
                  <c:v>12072</c:v>
                </c:pt>
              </c:numCache>
            </c:numRef>
          </c:val>
          <c:extLst>
            <c:ext xmlns:c16="http://schemas.microsoft.com/office/drawing/2014/chart" uri="{C3380CC4-5D6E-409C-BE32-E72D297353CC}">
              <c16:uniqueId val="{00000000-0F34-44F9-B274-3EBD554DCFAC}"/>
            </c:ext>
          </c:extLst>
        </c:ser>
        <c:ser>
          <c:idx val="1"/>
          <c:order val="1"/>
          <c:tx>
            <c:strRef>
              <c:f>Лист1!$E$6</c:f>
              <c:strCache>
                <c:ptCount val="1"/>
                <c:pt idx="0">
                  <c:v>Вопросы</c:v>
                </c:pt>
              </c:strCache>
            </c:strRef>
          </c:tx>
          <c:spPr>
            <a:pattFill prst="sphere">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Лист1!$F$4:$G$4</c:f>
              <c:strCache>
                <c:ptCount val="2"/>
                <c:pt idx="0">
                  <c:v>2025 год</c:v>
                </c:pt>
                <c:pt idx="1">
                  <c:v>2024</c:v>
                </c:pt>
              </c:strCache>
            </c:strRef>
          </c:cat>
          <c:val>
            <c:numRef>
              <c:f>Лист1!$F$6:$G$6</c:f>
              <c:numCache>
                <c:formatCode>General</c:formatCode>
                <c:ptCount val="2"/>
                <c:pt idx="0">
                  <c:v>10870</c:v>
                </c:pt>
                <c:pt idx="1">
                  <c:v>14526</c:v>
                </c:pt>
              </c:numCache>
            </c:numRef>
          </c:val>
          <c:extLst>
            <c:ext xmlns:c16="http://schemas.microsoft.com/office/drawing/2014/chart" uri="{C3380CC4-5D6E-409C-BE32-E72D297353CC}">
              <c16:uniqueId val="{00000001-0F34-44F9-B274-3EBD554DCFAC}"/>
            </c:ext>
          </c:extLst>
        </c:ser>
        <c:dLbls>
          <c:dLblPos val="outEnd"/>
          <c:showLegendKey val="0"/>
          <c:showVal val="1"/>
          <c:showCatName val="0"/>
          <c:showSerName val="0"/>
          <c:showPercent val="0"/>
          <c:showBubbleSize val="0"/>
        </c:dLbls>
        <c:gapWidth val="267"/>
        <c:overlap val="-43"/>
        <c:axId val="227693296"/>
        <c:axId val="551427328"/>
      </c:barChart>
      <c:catAx>
        <c:axId val="2276932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51427328"/>
        <c:crosses val="autoZero"/>
        <c:auto val="1"/>
        <c:lblAlgn val="ctr"/>
        <c:lblOffset val="100"/>
        <c:noMultiLvlLbl val="0"/>
      </c:catAx>
      <c:valAx>
        <c:axId val="551427328"/>
        <c:scaling>
          <c:orientation val="minMax"/>
        </c:scaling>
        <c:delete val="1"/>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crossAx val="22769329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Лист1!$E$9</c:f>
              <c:strCache>
                <c:ptCount val="1"/>
                <c:pt idx="0">
                  <c:v>Обращения в форме электронного документа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Лист1!$F$8:$G$8</c:f>
              <c:strCache>
                <c:ptCount val="2"/>
                <c:pt idx="0">
                  <c:v>2025 год</c:v>
                </c:pt>
                <c:pt idx="1">
                  <c:v>2024 год</c:v>
                </c:pt>
              </c:strCache>
            </c:strRef>
          </c:cat>
          <c:val>
            <c:numRef>
              <c:f>Лист1!$F$9:$G$9</c:f>
              <c:numCache>
                <c:formatCode>General</c:formatCode>
                <c:ptCount val="2"/>
                <c:pt idx="0">
                  <c:v>4954</c:v>
                </c:pt>
                <c:pt idx="1">
                  <c:v>8861</c:v>
                </c:pt>
              </c:numCache>
            </c:numRef>
          </c:val>
          <c:extLst>
            <c:ext xmlns:c16="http://schemas.microsoft.com/office/drawing/2014/chart" uri="{C3380CC4-5D6E-409C-BE32-E72D297353CC}">
              <c16:uniqueId val="{00000000-4067-4068-8FF8-14DB9E540707}"/>
            </c:ext>
          </c:extLst>
        </c:ser>
        <c:ser>
          <c:idx val="1"/>
          <c:order val="1"/>
          <c:tx>
            <c:strRef>
              <c:f>Лист1!$E$10</c:f>
              <c:strCache>
                <c:ptCount val="1"/>
                <c:pt idx="0">
                  <c:v>Письменные обращения</c:v>
                </c:pt>
              </c:strCache>
            </c:strRef>
          </c:tx>
          <c:spPr>
            <a:pattFill prst="dkVert">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Лист1!$F$8:$G$8</c:f>
              <c:strCache>
                <c:ptCount val="2"/>
                <c:pt idx="0">
                  <c:v>2025 год</c:v>
                </c:pt>
                <c:pt idx="1">
                  <c:v>2024 год</c:v>
                </c:pt>
              </c:strCache>
            </c:strRef>
          </c:cat>
          <c:val>
            <c:numRef>
              <c:f>Лист1!$F$10:$G$10</c:f>
              <c:numCache>
                <c:formatCode>General</c:formatCode>
                <c:ptCount val="2"/>
                <c:pt idx="0">
                  <c:v>2371</c:v>
                </c:pt>
                <c:pt idx="1">
                  <c:v>2868</c:v>
                </c:pt>
              </c:numCache>
            </c:numRef>
          </c:val>
          <c:extLst>
            <c:ext xmlns:c16="http://schemas.microsoft.com/office/drawing/2014/chart" uri="{C3380CC4-5D6E-409C-BE32-E72D297353CC}">
              <c16:uniqueId val="{00000001-4067-4068-8FF8-14DB9E540707}"/>
            </c:ext>
          </c:extLst>
        </c:ser>
        <c:ser>
          <c:idx val="2"/>
          <c:order val="2"/>
          <c:tx>
            <c:strRef>
              <c:f>Лист1!$E$11</c:f>
              <c:strCache>
                <c:ptCount val="1"/>
                <c:pt idx="0">
                  <c:v>Устные обращения</c:v>
                </c:pt>
              </c:strCache>
            </c:strRef>
          </c:tx>
          <c:spPr>
            <a:pattFill prst="solidDmnd">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Лист1!$F$8:$G$8</c:f>
              <c:strCache>
                <c:ptCount val="2"/>
                <c:pt idx="0">
                  <c:v>2025 год</c:v>
                </c:pt>
                <c:pt idx="1">
                  <c:v>2024 год</c:v>
                </c:pt>
              </c:strCache>
            </c:strRef>
          </c:cat>
          <c:val>
            <c:numRef>
              <c:f>Лист1!$F$11:$G$11</c:f>
              <c:numCache>
                <c:formatCode>General</c:formatCode>
                <c:ptCount val="2"/>
                <c:pt idx="0">
                  <c:v>276</c:v>
                </c:pt>
                <c:pt idx="1">
                  <c:v>343</c:v>
                </c:pt>
              </c:numCache>
            </c:numRef>
          </c:val>
          <c:extLst>
            <c:ext xmlns:c16="http://schemas.microsoft.com/office/drawing/2014/chart" uri="{C3380CC4-5D6E-409C-BE32-E72D297353CC}">
              <c16:uniqueId val="{00000002-4067-4068-8FF8-14DB9E540707}"/>
            </c:ext>
          </c:extLst>
        </c:ser>
        <c:dLbls>
          <c:dLblPos val="outEnd"/>
          <c:showLegendKey val="0"/>
          <c:showVal val="1"/>
          <c:showCatName val="0"/>
          <c:showSerName val="0"/>
          <c:showPercent val="0"/>
          <c:showBubbleSize val="0"/>
        </c:dLbls>
        <c:gapWidth val="267"/>
        <c:overlap val="-43"/>
        <c:axId val="551429992"/>
        <c:axId val="551432512"/>
      </c:barChart>
      <c:catAx>
        <c:axId val="5514299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51432512"/>
        <c:crosses val="autoZero"/>
        <c:auto val="1"/>
        <c:lblAlgn val="ctr"/>
        <c:lblOffset val="100"/>
        <c:noMultiLvlLbl val="0"/>
      </c:catAx>
      <c:valAx>
        <c:axId val="551432512"/>
        <c:scaling>
          <c:orientation val="minMax"/>
        </c:scaling>
        <c:delete val="1"/>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crossAx val="5514299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radarChart>
        <c:radarStyle val="marker"/>
        <c:varyColors val="0"/>
        <c:ser>
          <c:idx val="0"/>
          <c:order val="0"/>
          <c:tx>
            <c:strRef>
              <c:f>Лист1!$G$14</c:f>
              <c:strCache>
                <c:ptCount val="1"/>
                <c:pt idx="0">
                  <c:v>2025 год</c:v>
                </c:pt>
              </c:strCache>
            </c:strRef>
          </c:tx>
          <c:spPr>
            <a:ln w="28575" cap="rnd">
              <a:solidFill>
                <a:schemeClr val="accent1"/>
              </a:solidFill>
              <a:prstDash val="lgDash"/>
              <a:round/>
            </a:ln>
            <a:effectLst/>
          </c:spPr>
          <c:marker>
            <c:symbol val="circle"/>
            <c:size val="5"/>
            <c:spPr>
              <a:solidFill>
                <a:schemeClr val="accent1"/>
              </a:solidFill>
              <a:ln w="9525">
                <a:solidFill>
                  <a:schemeClr val="accent1"/>
                </a:solidFill>
                <a:prstDash val="lgDash"/>
              </a:ln>
              <a:effectLst/>
            </c:spPr>
          </c:marker>
          <c:dLbls>
            <c:dLbl>
              <c:idx val="2"/>
              <c:layout>
                <c:manualLayout>
                  <c:x val="6.9291338582677164E-2"/>
                  <c:y val="-3.0599755201958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929-4A39-B1DF-DD17832F4CE9}"/>
                </c:ext>
              </c:extLst>
            </c:dLbl>
            <c:dLbl>
              <c:idx val="17"/>
              <c:layout>
                <c:manualLayout>
                  <c:x val="-6.2292358803987093E-3"/>
                  <c:y val="-2.3608105449537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929-4A39-B1DF-DD17832F4CE9}"/>
                </c:ext>
              </c:extLst>
            </c:dLbl>
            <c:dLbl>
              <c:idx val="18"/>
              <c:layout>
                <c:manualLayout>
                  <c:x val="-3.8494743406926593E-17"/>
                  <c:y val="-3.0599755201958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929-4A39-B1DF-DD17832F4CE9}"/>
                </c:ext>
              </c:extLst>
            </c:dLbl>
            <c:dLbl>
              <c:idx val="22"/>
              <c:layout>
                <c:manualLayout>
                  <c:x val="-0.10498687664041995"/>
                  <c:y val="-4.8959608323133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929-4A39-B1DF-DD17832F4C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Лист1!$F$15:$F$38</c:f>
              <c:strCache>
                <c:ptCount val="24"/>
                <c:pt idx="0">
                  <c:v>Базарносызганский</c:v>
                </c:pt>
                <c:pt idx="1">
                  <c:v>Барышский</c:v>
                </c:pt>
                <c:pt idx="2">
                  <c:v>Вешкамский</c:v>
                </c:pt>
                <c:pt idx="3">
                  <c:v>Инзенский</c:v>
                </c:pt>
                <c:pt idx="4">
                  <c:v>Карсунский</c:v>
                </c:pt>
                <c:pt idx="5">
                  <c:v>Кузоватовский</c:v>
                </c:pt>
                <c:pt idx="6">
                  <c:v> Майнский</c:v>
                </c:pt>
                <c:pt idx="7">
                  <c:v>Мелекесский</c:v>
                </c:pt>
                <c:pt idx="8">
                  <c:v> Николаевский</c:v>
                </c:pt>
                <c:pt idx="9">
                  <c:v>Новомалыклинский</c:v>
                </c:pt>
                <c:pt idx="10">
                  <c:v>Новоспасский</c:v>
                </c:pt>
                <c:pt idx="11">
                  <c:v>Павловский</c:v>
                </c:pt>
                <c:pt idx="12">
                  <c:v>Радищевский</c:v>
                </c:pt>
                <c:pt idx="13">
                  <c:v>Сенгилеевский</c:v>
                </c:pt>
                <c:pt idx="14">
                  <c:v>Старокулаткинский</c:v>
                </c:pt>
                <c:pt idx="15">
                  <c:v>Старомайнский</c:v>
                </c:pt>
                <c:pt idx="16">
                  <c:v>Сурский</c:v>
                </c:pt>
                <c:pt idx="17">
                  <c:v>Тереньгульский</c:v>
                </c:pt>
                <c:pt idx="18">
                  <c:v>Ульяновский</c:v>
                </c:pt>
                <c:pt idx="19">
                  <c:v>Цильнинский</c:v>
                </c:pt>
                <c:pt idx="20">
                  <c:v>Чердаклинский</c:v>
                </c:pt>
                <c:pt idx="21">
                  <c:v>г. Ульяновск</c:v>
                </c:pt>
                <c:pt idx="22">
                  <c:v>г. Димитровград</c:v>
                </c:pt>
                <c:pt idx="23">
                  <c:v>г. Новоульяновск</c:v>
                </c:pt>
              </c:strCache>
            </c:strRef>
          </c:cat>
          <c:val>
            <c:numRef>
              <c:f>Лист1!$G$15:$G$38</c:f>
              <c:numCache>
                <c:formatCode>0.0</c:formatCode>
                <c:ptCount val="24"/>
                <c:pt idx="0">
                  <c:v>36.799999999999997</c:v>
                </c:pt>
                <c:pt idx="1">
                  <c:v>48.3</c:v>
                </c:pt>
                <c:pt idx="2">
                  <c:v>67.2</c:v>
                </c:pt>
                <c:pt idx="3">
                  <c:v>43.7</c:v>
                </c:pt>
                <c:pt idx="4">
                  <c:v>54.8</c:v>
                </c:pt>
                <c:pt idx="5">
                  <c:v>48.9</c:v>
                </c:pt>
                <c:pt idx="6">
                  <c:v>37</c:v>
                </c:pt>
                <c:pt idx="7">
                  <c:v>51.7</c:v>
                </c:pt>
                <c:pt idx="8">
                  <c:v>27.3</c:v>
                </c:pt>
                <c:pt idx="9">
                  <c:v>38.4</c:v>
                </c:pt>
                <c:pt idx="10">
                  <c:v>40.1</c:v>
                </c:pt>
                <c:pt idx="11">
                  <c:v>41.4</c:v>
                </c:pt>
                <c:pt idx="12">
                  <c:v>51.5</c:v>
                </c:pt>
                <c:pt idx="13">
                  <c:v>52.5</c:v>
                </c:pt>
                <c:pt idx="14">
                  <c:v>44.3</c:v>
                </c:pt>
                <c:pt idx="15">
                  <c:v>40</c:v>
                </c:pt>
                <c:pt idx="16">
                  <c:v>31.2</c:v>
                </c:pt>
                <c:pt idx="17">
                  <c:v>58</c:v>
                </c:pt>
                <c:pt idx="18">
                  <c:v>61.2</c:v>
                </c:pt>
                <c:pt idx="19">
                  <c:v>44</c:v>
                </c:pt>
                <c:pt idx="20">
                  <c:v>38</c:v>
                </c:pt>
                <c:pt idx="21">
                  <c:v>68.099999999999994</c:v>
                </c:pt>
                <c:pt idx="22">
                  <c:v>61.6</c:v>
                </c:pt>
                <c:pt idx="23">
                  <c:v>47.5</c:v>
                </c:pt>
              </c:numCache>
            </c:numRef>
          </c:val>
          <c:extLst>
            <c:ext xmlns:c16="http://schemas.microsoft.com/office/drawing/2014/chart" uri="{C3380CC4-5D6E-409C-BE32-E72D297353CC}">
              <c16:uniqueId val="{00000004-8929-4A39-B1DF-DD17832F4CE9}"/>
            </c:ext>
          </c:extLst>
        </c:ser>
        <c:ser>
          <c:idx val="1"/>
          <c:order val="1"/>
          <c:tx>
            <c:strRef>
              <c:f>Лист1!$H$14</c:f>
              <c:strCache>
                <c:ptCount val="1"/>
                <c:pt idx="0">
                  <c:v>Средний по области показатель = 65,2</c:v>
                </c:pt>
              </c:strCache>
            </c:strRef>
          </c:tx>
          <c:spPr>
            <a:ln w="28575" cap="rnd">
              <a:solidFill>
                <a:schemeClr val="accent1">
                  <a:lumMod val="20000"/>
                  <a:lumOff val="80000"/>
                </a:schemeClr>
              </a:solidFill>
              <a:round/>
            </a:ln>
            <a:effectLst/>
          </c:spPr>
          <c:marker>
            <c:symbol val="circle"/>
            <c:size val="5"/>
            <c:spPr>
              <a:solidFill>
                <a:schemeClr val="accent1"/>
              </a:solidFill>
              <a:ln w="9525">
                <a:solidFill>
                  <a:schemeClr val="accent1">
                    <a:lumMod val="20000"/>
                    <a:lumOff val="80000"/>
                  </a:schemeClr>
                </a:solidFill>
              </a:ln>
              <a:effectLst/>
            </c:spPr>
          </c:marker>
          <c:cat>
            <c:strRef>
              <c:f>Лист1!$F$15:$F$38</c:f>
              <c:strCache>
                <c:ptCount val="24"/>
                <c:pt idx="0">
                  <c:v>Базарносызганский</c:v>
                </c:pt>
                <c:pt idx="1">
                  <c:v>Барышский</c:v>
                </c:pt>
                <c:pt idx="2">
                  <c:v>Вешкамский</c:v>
                </c:pt>
                <c:pt idx="3">
                  <c:v>Инзенский</c:v>
                </c:pt>
                <c:pt idx="4">
                  <c:v>Карсунский</c:v>
                </c:pt>
                <c:pt idx="5">
                  <c:v>Кузоватовский</c:v>
                </c:pt>
                <c:pt idx="6">
                  <c:v> Майнский</c:v>
                </c:pt>
                <c:pt idx="7">
                  <c:v>Мелекесский</c:v>
                </c:pt>
                <c:pt idx="8">
                  <c:v> Николаевский</c:v>
                </c:pt>
                <c:pt idx="9">
                  <c:v>Новомалыклинский</c:v>
                </c:pt>
                <c:pt idx="10">
                  <c:v>Новоспасский</c:v>
                </c:pt>
                <c:pt idx="11">
                  <c:v>Павловский</c:v>
                </c:pt>
                <c:pt idx="12">
                  <c:v>Радищевский</c:v>
                </c:pt>
                <c:pt idx="13">
                  <c:v>Сенгилеевский</c:v>
                </c:pt>
                <c:pt idx="14">
                  <c:v>Старокулаткинский</c:v>
                </c:pt>
                <c:pt idx="15">
                  <c:v>Старомайнский</c:v>
                </c:pt>
                <c:pt idx="16">
                  <c:v>Сурский</c:v>
                </c:pt>
                <c:pt idx="17">
                  <c:v>Тереньгульский</c:v>
                </c:pt>
                <c:pt idx="18">
                  <c:v>Ульяновский</c:v>
                </c:pt>
                <c:pt idx="19">
                  <c:v>Цильнинский</c:v>
                </c:pt>
                <c:pt idx="20">
                  <c:v>Чердаклинский</c:v>
                </c:pt>
                <c:pt idx="21">
                  <c:v>г. Ульяновск</c:v>
                </c:pt>
                <c:pt idx="22">
                  <c:v>г. Димитровград</c:v>
                </c:pt>
                <c:pt idx="23">
                  <c:v>г. Новоульяновск</c:v>
                </c:pt>
              </c:strCache>
            </c:strRef>
          </c:cat>
          <c:val>
            <c:numRef>
              <c:f>Лист1!$H$15:$H$38</c:f>
              <c:numCache>
                <c:formatCode>0.0</c:formatCode>
                <c:ptCount val="24"/>
                <c:pt idx="0">
                  <c:v>65.2</c:v>
                </c:pt>
                <c:pt idx="1">
                  <c:v>65.2</c:v>
                </c:pt>
                <c:pt idx="2">
                  <c:v>65.2</c:v>
                </c:pt>
                <c:pt idx="3">
                  <c:v>65.2</c:v>
                </c:pt>
                <c:pt idx="4">
                  <c:v>65.2</c:v>
                </c:pt>
                <c:pt idx="5">
                  <c:v>65.2</c:v>
                </c:pt>
                <c:pt idx="6">
                  <c:v>65.2</c:v>
                </c:pt>
                <c:pt idx="7">
                  <c:v>65.2</c:v>
                </c:pt>
                <c:pt idx="8">
                  <c:v>65.2</c:v>
                </c:pt>
                <c:pt idx="9">
                  <c:v>65.2</c:v>
                </c:pt>
                <c:pt idx="10">
                  <c:v>65.2</c:v>
                </c:pt>
                <c:pt idx="11">
                  <c:v>65.2</c:v>
                </c:pt>
                <c:pt idx="12">
                  <c:v>65.2</c:v>
                </c:pt>
                <c:pt idx="13">
                  <c:v>65.2</c:v>
                </c:pt>
                <c:pt idx="14">
                  <c:v>65.2</c:v>
                </c:pt>
                <c:pt idx="15">
                  <c:v>65.2</c:v>
                </c:pt>
                <c:pt idx="16">
                  <c:v>65.2</c:v>
                </c:pt>
                <c:pt idx="17">
                  <c:v>65.2</c:v>
                </c:pt>
                <c:pt idx="18">
                  <c:v>65.2</c:v>
                </c:pt>
                <c:pt idx="19">
                  <c:v>65.2</c:v>
                </c:pt>
                <c:pt idx="20">
                  <c:v>65.2</c:v>
                </c:pt>
                <c:pt idx="21">
                  <c:v>65.2</c:v>
                </c:pt>
                <c:pt idx="22">
                  <c:v>65.2</c:v>
                </c:pt>
                <c:pt idx="23">
                  <c:v>65.2</c:v>
                </c:pt>
              </c:numCache>
            </c:numRef>
          </c:val>
          <c:extLst>
            <c:ext xmlns:c16="http://schemas.microsoft.com/office/drawing/2014/chart" uri="{C3380CC4-5D6E-409C-BE32-E72D297353CC}">
              <c16:uniqueId val="{00000005-8929-4A39-B1DF-DD17832F4CE9}"/>
            </c:ext>
          </c:extLst>
        </c:ser>
        <c:dLbls>
          <c:showLegendKey val="0"/>
          <c:showVal val="0"/>
          <c:showCatName val="0"/>
          <c:showSerName val="0"/>
          <c:showPercent val="0"/>
          <c:showBubbleSize val="0"/>
        </c:dLbls>
        <c:axId val="711238552"/>
        <c:axId val="711239272"/>
      </c:radarChart>
      <c:catAx>
        <c:axId val="711238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PT Astra Serif" panose="020A0603040505020204" pitchFamily="18" charset="-52"/>
                <a:ea typeface="PT Astra Serif" panose="020A0603040505020204" pitchFamily="18" charset="-52"/>
                <a:cs typeface="+mn-cs"/>
              </a:defRPr>
            </a:pPr>
            <a:endParaRPr lang="ru-RU"/>
          </a:p>
        </c:txPr>
        <c:crossAx val="711239272"/>
        <c:crosses val="autoZero"/>
        <c:auto val="1"/>
        <c:lblAlgn val="ctr"/>
        <c:lblOffset val="100"/>
        <c:noMultiLvlLbl val="0"/>
      </c:catAx>
      <c:valAx>
        <c:axId val="711239272"/>
        <c:scaling>
          <c:orientation val="minMax"/>
        </c:scaling>
        <c:delete val="1"/>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11238552"/>
        <c:crosses val="autoZero"/>
        <c:crossBetween val="between"/>
      </c:valAx>
      <c:spPr>
        <a:noFill/>
        <a:ln>
          <a:noFill/>
        </a:ln>
        <a:effectLst/>
      </c:spPr>
    </c:plotArea>
    <c:legend>
      <c:legendPos val="t"/>
      <c:layout>
        <c:manualLayout>
          <c:xMode val="edge"/>
          <c:yMode val="edge"/>
          <c:x val="0.10818645852407983"/>
          <c:y val="1.8359853121175031E-2"/>
          <c:w val="0.79638884165642099"/>
          <c:h val="4.55174972773446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Лист1!$L$7</c:f>
              <c:strCache>
                <c:ptCount val="1"/>
                <c:pt idx="0">
                  <c:v>Обращений в Прав-во УО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Лист1!$M$6:$N$6</c:f>
              <c:strCache>
                <c:ptCount val="2"/>
                <c:pt idx="0">
                  <c:v>2025 год</c:v>
                </c:pt>
                <c:pt idx="1">
                  <c:v>2024</c:v>
                </c:pt>
              </c:strCache>
            </c:strRef>
          </c:cat>
          <c:val>
            <c:numRef>
              <c:f>Лист1!$M$7:$N$7</c:f>
              <c:numCache>
                <c:formatCode>General</c:formatCode>
                <c:ptCount val="2"/>
                <c:pt idx="0">
                  <c:v>7601</c:v>
                </c:pt>
                <c:pt idx="1">
                  <c:v>12072</c:v>
                </c:pt>
              </c:numCache>
            </c:numRef>
          </c:val>
          <c:extLst>
            <c:ext xmlns:c16="http://schemas.microsoft.com/office/drawing/2014/chart" uri="{C3380CC4-5D6E-409C-BE32-E72D297353CC}">
              <c16:uniqueId val="{00000000-3617-4775-878D-F5F4DC70B27F}"/>
            </c:ext>
          </c:extLst>
        </c:ser>
        <c:ser>
          <c:idx val="1"/>
          <c:order val="1"/>
          <c:tx>
            <c:strRef>
              <c:f>Лист1!$L$8</c:f>
              <c:strCache>
                <c:ptCount val="1"/>
                <c:pt idx="0">
                  <c:v>Обращений в Адм. Пр. РФ</c:v>
                </c:pt>
              </c:strCache>
            </c:strRef>
          </c:tx>
          <c:spPr>
            <a:pattFill prst="lgCheck">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Лист1!$M$6:$N$6</c:f>
              <c:strCache>
                <c:ptCount val="2"/>
                <c:pt idx="0">
                  <c:v>2025 год</c:v>
                </c:pt>
                <c:pt idx="1">
                  <c:v>2024</c:v>
                </c:pt>
              </c:strCache>
            </c:strRef>
          </c:cat>
          <c:val>
            <c:numRef>
              <c:f>Лист1!$M$8:$N$8</c:f>
              <c:numCache>
                <c:formatCode>General</c:formatCode>
                <c:ptCount val="2"/>
                <c:pt idx="0">
                  <c:v>1919</c:v>
                </c:pt>
                <c:pt idx="1">
                  <c:v>2488</c:v>
                </c:pt>
              </c:numCache>
            </c:numRef>
          </c:val>
          <c:extLst>
            <c:ext xmlns:c16="http://schemas.microsoft.com/office/drawing/2014/chart" uri="{C3380CC4-5D6E-409C-BE32-E72D297353CC}">
              <c16:uniqueId val="{00000001-3617-4775-878D-F5F4DC70B27F}"/>
            </c:ext>
          </c:extLst>
        </c:ser>
        <c:dLbls>
          <c:dLblPos val="outEnd"/>
          <c:showLegendKey val="0"/>
          <c:showVal val="1"/>
          <c:showCatName val="0"/>
          <c:showSerName val="0"/>
          <c:showPercent val="0"/>
          <c:showBubbleSize val="0"/>
        </c:dLbls>
        <c:gapWidth val="267"/>
        <c:overlap val="-43"/>
        <c:axId val="549649416"/>
        <c:axId val="549647976"/>
      </c:barChart>
      <c:catAx>
        <c:axId val="5496494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49647976"/>
        <c:crosses val="autoZero"/>
        <c:auto val="1"/>
        <c:lblAlgn val="ctr"/>
        <c:lblOffset val="100"/>
        <c:noMultiLvlLbl val="0"/>
      </c:catAx>
      <c:valAx>
        <c:axId val="549647976"/>
        <c:scaling>
          <c:orientation val="minMax"/>
        </c:scaling>
        <c:delete val="1"/>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crossAx val="54964941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444024221381771E-2"/>
          <c:y val="3.1442046591396315E-2"/>
          <c:w val="0.90874540682414695"/>
          <c:h val="0.6709255597730861"/>
        </c:manualLayout>
      </c:layout>
      <c:barChart>
        <c:barDir val="col"/>
        <c:grouping val="clustered"/>
        <c:varyColors val="0"/>
        <c:ser>
          <c:idx val="0"/>
          <c:order val="0"/>
          <c:tx>
            <c:strRef>
              <c:f>Лист1!$M$16</c:f>
              <c:strCache>
                <c:ptCount val="1"/>
                <c:pt idx="0">
                  <c:v>2025 год</c:v>
                </c:pt>
              </c:strCache>
            </c:strRef>
          </c:tx>
          <c:spPr>
            <a:solidFill>
              <a:schemeClr val="accent1"/>
            </a:solidFill>
            <a:ln>
              <a:noFill/>
            </a:ln>
            <a:effectLst/>
          </c:spPr>
          <c:invertIfNegative val="0"/>
          <c:dLbls>
            <c:dLbl>
              <c:idx val="9"/>
              <c:layout>
                <c:manualLayout>
                  <c:x val="-9.3841642228738135E-3"/>
                  <c:y val="-9.558457532611464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0A-401A-9550-4B51A6C716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Лист1!$L$17:$L$29</c:f>
              <c:strCache>
                <c:ptCount val="13"/>
                <c:pt idx="0">
                  <c:v>Транспорт. обсл.</c:v>
                </c:pt>
                <c:pt idx="1">
                  <c:v>Комплексное бл-во</c:v>
                </c:pt>
                <c:pt idx="2">
                  <c:v>Бл-во и ремонт  дорог</c:v>
                </c:pt>
                <c:pt idx="3">
                  <c:v>Подкл. к инфр-ре</c:v>
                </c:pt>
                <c:pt idx="4">
                  <c:v>УК</c:v>
                </c:pt>
                <c:pt idx="5">
                  <c:v>Содержание об. им-ва</c:v>
                </c:pt>
                <c:pt idx="6">
                  <c:v>Доп. льготы</c:v>
                </c:pt>
                <c:pt idx="7">
                  <c:v>Соцподдержка</c:v>
                </c:pt>
                <c:pt idx="8">
                  <c:v>Лекобесп.</c:v>
                </c:pt>
                <c:pt idx="9">
                  <c:v>Работа медучр.</c:v>
                </c:pt>
                <c:pt idx="10">
                  <c:v>Личный прием</c:v>
                </c:pt>
                <c:pt idx="11">
                  <c:v>Рассужд.</c:v>
                </c:pt>
                <c:pt idx="12">
                  <c:v>Деять-ть испол. орг.</c:v>
                </c:pt>
              </c:strCache>
            </c:strRef>
          </c:cat>
          <c:val>
            <c:numRef>
              <c:f>Лист1!$M$17:$M$29</c:f>
              <c:numCache>
                <c:formatCode>General</c:formatCode>
                <c:ptCount val="13"/>
                <c:pt idx="0">
                  <c:v>216</c:v>
                </c:pt>
                <c:pt idx="1">
                  <c:v>212</c:v>
                </c:pt>
                <c:pt idx="2">
                  <c:v>161</c:v>
                </c:pt>
                <c:pt idx="3">
                  <c:v>182</c:v>
                </c:pt>
                <c:pt idx="4">
                  <c:v>182</c:v>
                </c:pt>
                <c:pt idx="5">
                  <c:v>148</c:v>
                </c:pt>
                <c:pt idx="6">
                  <c:v>392</c:v>
                </c:pt>
                <c:pt idx="7">
                  <c:v>383</c:v>
                </c:pt>
                <c:pt idx="8">
                  <c:v>197</c:v>
                </c:pt>
                <c:pt idx="9">
                  <c:v>180</c:v>
                </c:pt>
                <c:pt idx="10">
                  <c:v>192</c:v>
                </c:pt>
                <c:pt idx="11">
                  <c:v>145</c:v>
                </c:pt>
                <c:pt idx="12">
                  <c:v>141</c:v>
                </c:pt>
              </c:numCache>
            </c:numRef>
          </c:val>
          <c:extLst>
            <c:ext xmlns:c16="http://schemas.microsoft.com/office/drawing/2014/chart" uri="{C3380CC4-5D6E-409C-BE32-E72D297353CC}">
              <c16:uniqueId val="{00000001-120A-401A-9550-4B51A6C71655}"/>
            </c:ext>
          </c:extLst>
        </c:ser>
        <c:ser>
          <c:idx val="1"/>
          <c:order val="1"/>
          <c:tx>
            <c:strRef>
              <c:f>Лист1!$N$16</c:f>
              <c:strCache>
                <c:ptCount val="1"/>
                <c:pt idx="0">
                  <c:v>2024 год</c:v>
                </c:pt>
              </c:strCache>
            </c:strRef>
          </c:tx>
          <c:spPr>
            <a:pattFill prst="lgCheck">
              <a:fgClr>
                <a:sysClr val="windowText" lastClr="000000">
                  <a:lumMod val="75000"/>
                  <a:lumOff val="25000"/>
                </a:sysClr>
              </a:fgClr>
              <a:bgClr>
                <a:sysClr val="window" lastClr="FFFFFF"/>
              </a:bgClr>
            </a:pattFill>
            <a:ln>
              <a:noFill/>
            </a:ln>
            <a:effectLst/>
          </c:spPr>
          <c:invertIfNegative val="0"/>
          <c:dLbls>
            <c:dLbl>
              <c:idx val="9"/>
              <c:layout>
                <c:manualLayout>
                  <c:x val="-8.6020511660052977E-17"/>
                  <c:y val="-3.128258602711157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0A-401A-9550-4B51A6C716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PT Astra Serif" panose="020A0603040505020204" pitchFamily="18" charset="-52"/>
                    <a:ea typeface="PT Astra Serif" panose="020A0603040505020204" pitchFamily="18" charset="-52"/>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Лист1!$L$17:$L$29</c:f>
              <c:strCache>
                <c:ptCount val="13"/>
                <c:pt idx="0">
                  <c:v>Транспорт. обсл.</c:v>
                </c:pt>
                <c:pt idx="1">
                  <c:v>Комплексное бл-во</c:v>
                </c:pt>
                <c:pt idx="2">
                  <c:v>Бл-во и ремонт  дорог</c:v>
                </c:pt>
                <c:pt idx="3">
                  <c:v>Подкл. к инфр-ре</c:v>
                </c:pt>
                <c:pt idx="4">
                  <c:v>УК</c:v>
                </c:pt>
                <c:pt idx="5">
                  <c:v>Содержание об. им-ва</c:v>
                </c:pt>
                <c:pt idx="6">
                  <c:v>Доп. льготы</c:v>
                </c:pt>
                <c:pt idx="7">
                  <c:v>Соцподдержка</c:v>
                </c:pt>
                <c:pt idx="8">
                  <c:v>Лекобесп.</c:v>
                </c:pt>
                <c:pt idx="9">
                  <c:v>Работа медучр.</c:v>
                </c:pt>
                <c:pt idx="10">
                  <c:v>Личный прием</c:v>
                </c:pt>
                <c:pt idx="11">
                  <c:v>Рассужд.</c:v>
                </c:pt>
                <c:pt idx="12">
                  <c:v>Деять-ть испол. орг.</c:v>
                </c:pt>
              </c:strCache>
            </c:strRef>
          </c:cat>
          <c:val>
            <c:numRef>
              <c:f>Лист1!$N$17:$N$29</c:f>
              <c:numCache>
                <c:formatCode>General</c:formatCode>
                <c:ptCount val="13"/>
                <c:pt idx="0">
                  <c:v>271</c:v>
                </c:pt>
                <c:pt idx="1">
                  <c:v>322</c:v>
                </c:pt>
                <c:pt idx="2">
                  <c:v>309</c:v>
                </c:pt>
                <c:pt idx="3">
                  <c:v>658</c:v>
                </c:pt>
                <c:pt idx="4">
                  <c:v>236</c:v>
                </c:pt>
                <c:pt idx="5">
                  <c:v>236</c:v>
                </c:pt>
                <c:pt idx="6">
                  <c:v>241</c:v>
                </c:pt>
                <c:pt idx="7">
                  <c:v>461</c:v>
                </c:pt>
                <c:pt idx="8">
                  <c:v>140</c:v>
                </c:pt>
                <c:pt idx="9">
                  <c:v>183</c:v>
                </c:pt>
                <c:pt idx="10">
                  <c:v>278</c:v>
                </c:pt>
                <c:pt idx="11">
                  <c:v>408</c:v>
                </c:pt>
                <c:pt idx="12">
                  <c:v>170</c:v>
                </c:pt>
              </c:numCache>
            </c:numRef>
          </c:val>
          <c:extLst>
            <c:ext xmlns:c16="http://schemas.microsoft.com/office/drawing/2014/chart" uri="{C3380CC4-5D6E-409C-BE32-E72D297353CC}">
              <c16:uniqueId val="{00000003-120A-401A-9550-4B51A6C71655}"/>
            </c:ext>
          </c:extLst>
        </c:ser>
        <c:dLbls>
          <c:dLblPos val="outEnd"/>
          <c:showLegendKey val="0"/>
          <c:showVal val="1"/>
          <c:showCatName val="0"/>
          <c:showSerName val="0"/>
          <c:showPercent val="0"/>
          <c:showBubbleSize val="0"/>
        </c:dLbls>
        <c:gapWidth val="267"/>
        <c:overlap val="-43"/>
        <c:axId val="714225360"/>
        <c:axId val="714221760"/>
      </c:barChart>
      <c:catAx>
        <c:axId val="7142253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714221760"/>
        <c:crosses val="autoZero"/>
        <c:auto val="1"/>
        <c:lblAlgn val="ctr"/>
        <c:lblOffset val="100"/>
        <c:noMultiLvlLbl val="0"/>
      </c:catAx>
      <c:valAx>
        <c:axId val="714221760"/>
        <c:scaling>
          <c:orientation val="minMax"/>
        </c:scaling>
        <c:delete val="1"/>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crossAx val="714225360"/>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71976211463424322"/>
          <c:y val="5.6959759592094795E-2"/>
          <c:w val="0.24234548687279192"/>
          <c:h val="8.798288900018884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solidFill>
      <a:schemeClr val="lt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1000" b="1"/>
            </a:pPr>
            <a:r>
              <a:rPr lang="ru-RU" sz="1000" b="1"/>
              <a:t>Структура кадрового состава по возрасту</a:t>
            </a:r>
          </a:p>
        </c:rich>
      </c:tx>
      <c:layout>
        <c:manualLayout>
          <c:xMode val="edge"/>
          <c:yMode val="edge"/>
          <c:x val="0.18527645168755819"/>
          <c:y val="0.87062581032792574"/>
        </c:manualLayout>
      </c:layout>
      <c:overlay val="0"/>
    </c:title>
    <c:autoTitleDeleted val="0"/>
    <c:plotArea>
      <c:layout>
        <c:manualLayout>
          <c:layoutTarget val="inner"/>
          <c:xMode val="edge"/>
          <c:yMode val="edge"/>
          <c:x val="0.13988909885498615"/>
          <c:y val="3.5041146801168044E-2"/>
          <c:w val="0.80514609716847596"/>
          <c:h val="0.79960447483452879"/>
        </c:manualLayout>
      </c:layout>
      <c:barChart>
        <c:barDir val="col"/>
        <c:grouping val="percentStacked"/>
        <c:varyColors val="0"/>
        <c:ser>
          <c:idx val="0"/>
          <c:order val="0"/>
          <c:tx>
            <c:strRef>
              <c:f>Лист1!$B$1</c:f>
              <c:strCache>
                <c:ptCount val="1"/>
                <c:pt idx="0">
                  <c:v>до 35 лет</c:v>
                </c:pt>
              </c:strCache>
            </c:strRef>
          </c:tx>
          <c:spPr>
            <a:gradFill rotWithShape="1">
              <a:gsLst>
                <a:gs pos="0">
                  <a:schemeClr val="accent6">
                    <a:tint val="54000"/>
                    <a:satMod val="103000"/>
                    <a:lumMod val="102000"/>
                    <a:tint val="94000"/>
                  </a:schemeClr>
                </a:gs>
                <a:gs pos="50000">
                  <a:schemeClr val="accent6">
                    <a:tint val="54000"/>
                    <a:satMod val="110000"/>
                    <a:lumMod val="100000"/>
                    <a:shade val="100000"/>
                  </a:schemeClr>
                </a:gs>
                <a:gs pos="100000">
                  <a:schemeClr val="accent6">
                    <a:tint val="54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solidFill>
                      <a:schemeClr val="bg1"/>
                    </a:solidFill>
                  </a:defRPr>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доля</c:v>
                </c:pt>
              </c:strCache>
            </c:strRef>
          </c:cat>
          <c:val>
            <c:numRef>
              <c:f>Лист1!$B$2</c:f>
              <c:numCache>
                <c:formatCode>General</c:formatCode>
                <c:ptCount val="1"/>
                <c:pt idx="0">
                  <c:v>502</c:v>
                </c:pt>
              </c:numCache>
            </c:numRef>
          </c:val>
          <c:extLst>
            <c:ext xmlns:c16="http://schemas.microsoft.com/office/drawing/2014/chart" uri="{C3380CC4-5D6E-409C-BE32-E72D297353CC}">
              <c16:uniqueId val="{00000000-9FB9-424A-988B-B7EFB244AF29}"/>
            </c:ext>
          </c:extLst>
        </c:ser>
        <c:ser>
          <c:idx val="1"/>
          <c:order val="1"/>
          <c:tx>
            <c:strRef>
              <c:f>Лист1!$C$1</c:f>
              <c:strCache>
                <c:ptCount val="1"/>
                <c:pt idx="0">
                  <c:v>35-55 лет</c:v>
                </c:pt>
              </c:strCache>
            </c:strRef>
          </c:tx>
          <c:spPr>
            <a:gradFill rotWithShape="1">
              <a:gsLst>
                <a:gs pos="0">
                  <a:schemeClr val="accent6">
                    <a:shade val="76000"/>
                    <a:satMod val="103000"/>
                    <a:lumMod val="102000"/>
                    <a:tint val="94000"/>
                  </a:schemeClr>
                </a:gs>
                <a:gs pos="50000">
                  <a:schemeClr val="accent6">
                    <a:shade val="76000"/>
                    <a:satMod val="110000"/>
                    <a:lumMod val="100000"/>
                    <a:shade val="100000"/>
                  </a:schemeClr>
                </a:gs>
                <a:gs pos="100000">
                  <a:schemeClr val="accent6">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tx>
                <c:rich>
                  <a:bodyPr/>
                  <a:lstStyle/>
                  <a:p>
                    <a:fld id="{85F8C360-E823-48CE-BFCF-8E0B8A62CB78}" type="SERIESNAME">
                      <a:rPr lang="ru-RU"/>
                      <a:pPr/>
                      <a:t>[ИМЯ РЯДА]</a:t>
                    </a:fld>
                    <a:r>
                      <a:rPr lang="ru-RU" baseline="0"/>
                      <a:t>; </a:t>
                    </a:r>
                    <a:br>
                      <a:rPr lang="ru-RU" baseline="0"/>
                    </a:br>
                    <a:fld id="{B47E8A88-8C37-4C3F-A65D-A1018FFBBE3C}" type="VALUE">
                      <a:rPr lang="ru-RU" baseline="0"/>
                      <a:pPr/>
                      <a:t>[ЗНАЧЕНИЕ]</a:t>
                    </a:fld>
                    <a:endParaRPr lang="ru-RU" baseline="0"/>
                  </a:p>
                </c:rich>
              </c:tx>
              <c:showLegendKey val="0"/>
              <c:showVal val="1"/>
              <c:showCatName val="0"/>
              <c:showSerName val="1"/>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9C6-45F9-9A1B-D4F83020DF5F}"/>
                </c:ext>
              </c:extLst>
            </c:dLbl>
            <c:spPr>
              <a:noFill/>
              <a:ln>
                <a:noFill/>
              </a:ln>
              <a:effectLst/>
            </c:spPr>
            <c:txPr>
              <a:bodyPr rot="0" vert="horz"/>
              <a:lstStyle/>
              <a:p>
                <a:pPr>
                  <a:defRPr>
                    <a:solidFill>
                      <a:schemeClr val="bg1"/>
                    </a:solidFill>
                  </a:defRPr>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доля</c:v>
                </c:pt>
              </c:strCache>
            </c:strRef>
          </c:cat>
          <c:val>
            <c:numRef>
              <c:f>Лист1!$C$2</c:f>
              <c:numCache>
                <c:formatCode>General</c:formatCode>
                <c:ptCount val="1"/>
                <c:pt idx="0">
                  <c:v>2792</c:v>
                </c:pt>
              </c:numCache>
            </c:numRef>
          </c:val>
          <c:extLst>
            <c:ext xmlns:c16="http://schemas.microsoft.com/office/drawing/2014/chart" uri="{C3380CC4-5D6E-409C-BE32-E72D297353CC}">
              <c16:uniqueId val="{00000001-9FB9-424A-988B-B7EFB244AF29}"/>
            </c:ext>
          </c:extLst>
        </c:ser>
        <c:ser>
          <c:idx val="2"/>
          <c:order val="2"/>
          <c:tx>
            <c:strRef>
              <c:f>Лист1!$D$1</c:f>
              <c:strCache>
                <c:ptCount val="1"/>
                <c:pt idx="0">
                  <c:v>старше 55 лет</c:v>
                </c:pt>
              </c:strCache>
            </c:strRef>
          </c:tx>
          <c:spPr>
            <a:gradFill rotWithShape="1">
              <a:gsLst>
                <a:gs pos="0">
                  <a:schemeClr val="accent6">
                    <a:shade val="53000"/>
                    <a:satMod val="103000"/>
                    <a:lumMod val="102000"/>
                    <a:tint val="94000"/>
                  </a:schemeClr>
                </a:gs>
                <a:gs pos="50000">
                  <a:schemeClr val="accent6">
                    <a:shade val="53000"/>
                    <a:satMod val="110000"/>
                    <a:lumMod val="100000"/>
                    <a:shade val="100000"/>
                  </a:schemeClr>
                </a:gs>
                <a:gs pos="100000">
                  <a:schemeClr val="accent6">
                    <a:shade val="53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numFmt formatCode="General" sourceLinked="0"/>
            <c:spPr>
              <a:noFill/>
              <a:ln>
                <a:noFill/>
              </a:ln>
              <a:effectLst/>
            </c:spPr>
            <c:txPr>
              <a:bodyPr rot="0" vert="horz"/>
              <a:lstStyle/>
              <a:p>
                <a:pPr>
                  <a:defRPr>
                    <a:solidFill>
                      <a:schemeClr val="bg1"/>
                    </a:solidFill>
                  </a:defRPr>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доля</c:v>
                </c:pt>
              </c:strCache>
            </c:strRef>
          </c:cat>
          <c:val>
            <c:numRef>
              <c:f>Лист1!$D$2</c:f>
              <c:numCache>
                <c:formatCode>General</c:formatCode>
                <c:ptCount val="1"/>
                <c:pt idx="0">
                  <c:v>2616</c:v>
                </c:pt>
              </c:numCache>
            </c:numRef>
          </c:val>
          <c:extLst>
            <c:ext xmlns:c16="http://schemas.microsoft.com/office/drawing/2014/chart" uri="{C3380CC4-5D6E-409C-BE32-E72D297353CC}">
              <c16:uniqueId val="{00000002-9FB9-424A-988B-B7EFB244AF29}"/>
            </c:ext>
          </c:extLst>
        </c:ser>
        <c:dLbls>
          <c:showLegendKey val="0"/>
          <c:showVal val="0"/>
          <c:showCatName val="0"/>
          <c:showSerName val="0"/>
          <c:showPercent val="0"/>
          <c:showBubbleSize val="0"/>
        </c:dLbls>
        <c:gapWidth val="150"/>
        <c:overlap val="100"/>
        <c:axId val="155352064"/>
        <c:axId val="205279232"/>
      </c:barChart>
      <c:catAx>
        <c:axId val="155352064"/>
        <c:scaling>
          <c:orientation val="minMax"/>
        </c:scaling>
        <c:delete val="1"/>
        <c:axPos val="b"/>
        <c:numFmt formatCode="General" sourceLinked="1"/>
        <c:majorTickMark val="none"/>
        <c:minorTickMark val="none"/>
        <c:tickLblPos val="nextTo"/>
        <c:crossAx val="205279232"/>
        <c:crosses val="autoZero"/>
        <c:auto val="1"/>
        <c:lblAlgn val="ctr"/>
        <c:lblOffset val="100"/>
        <c:noMultiLvlLbl val="0"/>
      </c:catAx>
      <c:valAx>
        <c:axId val="205279232"/>
        <c:scaling>
          <c:orientation val="minMax"/>
        </c:scaling>
        <c:delete val="0"/>
        <c:axPos val="l"/>
        <c:majorGridlines/>
        <c:numFmt formatCode="0%" sourceLinked="1"/>
        <c:majorTickMark val="none"/>
        <c:minorTickMark val="none"/>
        <c:tickLblPos val="nextTo"/>
        <c:spPr>
          <a:noFill/>
          <a:ln>
            <a:noFill/>
          </a:ln>
          <a:effectLst/>
        </c:spPr>
        <c:txPr>
          <a:bodyPr rot="-60000000" vert="horz"/>
          <a:lstStyle/>
          <a:p>
            <a:pPr>
              <a:defRPr/>
            </a:pPr>
            <a:endParaRPr lang="ru-RU"/>
          </a:p>
        </c:txPr>
        <c:crossAx val="15535206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PT Astra Serif" panose="020A0603040505020204" pitchFamily="18" charset="-52"/>
          <a:ea typeface="PT Astra Serif" panose="020A0603040505020204" pitchFamily="18" charset="-52"/>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1000" b="1"/>
            </a:pPr>
            <a:r>
              <a:rPr lang="ru-RU" sz="1000" b="1"/>
              <a:t> Расходы консолидированного бюджета Ульяновской области на культуру </a:t>
            </a:r>
            <a:br>
              <a:rPr lang="ru-RU" sz="1000" b="1"/>
            </a:br>
            <a:r>
              <a:rPr lang="ru-RU" sz="1000" b="1"/>
              <a:t>в 2012 - 2025 годах, млрд. руб.</a:t>
            </a:r>
          </a:p>
        </c:rich>
      </c:tx>
      <c:layout>
        <c:manualLayout>
          <c:xMode val="edge"/>
          <c:yMode val="edge"/>
          <c:x val="0.15396470245581073"/>
          <c:y val="0.86427175558062497"/>
        </c:manualLayout>
      </c:layout>
      <c:overlay val="0"/>
    </c:title>
    <c:autoTitleDeleted val="0"/>
    <c:plotArea>
      <c:layout>
        <c:manualLayout>
          <c:layoutTarget val="inner"/>
          <c:xMode val="edge"/>
          <c:yMode val="edge"/>
          <c:x val="8.6346787571485423E-2"/>
          <c:y val="7.3088716936319686E-2"/>
          <c:w val="0.90456742670199219"/>
          <c:h val="0.70396194462463091"/>
        </c:manualLayout>
      </c:layout>
      <c:lineChart>
        <c:grouping val="standard"/>
        <c:varyColors val="0"/>
        <c:ser>
          <c:idx val="0"/>
          <c:order val="0"/>
          <c:tx>
            <c:strRef>
              <c:f>Лист1!$B$1</c:f>
              <c:strCache>
                <c:ptCount val="1"/>
                <c:pt idx="0">
                  <c:v>Расходы консолидированного бюджета Ульяновской области, тыс.рублей</c:v>
                </c:pt>
              </c:strCache>
            </c:strRef>
          </c:tx>
          <c:spPr>
            <a:ln w="34925" cap="rnd">
              <a:solidFill>
                <a:schemeClr val="accent4">
                  <a:lumMod val="75000"/>
                </a:schemeClr>
              </a:solidFill>
              <a:round/>
            </a:ln>
            <a:effectLst>
              <a:outerShdw blurRad="57150" dist="19050" dir="5400000" algn="ctr" rotWithShape="0">
                <a:srgbClr val="000000">
                  <a:alpha val="63000"/>
                </a:srgbClr>
              </a:outerShdw>
            </a:effectLst>
          </c:spPr>
          <c:marker>
            <c:symbol val="circle"/>
            <c:size val="6"/>
            <c:spPr>
              <a:solidFill>
                <a:schemeClr val="accent4">
                  <a:lumMod val="75000"/>
                </a:schemeClr>
              </a:solidFill>
              <a:ln w="9525">
                <a:solidFill>
                  <a:schemeClr val="accent4">
                    <a:lumMod val="75000"/>
                  </a:schemeClr>
                </a:solidFill>
                <a:round/>
              </a:ln>
              <a:effectLst>
                <a:outerShdw blurRad="57150" dist="19050" dir="5400000" algn="ctr" rotWithShape="0">
                  <a:srgbClr val="000000">
                    <a:alpha val="63000"/>
                  </a:srgbClr>
                </a:outerShdw>
              </a:effectLst>
            </c:spPr>
          </c:marker>
          <c:dLbls>
            <c:spPr>
              <a:noFill/>
              <a:ln>
                <a:noFill/>
              </a:ln>
              <a:effectLst/>
            </c:spPr>
            <c:txPr>
              <a:bodyPr rot="0" vert="horz"/>
              <a:lstStyle/>
              <a:p>
                <a:pPr>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Лист1!$A$2:$A$15</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Лист1!$B$2:$B$15</c:f>
              <c:numCache>
                <c:formatCode>0.00</c:formatCode>
                <c:ptCount val="14"/>
                <c:pt idx="0">
                  <c:v>1.7031860000000001</c:v>
                </c:pt>
                <c:pt idx="1">
                  <c:v>1.7349022000000001</c:v>
                </c:pt>
                <c:pt idx="2">
                  <c:v>1.7970037999999999</c:v>
                </c:pt>
                <c:pt idx="3">
                  <c:v>2.0602247</c:v>
                </c:pt>
                <c:pt idx="4">
                  <c:v>2.4557166000000001</c:v>
                </c:pt>
                <c:pt idx="5">
                  <c:v>2.5915900999999999</c:v>
                </c:pt>
                <c:pt idx="6">
                  <c:v>2.973671</c:v>
                </c:pt>
                <c:pt idx="7">
                  <c:v>3.5419356999999998</c:v>
                </c:pt>
                <c:pt idx="8">
                  <c:v>3.9504552999999998</c:v>
                </c:pt>
                <c:pt idx="9">
                  <c:v>4.5199999999999996</c:v>
                </c:pt>
                <c:pt idx="10">
                  <c:v>4.4800000000000004</c:v>
                </c:pt>
                <c:pt idx="11">
                  <c:v>4.3600000000000003</c:v>
                </c:pt>
                <c:pt idx="12">
                  <c:v>5.18</c:v>
                </c:pt>
                <c:pt idx="13">
                  <c:v>5.69</c:v>
                </c:pt>
              </c:numCache>
            </c:numRef>
          </c:val>
          <c:smooth val="0"/>
          <c:extLst>
            <c:ext xmlns:c16="http://schemas.microsoft.com/office/drawing/2014/chart" uri="{C3380CC4-5D6E-409C-BE32-E72D297353CC}">
              <c16:uniqueId val="{00000000-F878-403B-AE61-BD4A752F71C7}"/>
            </c:ext>
          </c:extLst>
        </c:ser>
        <c:dLbls>
          <c:showLegendKey val="0"/>
          <c:showVal val="0"/>
          <c:showCatName val="0"/>
          <c:showSerName val="0"/>
          <c:showPercent val="0"/>
          <c:showBubbleSize val="0"/>
        </c:dLbls>
        <c:marker val="1"/>
        <c:smooth val="0"/>
        <c:axId val="113388928"/>
        <c:axId val="113394816"/>
      </c:lineChart>
      <c:catAx>
        <c:axId val="113388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ru-RU"/>
          </a:p>
        </c:txPr>
        <c:crossAx val="113394816"/>
        <c:crosses val="autoZero"/>
        <c:auto val="1"/>
        <c:lblAlgn val="ctr"/>
        <c:lblOffset val="100"/>
        <c:noMultiLvlLbl val="0"/>
      </c:catAx>
      <c:valAx>
        <c:axId val="113394816"/>
        <c:scaling>
          <c:orientation val="minMax"/>
        </c:scaling>
        <c:delete val="0"/>
        <c:axPos val="l"/>
        <c:numFmt formatCode="0.00" sourceLinked="1"/>
        <c:majorTickMark val="none"/>
        <c:minorTickMark val="none"/>
        <c:tickLblPos val="nextTo"/>
        <c:spPr>
          <a:noFill/>
          <a:ln>
            <a:noFill/>
          </a:ln>
          <a:effectLst/>
        </c:spPr>
        <c:txPr>
          <a:bodyPr rot="-60000000" vert="horz"/>
          <a:lstStyle/>
          <a:p>
            <a:pPr>
              <a:defRPr/>
            </a:pPr>
            <a:endParaRPr lang="ru-RU"/>
          </a:p>
        </c:txPr>
        <c:crossAx val="1133889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ysClr val="windowText" lastClr="000000"/>
          </a:solidFill>
          <a:latin typeface="PT Astra Serif" panose="020A0603040505020204" pitchFamily="18" charset="-52"/>
          <a:ea typeface="PT Astra Serif" panose="020A0603040505020204" pitchFamily="18" charset="-52"/>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j-cs"/>
              </a:defRPr>
            </a:pPr>
            <a:r>
              <a:rPr lang="ru-RU" sz="1000" b="1" i="0" u="none" strike="noStrike" cap="none" normalizeH="0" baseline="0">
                <a:effectLst/>
              </a:rPr>
              <a:t>Структура источников средств федерального бюджета 2024 - 2025 гг., млн руб.</a:t>
            </a:r>
            <a:endParaRPr lang="ru-RU" sz="1000" b="1" i="0"/>
          </a:p>
        </c:rich>
      </c:tx>
      <c:layout>
        <c:manualLayout>
          <c:xMode val="edge"/>
          <c:yMode val="edge"/>
          <c:x val="0.14574237542341101"/>
          <c:y val="0.81198123421147606"/>
        </c:manualLayout>
      </c:layout>
      <c:overlay val="0"/>
      <c:spPr>
        <a:noFill/>
        <a:ln>
          <a:noFill/>
        </a:ln>
        <a:effectLst/>
      </c:spPr>
      <c:txPr>
        <a:bodyPr rot="0" spcFirstLastPara="1" vertOverflow="ellipsis" vert="horz" wrap="square" anchor="ctr" anchorCtr="1"/>
        <a:lstStyle/>
        <a:p>
          <a:pPr>
            <a:defRPr sz="1200" b="0"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j-cs"/>
            </a:defRPr>
          </a:pPr>
          <a:endParaRPr lang="ru-RU"/>
        </a:p>
      </c:txPr>
    </c:title>
    <c:autoTitleDeleted val="0"/>
    <c:plotArea>
      <c:layout>
        <c:manualLayout>
          <c:layoutTarget val="inner"/>
          <c:xMode val="edge"/>
          <c:yMode val="edge"/>
          <c:x val="0.13884514435695539"/>
          <c:y val="3.3922771562612773E-2"/>
          <c:w val="0.816764218032068"/>
          <c:h val="0.61942617151203272"/>
        </c:manualLayout>
      </c:layout>
      <c:barChart>
        <c:barDir val="col"/>
        <c:grouping val="stacked"/>
        <c:varyColors val="0"/>
        <c:ser>
          <c:idx val="0"/>
          <c:order val="0"/>
          <c:tx>
            <c:strRef>
              <c:f>Лист1!$B$1</c:f>
              <c:strCache>
                <c:ptCount val="1"/>
                <c:pt idx="0">
                  <c:v>НП Семья</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Лист1!$A$2:$A$3</c:f>
              <c:strCache>
                <c:ptCount val="2"/>
                <c:pt idx="0">
                  <c:v>2024 год</c:v>
                </c:pt>
                <c:pt idx="1">
                  <c:v>2025 год</c:v>
                </c:pt>
              </c:strCache>
            </c:strRef>
          </c:cat>
          <c:val>
            <c:numRef>
              <c:f>Лист1!$B$2:$B$3</c:f>
              <c:numCache>
                <c:formatCode>0.0</c:formatCode>
                <c:ptCount val="2"/>
                <c:pt idx="0">
                  <c:v>274.2</c:v>
                </c:pt>
                <c:pt idx="1">
                  <c:v>59.8</c:v>
                </c:pt>
              </c:numCache>
            </c:numRef>
          </c:val>
          <c:extLst>
            <c:ext xmlns:c16="http://schemas.microsoft.com/office/drawing/2014/chart" uri="{C3380CC4-5D6E-409C-BE32-E72D297353CC}">
              <c16:uniqueId val="{00000000-94AF-4753-9A3B-D8D8E0844617}"/>
            </c:ext>
          </c:extLst>
        </c:ser>
        <c:ser>
          <c:idx val="1"/>
          <c:order val="1"/>
          <c:tx>
            <c:strRef>
              <c:f>Лист1!$C$1</c:f>
              <c:strCache>
                <c:ptCount val="1"/>
                <c:pt idx="0">
                  <c:v>НП Туризм</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Лист1!$A$2:$A$3</c:f>
              <c:strCache>
                <c:ptCount val="2"/>
                <c:pt idx="0">
                  <c:v>2024 год</c:v>
                </c:pt>
                <c:pt idx="1">
                  <c:v>2025 год</c:v>
                </c:pt>
              </c:strCache>
            </c:strRef>
          </c:cat>
          <c:val>
            <c:numRef>
              <c:f>Лист1!$C$2:$C$3</c:f>
              <c:numCache>
                <c:formatCode>0.0</c:formatCode>
                <c:ptCount val="2"/>
                <c:pt idx="1">
                  <c:v>47.2</c:v>
                </c:pt>
              </c:numCache>
            </c:numRef>
          </c:val>
          <c:extLst>
            <c:ext xmlns:c16="http://schemas.microsoft.com/office/drawing/2014/chart" uri="{C3380CC4-5D6E-409C-BE32-E72D297353CC}">
              <c16:uniqueId val="{00000001-94AF-4753-9A3B-D8D8E0844617}"/>
            </c:ext>
          </c:extLst>
        </c:ser>
        <c:ser>
          <c:idx val="2"/>
          <c:order val="2"/>
          <c:tx>
            <c:strRef>
              <c:f>Лист1!$D$1</c:f>
              <c:strCache>
                <c:ptCount val="1"/>
                <c:pt idx="0">
                  <c:v>ГП РФ</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Лист1!$A$2:$A$3</c:f>
              <c:strCache>
                <c:ptCount val="2"/>
                <c:pt idx="0">
                  <c:v>2024 год</c:v>
                </c:pt>
                <c:pt idx="1">
                  <c:v>2025 год</c:v>
                </c:pt>
              </c:strCache>
            </c:strRef>
          </c:cat>
          <c:val>
            <c:numRef>
              <c:f>Лист1!$D$2:$D$3</c:f>
              <c:numCache>
                <c:formatCode>0.0</c:formatCode>
                <c:ptCount val="2"/>
                <c:pt idx="0">
                  <c:v>519</c:v>
                </c:pt>
                <c:pt idx="1">
                  <c:v>490.4</c:v>
                </c:pt>
              </c:numCache>
            </c:numRef>
          </c:val>
          <c:extLst>
            <c:ext xmlns:c16="http://schemas.microsoft.com/office/drawing/2014/chart" uri="{C3380CC4-5D6E-409C-BE32-E72D297353CC}">
              <c16:uniqueId val="{00000002-94AF-4753-9A3B-D8D8E0844617}"/>
            </c:ext>
          </c:extLst>
        </c:ser>
        <c:dLbls>
          <c:dLblPos val="ctr"/>
          <c:showLegendKey val="0"/>
          <c:showVal val="1"/>
          <c:showCatName val="0"/>
          <c:showSerName val="0"/>
          <c:showPercent val="0"/>
          <c:showBubbleSize val="0"/>
        </c:dLbls>
        <c:gapWidth val="150"/>
        <c:overlap val="100"/>
        <c:axId val="327129336"/>
        <c:axId val="327133648"/>
      </c:barChart>
      <c:catAx>
        <c:axId val="327129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327133648"/>
        <c:crosses val="autoZero"/>
        <c:auto val="1"/>
        <c:lblAlgn val="ctr"/>
        <c:lblOffset val="100"/>
        <c:noMultiLvlLbl val="0"/>
      </c:catAx>
      <c:valAx>
        <c:axId val="3271336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327129336"/>
        <c:crosses val="autoZero"/>
        <c:crossBetween val="between"/>
        <c:minorUnit val="100"/>
      </c:valAx>
      <c:spPr>
        <a:noFill/>
        <a:ln>
          <a:noFill/>
        </a:ln>
        <a:effectLst/>
      </c:spPr>
    </c:plotArea>
    <c:legend>
      <c:legendPos val="b"/>
      <c:layout>
        <c:manualLayout>
          <c:xMode val="edge"/>
          <c:yMode val="edge"/>
          <c:x val="0.18285574472682439"/>
          <c:y val="0.73704310959686514"/>
          <c:w val="0.65335981650942276"/>
          <c:h val="5.494495006306029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PT Astra Serif" panose="020A0603040505020204" pitchFamily="18" charset="-52"/>
          <a:ea typeface="PT Astra Serif" panose="020A0603040505020204" pitchFamily="18" charset="-52"/>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1000" b="1" i="0"/>
            </a:pPr>
            <a:r>
              <a:rPr lang="ru-RU" sz="1000" b="1" i="0" u="none" strike="noStrike" baseline="0">
                <a:solidFill>
                  <a:sysClr val="windowText" lastClr="000000"/>
                </a:solidFill>
                <a:effectLst/>
              </a:rPr>
              <a:t>Средняя заработная плата работников «Культуры» в 2012 - 2025 гг.</a:t>
            </a:r>
            <a:endParaRPr lang="ru-RU" sz="1000" b="1" i="0">
              <a:solidFill>
                <a:sysClr val="windowText" lastClr="000000"/>
              </a:solidFill>
            </a:endParaRPr>
          </a:p>
        </c:rich>
      </c:tx>
      <c:layout>
        <c:manualLayout>
          <c:xMode val="edge"/>
          <c:yMode val="edge"/>
          <c:x val="0.15278292340024172"/>
          <c:y val="0.9336152550546778"/>
        </c:manualLayout>
      </c:layout>
      <c:overlay val="0"/>
    </c:title>
    <c:autoTitleDeleted val="0"/>
    <c:plotArea>
      <c:layout>
        <c:manualLayout>
          <c:layoutTarget val="inner"/>
          <c:xMode val="edge"/>
          <c:yMode val="edge"/>
          <c:x val="6.1730667453125568E-2"/>
          <c:y val="3.8613133754320322E-2"/>
          <c:w val="0.91500039020943968"/>
          <c:h val="0.73449230610879523"/>
        </c:manualLayout>
      </c:layout>
      <c:lineChart>
        <c:grouping val="standard"/>
        <c:varyColors val="0"/>
        <c:ser>
          <c:idx val="0"/>
          <c:order val="0"/>
          <c:tx>
            <c:strRef>
              <c:f>Лист1!$B$1</c:f>
              <c:strCache>
                <c:ptCount val="1"/>
                <c:pt idx="0">
                  <c:v>Средняя заработная плата по культуре</c:v>
                </c:pt>
              </c:strCache>
            </c:strRef>
          </c:tx>
          <c:spPr>
            <a:ln w="19050" cap="rnd" cmpd="sng" algn="ctr">
              <a:solidFill>
                <a:srgbClr val="92D050"/>
              </a:solidFill>
              <a:prstDash val="solid"/>
              <a:round/>
            </a:ln>
            <a:effectLst/>
          </c:spPr>
          <c:marker>
            <c:spPr>
              <a:solidFill>
                <a:srgbClr val="92D050"/>
              </a:solidFill>
              <a:ln w="6350" cap="flat" cmpd="sng" algn="ctr">
                <a:solidFill>
                  <a:srgbClr val="92D050"/>
                </a:solidFill>
                <a:prstDash val="solid"/>
                <a:round/>
              </a:ln>
              <a:effectLst/>
            </c:spPr>
          </c:marker>
          <c:dLbls>
            <c:dLbl>
              <c:idx val="0"/>
              <c:layout>
                <c:manualLayout>
                  <c:x val="-1.930818488420116E-17"/>
                  <c:y val="1.727861771058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B4-4FF6-B728-81CE81A83196}"/>
                </c:ext>
              </c:extLst>
            </c:dLbl>
            <c:dLbl>
              <c:idx val="1"/>
              <c:layout>
                <c:manualLayout>
                  <c:x val="-8.4254870984729734E-3"/>
                  <c:y val="1.4398848092152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9B4-4FF6-B728-81CE81A83196}"/>
                </c:ext>
              </c:extLst>
            </c:dLbl>
            <c:dLbl>
              <c:idx val="2"/>
              <c:layout>
                <c:manualLayout>
                  <c:x val="-6.319115323854747E-3"/>
                  <c:y val="1.72786177105831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B4-4FF6-B728-81CE81A83196}"/>
                </c:ext>
              </c:extLst>
            </c:dLbl>
            <c:dLbl>
              <c:idx val="3"/>
              <c:layout>
                <c:manualLayout>
                  <c:x val="-6.3191153238546776E-3"/>
                  <c:y val="2.30381569474442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9B4-4FF6-B728-81CE81A83196}"/>
                </c:ext>
              </c:extLst>
            </c:dLbl>
            <c:dLbl>
              <c:idx val="6"/>
              <c:layout>
                <c:manualLayout>
                  <c:x val="-3.7914691943127972E-2"/>
                  <c:y val="-3.1677465802735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9B4-4FF6-B728-81CE81A83196}"/>
                </c:ext>
              </c:extLst>
            </c:dLbl>
            <c:dLbl>
              <c:idx val="7"/>
              <c:layout>
                <c:manualLayout>
                  <c:x val="-4.1979010494752687E-2"/>
                  <c:y val="-3.08641975308642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9B4-4FF6-B728-81CE81A83196}"/>
                </c:ext>
              </c:extLst>
            </c:dLbl>
            <c:dLbl>
              <c:idx val="10"/>
              <c:layout>
                <c:manualLayout>
                  <c:x val="-1.8471010774756286E-2"/>
                  <c:y val="1.32013201320132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9B4-4FF6-B728-81CE81A83196}"/>
                </c:ext>
              </c:extLst>
            </c:dLbl>
            <c:spPr>
              <a:noFill/>
              <a:ln w="25236">
                <a:noFill/>
              </a:ln>
              <a:effectLst/>
            </c:spPr>
            <c:txPr>
              <a:bodyPr rot="0" vert="horz"/>
              <a:lstStyle/>
              <a:p>
                <a:pPr>
                  <a:defRPr/>
                </a:pPr>
                <a:endParaRPr lang="ru-RU"/>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Лист1!$A$2:$A$15</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Лист1!$B$2:$B$15</c:f>
              <c:numCache>
                <c:formatCode>General</c:formatCode>
                <c:ptCount val="14"/>
                <c:pt idx="0">
                  <c:v>8464</c:v>
                </c:pt>
                <c:pt idx="1">
                  <c:v>11511</c:v>
                </c:pt>
                <c:pt idx="2">
                  <c:v>14183</c:v>
                </c:pt>
                <c:pt idx="3">
                  <c:v>15082</c:v>
                </c:pt>
                <c:pt idx="4">
                  <c:v>16058</c:v>
                </c:pt>
                <c:pt idx="5">
                  <c:v>19687</c:v>
                </c:pt>
                <c:pt idx="6">
                  <c:v>25360</c:v>
                </c:pt>
                <c:pt idx="7">
                  <c:v>26664</c:v>
                </c:pt>
                <c:pt idx="8">
                  <c:v>26905</c:v>
                </c:pt>
                <c:pt idx="9">
                  <c:v>29004</c:v>
                </c:pt>
                <c:pt idx="10">
                  <c:v>31499</c:v>
                </c:pt>
                <c:pt idx="11">
                  <c:v>36196</c:v>
                </c:pt>
                <c:pt idx="12">
                  <c:v>41125</c:v>
                </c:pt>
                <c:pt idx="13">
                  <c:v>48054</c:v>
                </c:pt>
              </c:numCache>
            </c:numRef>
          </c:val>
          <c:smooth val="0"/>
          <c:extLst>
            <c:ext xmlns:c16="http://schemas.microsoft.com/office/drawing/2014/chart" uri="{C3380CC4-5D6E-409C-BE32-E72D297353CC}">
              <c16:uniqueId val="{00000007-F9B4-4FF6-B728-81CE81A83196}"/>
            </c:ext>
          </c:extLst>
        </c:ser>
        <c:ser>
          <c:idx val="1"/>
          <c:order val="1"/>
          <c:tx>
            <c:strRef>
              <c:f>Лист1!$C$1</c:f>
              <c:strCache>
                <c:ptCount val="1"/>
                <c:pt idx="0">
                  <c:v>Средняя заработная плата по Ульяновской области</c:v>
                </c:pt>
              </c:strCache>
            </c:strRef>
          </c:tx>
          <c:spPr>
            <a:ln w="19050" cap="rnd" cmpd="sng" algn="ctr">
              <a:solidFill>
                <a:schemeClr val="accent4">
                  <a:lumMod val="75000"/>
                </a:schemeClr>
              </a:solidFill>
              <a:prstDash val="solid"/>
              <a:round/>
            </a:ln>
            <a:effectLst/>
          </c:spPr>
          <c:marker>
            <c:spPr>
              <a:solidFill>
                <a:schemeClr val="accent4">
                  <a:lumMod val="75000"/>
                </a:schemeClr>
              </a:solidFill>
              <a:ln w="6350" cap="flat" cmpd="sng" algn="ctr">
                <a:solidFill>
                  <a:schemeClr val="accent4">
                    <a:lumMod val="75000"/>
                  </a:schemeClr>
                </a:solidFill>
                <a:prstDash val="solid"/>
                <a:round/>
              </a:ln>
              <a:effectLst/>
            </c:spPr>
          </c:marker>
          <c:dLbls>
            <c:dLbl>
              <c:idx val="6"/>
              <c:layout>
                <c:manualLayout>
                  <c:x val="-1.1585044760400237E-2"/>
                  <c:y val="2.99496040316774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9B4-4FF6-B728-81CE81A83196}"/>
                </c:ext>
              </c:extLst>
            </c:dLbl>
            <c:dLbl>
              <c:idx val="7"/>
              <c:layout>
                <c:manualLayout>
                  <c:x val="-8.9456059371890596E-3"/>
                  <c:y val="3.21374064353067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9B4-4FF6-B728-81CE81A83196}"/>
                </c:ext>
              </c:extLst>
            </c:dLbl>
            <c:dLbl>
              <c:idx val="10"/>
              <c:layout>
                <c:manualLayout>
                  <c:x val="-4.2284232172363781E-2"/>
                  <c:y val="-1.87458745874587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9B4-4FF6-B728-81CE81A83196}"/>
                </c:ext>
              </c:extLst>
            </c:dLbl>
            <c:spPr>
              <a:noFill/>
              <a:ln w="25236">
                <a:noFill/>
              </a:ln>
              <a:effectLst/>
            </c:spPr>
            <c:txPr>
              <a:bodyPr rot="0" vert="horz"/>
              <a:lstStyle/>
              <a:p>
                <a:pPr>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Лист1!$A$2:$A$15</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Лист1!$C$2:$C$15</c:f>
              <c:numCache>
                <c:formatCode>General</c:formatCode>
                <c:ptCount val="14"/>
                <c:pt idx="0">
                  <c:v>17183</c:v>
                </c:pt>
                <c:pt idx="1">
                  <c:v>19218</c:v>
                </c:pt>
                <c:pt idx="2">
                  <c:v>21081</c:v>
                </c:pt>
                <c:pt idx="3">
                  <c:v>20803</c:v>
                </c:pt>
                <c:pt idx="4">
                  <c:v>21496</c:v>
                </c:pt>
                <c:pt idx="5">
                  <c:v>22893</c:v>
                </c:pt>
                <c:pt idx="6">
                  <c:v>24539</c:v>
                </c:pt>
                <c:pt idx="7">
                  <c:v>26153</c:v>
                </c:pt>
                <c:pt idx="8">
                  <c:v>27219</c:v>
                </c:pt>
                <c:pt idx="9">
                  <c:v>29680</c:v>
                </c:pt>
                <c:pt idx="10">
                  <c:v>32502</c:v>
                </c:pt>
                <c:pt idx="11">
                  <c:v>36333</c:v>
                </c:pt>
                <c:pt idx="12">
                  <c:v>39950</c:v>
                </c:pt>
                <c:pt idx="13">
                  <c:v>51172</c:v>
                </c:pt>
              </c:numCache>
            </c:numRef>
          </c:val>
          <c:smooth val="0"/>
          <c:extLst>
            <c:ext xmlns:c16="http://schemas.microsoft.com/office/drawing/2014/chart" uri="{C3380CC4-5D6E-409C-BE32-E72D297353CC}">
              <c16:uniqueId val="{0000000B-F9B4-4FF6-B728-81CE81A83196}"/>
            </c:ext>
          </c:extLst>
        </c:ser>
        <c:dLbls>
          <c:showLegendKey val="0"/>
          <c:showVal val="0"/>
          <c:showCatName val="0"/>
          <c:showSerName val="0"/>
          <c:showPercent val="0"/>
          <c:showBubbleSize val="0"/>
        </c:dLbls>
        <c:marker val="1"/>
        <c:smooth val="0"/>
        <c:axId val="149609088"/>
        <c:axId val="149668224"/>
      </c:lineChart>
      <c:catAx>
        <c:axId val="149609088"/>
        <c:scaling>
          <c:orientation val="minMax"/>
        </c:scaling>
        <c:delete val="0"/>
        <c:axPos val="b"/>
        <c:numFmt formatCode="General" sourceLinked="1"/>
        <c:majorTickMark val="none"/>
        <c:minorTickMark val="none"/>
        <c:tickLblPos val="nextTo"/>
        <c:spPr>
          <a:noFill/>
          <a:ln w="9464" cap="flat" cmpd="sng" algn="ctr">
            <a:solidFill>
              <a:schemeClr val="dk1">
                <a:lumMod val="15000"/>
                <a:lumOff val="85000"/>
              </a:schemeClr>
            </a:solidFill>
            <a:prstDash val="solid"/>
            <a:round/>
          </a:ln>
          <a:effectLst/>
        </c:spPr>
        <c:txPr>
          <a:bodyPr rot="-60000000" vert="horz"/>
          <a:lstStyle/>
          <a:p>
            <a:pPr>
              <a:defRPr/>
            </a:pPr>
            <a:endParaRPr lang="ru-RU"/>
          </a:p>
        </c:txPr>
        <c:crossAx val="149668224"/>
        <c:crosses val="autoZero"/>
        <c:auto val="1"/>
        <c:lblAlgn val="ctr"/>
        <c:lblOffset val="100"/>
        <c:noMultiLvlLbl val="0"/>
      </c:catAx>
      <c:valAx>
        <c:axId val="149668224"/>
        <c:scaling>
          <c:orientation val="minMax"/>
        </c:scaling>
        <c:delete val="0"/>
        <c:axPos val="l"/>
        <c:numFmt formatCode="General" sourceLinked="1"/>
        <c:majorTickMark val="none"/>
        <c:minorTickMark val="none"/>
        <c:tickLblPos val="nextTo"/>
        <c:spPr>
          <a:noFill/>
          <a:ln w="9464" cap="flat" cmpd="sng" algn="ctr">
            <a:noFill/>
            <a:prstDash val="solid"/>
            <a:round/>
          </a:ln>
          <a:effectLst/>
        </c:spPr>
        <c:txPr>
          <a:bodyPr rot="-60000000" vert="horz"/>
          <a:lstStyle/>
          <a:p>
            <a:pPr>
              <a:defRPr/>
            </a:pPr>
            <a:endParaRPr lang="ru-RU"/>
          </a:p>
        </c:txPr>
        <c:crossAx val="149609088"/>
        <c:crosses val="autoZero"/>
        <c:crossBetween val="between"/>
      </c:valAx>
      <c:spPr>
        <a:noFill/>
        <a:ln w="25324">
          <a:noFill/>
        </a:ln>
        <a:effectLst/>
      </c:spPr>
    </c:plotArea>
    <c:legend>
      <c:legendPos val="b"/>
      <c:layout>
        <c:manualLayout>
          <c:xMode val="edge"/>
          <c:yMode val="edge"/>
          <c:x val="3.8638187158365082E-2"/>
          <c:y val="0.86035186195784918"/>
          <c:w val="0.89999991785064426"/>
          <c:h val="5.7448979591836737E-2"/>
        </c:manualLayout>
      </c:layout>
      <c:overlay val="0"/>
      <c:spPr>
        <a:noFill/>
        <a:ln w="25236">
          <a:noFill/>
        </a:ln>
        <a:effectLst/>
      </c:spPr>
      <c:txPr>
        <a:bodyPr rot="0" vert="horz"/>
        <a:lstStyle/>
        <a:p>
          <a:pPr>
            <a:defRPr/>
          </a:pPr>
          <a:endParaRPr lang="ru-RU"/>
        </a:p>
      </c:txPr>
    </c:legend>
    <c:plotVisOnly val="1"/>
    <c:dispBlanksAs val="gap"/>
    <c:showDLblsOverMax val="0"/>
  </c:chart>
  <c:spPr>
    <a:noFill/>
    <a:ln w="6350" cap="flat" cmpd="sng" algn="ctr">
      <a:noFill/>
      <a:prstDash val="solid"/>
      <a:round/>
    </a:ln>
    <a:effectLst/>
  </c:spPr>
  <c:txPr>
    <a:bodyPr/>
    <a:lstStyle/>
    <a:p>
      <a:pPr>
        <a:defRPr sz="800">
          <a:solidFill>
            <a:sysClr val="windowText" lastClr="000000"/>
          </a:solidFill>
          <a:latin typeface="PT Astra Serif" panose="020A0603040505020204" pitchFamily="18" charset="-52"/>
          <a:ea typeface="PT Astra Serif" panose="020A0603040505020204" pitchFamily="18" charset="-52"/>
          <a:cs typeface="Times New Roman" panose="020206030504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3774857897364062E-2"/>
          <c:y val="2.4184587546025777E-2"/>
          <c:w val="0.91278563544042979"/>
          <c:h val="0.79884085285799455"/>
        </c:manualLayout>
      </c:layout>
      <c:barChart>
        <c:barDir val="col"/>
        <c:grouping val="clustered"/>
        <c:varyColors val="0"/>
        <c:ser>
          <c:idx val="1"/>
          <c:order val="0"/>
          <c:tx>
            <c:strRef>
              <c:f>'Работники культуры'!$A$4</c:f>
              <c:strCache>
                <c:ptCount val="1"/>
                <c:pt idx="0">
                  <c:v>Факт 2025 год</c:v>
                </c:pt>
              </c:strCache>
            </c:strRef>
          </c:tx>
          <c:spPr>
            <a:solidFill>
              <a:srgbClr val="92D050"/>
            </a:solidFill>
            <a:ln>
              <a:noFill/>
            </a:ln>
            <a:effectLst>
              <a:outerShdw blurRad="57150" dist="19050" dir="5400000" algn="ctr" rotWithShape="0">
                <a:srgbClr val="000000">
                  <a:alpha val="63000"/>
                </a:srgbClr>
              </a:outerShdw>
            </a:effectLst>
          </c:spPr>
          <c:invertIfNegative val="0"/>
          <c:cat>
            <c:strRef>
              <c:f>'Работники культуры'!$B$3:$Y$3</c:f>
              <c:strCache>
                <c:ptCount val="24"/>
                <c:pt idx="0">
                  <c:v>Базарносызганский</c:v>
                </c:pt>
                <c:pt idx="1">
                  <c:v>Барышский</c:v>
                </c:pt>
                <c:pt idx="2">
                  <c:v>Вешкаймский</c:v>
                </c:pt>
                <c:pt idx="3">
                  <c:v>Инзенский</c:v>
                </c:pt>
                <c:pt idx="4">
                  <c:v>Карсунский</c:v>
                </c:pt>
                <c:pt idx="5">
                  <c:v>Кузоватовский</c:v>
                </c:pt>
                <c:pt idx="6">
                  <c:v>Майнский</c:v>
                </c:pt>
                <c:pt idx="7">
                  <c:v>Мелекесский</c:v>
                </c:pt>
                <c:pt idx="8">
                  <c:v>Николаевский</c:v>
                </c:pt>
                <c:pt idx="9">
                  <c:v>Новомалыклинский</c:v>
                </c:pt>
                <c:pt idx="10">
                  <c:v>Новоспасский</c:v>
                </c:pt>
                <c:pt idx="11">
                  <c:v>Павловский</c:v>
                </c:pt>
                <c:pt idx="12">
                  <c:v>Радищевский</c:v>
                </c:pt>
                <c:pt idx="13">
                  <c:v>Сенгилеевский</c:v>
                </c:pt>
                <c:pt idx="14">
                  <c:v>Старокулаткинский</c:v>
                </c:pt>
                <c:pt idx="15">
                  <c:v>Старомайнский</c:v>
                </c:pt>
                <c:pt idx="16">
                  <c:v>Сурский</c:v>
                </c:pt>
                <c:pt idx="17">
                  <c:v>Тереньгульский</c:v>
                </c:pt>
                <c:pt idx="18">
                  <c:v>Ульяновский</c:v>
                </c:pt>
                <c:pt idx="19">
                  <c:v>Цильнинский</c:v>
                </c:pt>
                <c:pt idx="20">
                  <c:v>Чердаклинский</c:v>
                </c:pt>
                <c:pt idx="21">
                  <c:v>г. Димитровград</c:v>
                </c:pt>
                <c:pt idx="22">
                  <c:v>г. Ульяновск</c:v>
                </c:pt>
                <c:pt idx="23">
                  <c:v>г. Новоульяновск</c:v>
                </c:pt>
              </c:strCache>
            </c:strRef>
          </c:cat>
          <c:val>
            <c:numRef>
              <c:f>'Работники культуры'!$B$4:$Y$4</c:f>
              <c:numCache>
                <c:formatCode>#\ ##0.0</c:formatCode>
                <c:ptCount val="24"/>
                <c:pt idx="0">
                  <c:v>31398.6</c:v>
                </c:pt>
                <c:pt idx="1">
                  <c:v>33673.300000000003</c:v>
                </c:pt>
                <c:pt idx="2">
                  <c:v>28983.9</c:v>
                </c:pt>
                <c:pt idx="3">
                  <c:v>30300.1</c:v>
                </c:pt>
                <c:pt idx="4">
                  <c:v>31876.5</c:v>
                </c:pt>
                <c:pt idx="5">
                  <c:v>37228.199999999997</c:v>
                </c:pt>
                <c:pt idx="6">
                  <c:v>35403.300000000003</c:v>
                </c:pt>
                <c:pt idx="7">
                  <c:v>38030.9</c:v>
                </c:pt>
                <c:pt idx="8">
                  <c:v>33187.1</c:v>
                </c:pt>
                <c:pt idx="9">
                  <c:v>31088.6</c:v>
                </c:pt>
                <c:pt idx="10">
                  <c:v>38057.699999999997</c:v>
                </c:pt>
                <c:pt idx="11">
                  <c:v>29932.799999999999</c:v>
                </c:pt>
                <c:pt idx="12">
                  <c:v>31172.3</c:v>
                </c:pt>
                <c:pt idx="13">
                  <c:v>35433.300000000003</c:v>
                </c:pt>
                <c:pt idx="14">
                  <c:v>28901.9</c:v>
                </c:pt>
                <c:pt idx="15">
                  <c:v>29475.599999999999</c:v>
                </c:pt>
                <c:pt idx="16">
                  <c:v>33930.800000000003</c:v>
                </c:pt>
                <c:pt idx="17">
                  <c:v>36751.599999999999</c:v>
                </c:pt>
                <c:pt idx="18">
                  <c:v>36116.6</c:v>
                </c:pt>
                <c:pt idx="19">
                  <c:v>30003.5</c:v>
                </c:pt>
                <c:pt idx="20">
                  <c:v>40521.5</c:v>
                </c:pt>
                <c:pt idx="21">
                  <c:v>53457.2</c:v>
                </c:pt>
                <c:pt idx="22">
                  <c:v>53297.2</c:v>
                </c:pt>
                <c:pt idx="23">
                  <c:v>55184.2</c:v>
                </c:pt>
              </c:numCache>
            </c:numRef>
          </c:val>
          <c:extLst>
            <c:ext xmlns:c16="http://schemas.microsoft.com/office/drawing/2014/chart" uri="{C3380CC4-5D6E-409C-BE32-E72D297353CC}">
              <c16:uniqueId val="{00000000-42B3-4E79-BAC9-B99CB570D790}"/>
            </c:ext>
          </c:extLst>
        </c:ser>
        <c:ser>
          <c:idx val="2"/>
          <c:order val="1"/>
          <c:tx>
            <c:strRef>
              <c:f>'Работники культуры'!$A$5</c:f>
              <c:strCache>
                <c:ptCount val="1"/>
                <c:pt idx="0">
                  <c:v>Факт 2024 год</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cat>
            <c:strRef>
              <c:f>'Работники культуры'!$B$3:$Y$3</c:f>
              <c:strCache>
                <c:ptCount val="24"/>
                <c:pt idx="0">
                  <c:v>Базарносызганский</c:v>
                </c:pt>
                <c:pt idx="1">
                  <c:v>Барышский</c:v>
                </c:pt>
                <c:pt idx="2">
                  <c:v>Вешкаймский</c:v>
                </c:pt>
                <c:pt idx="3">
                  <c:v>Инзенский</c:v>
                </c:pt>
                <c:pt idx="4">
                  <c:v>Карсунский</c:v>
                </c:pt>
                <c:pt idx="5">
                  <c:v>Кузоватовский</c:v>
                </c:pt>
                <c:pt idx="6">
                  <c:v>Майнский</c:v>
                </c:pt>
                <c:pt idx="7">
                  <c:v>Мелекесский</c:v>
                </c:pt>
                <c:pt idx="8">
                  <c:v>Николаевский</c:v>
                </c:pt>
                <c:pt idx="9">
                  <c:v>Новомалыклинский</c:v>
                </c:pt>
                <c:pt idx="10">
                  <c:v>Новоспасский</c:v>
                </c:pt>
                <c:pt idx="11">
                  <c:v>Павловский</c:v>
                </c:pt>
                <c:pt idx="12">
                  <c:v>Радищевский</c:v>
                </c:pt>
                <c:pt idx="13">
                  <c:v>Сенгилеевский</c:v>
                </c:pt>
                <c:pt idx="14">
                  <c:v>Старокулаткинский</c:v>
                </c:pt>
                <c:pt idx="15">
                  <c:v>Старомайнский</c:v>
                </c:pt>
                <c:pt idx="16">
                  <c:v>Сурский</c:v>
                </c:pt>
                <c:pt idx="17">
                  <c:v>Тереньгульский</c:v>
                </c:pt>
                <c:pt idx="18">
                  <c:v>Ульяновский</c:v>
                </c:pt>
                <c:pt idx="19">
                  <c:v>Цильнинский</c:v>
                </c:pt>
                <c:pt idx="20">
                  <c:v>Чердаклинский</c:v>
                </c:pt>
                <c:pt idx="21">
                  <c:v>г. Димитровград</c:v>
                </c:pt>
                <c:pt idx="22">
                  <c:v>г. Ульяновск</c:v>
                </c:pt>
                <c:pt idx="23">
                  <c:v>г. Новоульяновск</c:v>
                </c:pt>
              </c:strCache>
            </c:strRef>
          </c:cat>
          <c:val>
            <c:numRef>
              <c:f>'Работники культуры'!$B$5:$Y$5</c:f>
              <c:numCache>
                <c:formatCode>#\ ##0.0</c:formatCode>
                <c:ptCount val="24"/>
                <c:pt idx="0">
                  <c:v>28451.8</c:v>
                </c:pt>
                <c:pt idx="1">
                  <c:v>31994.400000000001</c:v>
                </c:pt>
                <c:pt idx="2">
                  <c:v>28117.5</c:v>
                </c:pt>
                <c:pt idx="3">
                  <c:v>27866.6</c:v>
                </c:pt>
                <c:pt idx="4">
                  <c:v>30934.1</c:v>
                </c:pt>
                <c:pt idx="5">
                  <c:v>39032.400000000001</c:v>
                </c:pt>
                <c:pt idx="6">
                  <c:v>35876.1</c:v>
                </c:pt>
                <c:pt idx="7">
                  <c:v>37787.5</c:v>
                </c:pt>
                <c:pt idx="8">
                  <c:v>29221.3</c:v>
                </c:pt>
                <c:pt idx="9">
                  <c:v>31529.7</c:v>
                </c:pt>
                <c:pt idx="10">
                  <c:v>39163.1</c:v>
                </c:pt>
                <c:pt idx="11">
                  <c:v>28504.3</c:v>
                </c:pt>
                <c:pt idx="12">
                  <c:v>28107.3</c:v>
                </c:pt>
                <c:pt idx="13">
                  <c:v>32691.1</c:v>
                </c:pt>
                <c:pt idx="14">
                  <c:v>25465.7</c:v>
                </c:pt>
                <c:pt idx="15">
                  <c:v>30409.3</c:v>
                </c:pt>
                <c:pt idx="16">
                  <c:v>35134.9</c:v>
                </c:pt>
                <c:pt idx="17">
                  <c:v>26355.8</c:v>
                </c:pt>
                <c:pt idx="18">
                  <c:v>36528.400000000001</c:v>
                </c:pt>
                <c:pt idx="19">
                  <c:v>29072.7</c:v>
                </c:pt>
                <c:pt idx="20">
                  <c:v>36636</c:v>
                </c:pt>
                <c:pt idx="21">
                  <c:v>40982.5</c:v>
                </c:pt>
                <c:pt idx="22">
                  <c:v>44404.2</c:v>
                </c:pt>
                <c:pt idx="23">
                  <c:v>45071.9</c:v>
                </c:pt>
              </c:numCache>
            </c:numRef>
          </c:val>
          <c:extLst>
            <c:ext xmlns:c16="http://schemas.microsoft.com/office/drawing/2014/chart" uri="{C3380CC4-5D6E-409C-BE32-E72D297353CC}">
              <c16:uniqueId val="{00000001-42B3-4E79-BAC9-B99CB570D790}"/>
            </c:ext>
          </c:extLst>
        </c:ser>
        <c:dLbls>
          <c:showLegendKey val="0"/>
          <c:showVal val="0"/>
          <c:showCatName val="0"/>
          <c:showSerName val="0"/>
          <c:showPercent val="0"/>
          <c:showBubbleSize val="0"/>
        </c:dLbls>
        <c:gapWidth val="100"/>
        <c:overlap val="-24"/>
        <c:axId val="265695136"/>
        <c:axId val="265695528"/>
      </c:barChart>
      <c:catAx>
        <c:axId val="2656951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PT Astra Serif" panose="020A0603040505020204" pitchFamily="18" charset="-52"/>
                <a:ea typeface="PT Astra Serif" panose="020A0603040505020204" pitchFamily="18" charset="-52"/>
                <a:cs typeface="Times New Roman" panose="02020603050405020304" pitchFamily="18" charset="0"/>
              </a:defRPr>
            </a:pPr>
            <a:endParaRPr lang="ru-RU"/>
          </a:p>
        </c:txPr>
        <c:crossAx val="265695528"/>
        <c:crosses val="autoZero"/>
        <c:auto val="1"/>
        <c:lblAlgn val="ctr"/>
        <c:lblOffset val="100"/>
        <c:noMultiLvlLbl val="0"/>
      </c:catAx>
      <c:valAx>
        <c:axId val="265695528"/>
        <c:scaling>
          <c:orientation val="minMax"/>
          <c:min val="15000"/>
        </c:scaling>
        <c:delete val="0"/>
        <c:axPos val="l"/>
        <c:majorGridlines>
          <c:spPr>
            <a:ln w="9525" cap="flat" cmpd="sng" algn="ctr">
              <a:solidFill>
                <a:schemeClr val="tx1">
                  <a:lumMod val="15000"/>
                  <a:lumOff val="85000"/>
                </a:schemeClr>
              </a:solidFill>
              <a:prstDash val="solid"/>
              <a:round/>
            </a:ln>
            <a:effectLst/>
          </c:spPr>
        </c:majorGridlines>
        <c:numFmt formatCode="#\ ##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5695136"/>
        <c:crosses val="autoZero"/>
        <c:crossBetween val="between"/>
      </c:valAx>
      <c:spPr>
        <a:solidFill>
          <a:schemeClr val="bg1"/>
        </a:solidFill>
        <a:ln>
          <a:noFill/>
        </a:ln>
        <a:effectLst/>
      </c:spPr>
    </c:plotArea>
    <c:legend>
      <c:legendPos val="b"/>
      <c:layout>
        <c:manualLayout>
          <c:xMode val="edge"/>
          <c:yMode val="edge"/>
          <c:x val="0.29572870875803098"/>
          <c:y val="0.9464998291142811"/>
          <c:w val="0.27435320584926887"/>
          <c:h val="3.9453151288781213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prstDash val="solid"/>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'ДШИ и СПО'!$A$4</c:f>
              <c:strCache>
                <c:ptCount val="1"/>
                <c:pt idx="0">
                  <c:v>Факт 2025 год</c:v>
                </c:pt>
              </c:strCache>
            </c:strRef>
          </c:tx>
          <c:spPr>
            <a:solidFill>
              <a:srgbClr val="6AAC90">
                <a:lumMod val="75000"/>
              </a:srgbClr>
            </a:solidFill>
            <a:ln>
              <a:noFill/>
            </a:ln>
            <a:effectLst>
              <a:innerShdw blurRad="114300">
                <a:schemeClr val="accent6">
                  <a:shade val="76000"/>
                </a:schemeClr>
              </a:innerShdw>
            </a:effectLst>
          </c:spPr>
          <c:invertIfNegative val="0"/>
          <c:dLbls>
            <c:spPr>
              <a:noFill/>
              <a:ln>
                <a:noFill/>
              </a:ln>
              <a:effectLst/>
            </c:spPr>
            <c:txPr>
              <a:bodyPr rot="-5400000" spcFirstLastPara="1" vertOverflow="ellipsis" wrap="square" anchor="ctr" anchorCtr="1"/>
              <a:lstStyle/>
              <a:p>
                <a:pPr>
                  <a:defRPr sz="1000" b="0" i="0" u="none" strike="noStrike" kern="1200" baseline="0">
                    <a:solidFill>
                      <a:schemeClr val="bg1"/>
                    </a:solidFill>
                    <a:latin typeface="PT Astra Serif" panose="020A0603040505020204" pitchFamily="18" charset="-52"/>
                    <a:ea typeface="PT Astra Serif" panose="020A0603040505020204" pitchFamily="18" charset="-52"/>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'ДШИ и СПО'!$B$3:$G$3</c:f>
              <c:strCache>
                <c:ptCount val="6"/>
                <c:pt idx="0">
                  <c:v>работники ОДШИ</c:v>
                </c:pt>
                <c:pt idx="1">
                  <c:v>работники МДШИ </c:v>
                </c:pt>
                <c:pt idx="2">
                  <c:v>педагоги ОДШИ</c:v>
                </c:pt>
                <c:pt idx="3">
                  <c:v>педагоги МДШИ </c:v>
                </c:pt>
                <c:pt idx="4">
                  <c:v>работники СПО</c:v>
                </c:pt>
                <c:pt idx="5">
                  <c:v>преподаватели СПО</c:v>
                </c:pt>
              </c:strCache>
            </c:strRef>
          </c:cat>
          <c:val>
            <c:numRef>
              <c:f>'ДШИ и СПО'!$B$4:$G$4</c:f>
              <c:numCache>
                <c:formatCode>#\ ##0.0</c:formatCode>
                <c:ptCount val="6"/>
                <c:pt idx="0">
                  <c:v>50859.4</c:v>
                </c:pt>
                <c:pt idx="1">
                  <c:v>44489.9</c:v>
                </c:pt>
                <c:pt idx="2">
                  <c:v>53641.5</c:v>
                </c:pt>
                <c:pt idx="3">
                  <c:v>47611.8</c:v>
                </c:pt>
                <c:pt idx="4">
                  <c:v>49960.7</c:v>
                </c:pt>
                <c:pt idx="5">
                  <c:v>60645</c:v>
                </c:pt>
              </c:numCache>
            </c:numRef>
          </c:val>
          <c:extLst>
            <c:ext xmlns:c16="http://schemas.microsoft.com/office/drawing/2014/chart" uri="{C3380CC4-5D6E-409C-BE32-E72D297353CC}">
              <c16:uniqueId val="{00000000-A97E-4F17-9291-9BFF5CE9F72A}"/>
            </c:ext>
          </c:extLst>
        </c:ser>
        <c:ser>
          <c:idx val="1"/>
          <c:order val="1"/>
          <c:tx>
            <c:strRef>
              <c:f>'ДШИ и СПО'!$A$5</c:f>
              <c:strCache>
                <c:ptCount val="1"/>
                <c:pt idx="0">
                  <c:v>Факт 2024 год</c:v>
                </c:pt>
              </c:strCache>
            </c:strRef>
          </c:tx>
          <c:spPr>
            <a:solidFill>
              <a:srgbClr val="00B050"/>
            </a:solidFill>
            <a:ln>
              <a:noFill/>
            </a:ln>
            <a:effectLst>
              <a:innerShdw blurRad="114300">
                <a:schemeClr val="accent6">
                  <a:tint val="77000"/>
                </a:schemeClr>
              </a:innerShdw>
            </a:effectLst>
          </c:spPr>
          <c:invertIfNegative val="0"/>
          <c:dLbls>
            <c:spPr>
              <a:noFill/>
              <a:ln>
                <a:noFill/>
              </a:ln>
              <a:effectLst/>
            </c:spPr>
            <c:txPr>
              <a:bodyPr rot="-5400000" spcFirstLastPara="1" vertOverflow="ellipsis" wrap="square" anchor="ctr" anchorCtr="1"/>
              <a:lstStyle/>
              <a:p>
                <a:pPr>
                  <a:defRPr sz="1000" b="0" i="0" u="none" strike="noStrike" kern="1200" baseline="0">
                    <a:solidFill>
                      <a:schemeClr val="bg1"/>
                    </a:solidFill>
                    <a:latin typeface="PT Astra Serif" panose="020A0603040505020204" pitchFamily="18" charset="-52"/>
                    <a:ea typeface="PT Astra Serif" panose="020A0603040505020204" pitchFamily="18" charset="-52"/>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'ДШИ и СПО'!$B$3:$G$3</c:f>
              <c:strCache>
                <c:ptCount val="6"/>
                <c:pt idx="0">
                  <c:v>работники ОДШИ</c:v>
                </c:pt>
                <c:pt idx="1">
                  <c:v>работники МДШИ </c:v>
                </c:pt>
                <c:pt idx="2">
                  <c:v>педагоги ОДШИ</c:v>
                </c:pt>
                <c:pt idx="3">
                  <c:v>педагоги МДШИ </c:v>
                </c:pt>
                <c:pt idx="4">
                  <c:v>работники СПО</c:v>
                </c:pt>
                <c:pt idx="5">
                  <c:v>преподаватели СПО</c:v>
                </c:pt>
              </c:strCache>
            </c:strRef>
          </c:cat>
          <c:val>
            <c:numRef>
              <c:f>'ДШИ и СПО'!$B$5:$G$5</c:f>
              <c:numCache>
                <c:formatCode>#\ ##0.0</c:formatCode>
                <c:ptCount val="6"/>
                <c:pt idx="0">
                  <c:v>42363.8</c:v>
                </c:pt>
                <c:pt idx="1">
                  <c:v>39330</c:v>
                </c:pt>
                <c:pt idx="2">
                  <c:v>46421.9</c:v>
                </c:pt>
                <c:pt idx="3">
                  <c:v>42102.5</c:v>
                </c:pt>
                <c:pt idx="4">
                  <c:v>42255.3</c:v>
                </c:pt>
                <c:pt idx="5">
                  <c:v>48460.9</c:v>
                </c:pt>
              </c:numCache>
            </c:numRef>
          </c:val>
          <c:extLst>
            <c:ext xmlns:c16="http://schemas.microsoft.com/office/drawing/2014/chart" uri="{C3380CC4-5D6E-409C-BE32-E72D297353CC}">
              <c16:uniqueId val="{00000001-A97E-4F17-9291-9BFF5CE9F72A}"/>
            </c:ext>
          </c:extLst>
        </c:ser>
        <c:dLbls>
          <c:dLblPos val="outEnd"/>
          <c:showLegendKey val="0"/>
          <c:showVal val="1"/>
          <c:showCatName val="0"/>
          <c:showSerName val="0"/>
          <c:showPercent val="0"/>
          <c:showBubbleSize val="0"/>
        </c:dLbls>
        <c:gapWidth val="164"/>
        <c:overlap val="-22"/>
        <c:axId val="265699056"/>
        <c:axId val="327128944"/>
      </c:barChart>
      <c:catAx>
        <c:axId val="265699056"/>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327128944"/>
        <c:crosses val="autoZero"/>
        <c:auto val="1"/>
        <c:lblAlgn val="ctr"/>
        <c:lblOffset val="100"/>
        <c:noMultiLvlLbl val="0"/>
      </c:catAx>
      <c:valAx>
        <c:axId val="327128944"/>
        <c:scaling>
          <c:orientation val="minMax"/>
        </c:scaling>
        <c:delete val="0"/>
        <c:axPos val="l"/>
        <c:numFmt formatCode="#\ ##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265699056"/>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sz="9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legendEntry>
      <c:legendEntry>
        <c:idx val="1"/>
        <c:txPr>
          <a:bodyPr rot="0" spcFirstLastPara="1" vertOverflow="ellipsis" vert="horz" wrap="square" anchor="ctr" anchorCtr="1"/>
          <a:lstStyle/>
          <a:p>
            <a:pPr>
              <a:defRPr sz="9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PT Astra Serif" panose="020A0603040505020204" pitchFamily="18" charset="-52"/>
          <a:ea typeface="PT Astra Serif" panose="020A0603040505020204" pitchFamily="18" charset="-52"/>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346334647773518E-2"/>
          <c:y val="2.7497708524289642E-2"/>
          <c:w val="0.91233034673445079"/>
          <c:h val="0.50481715106418301"/>
        </c:manualLayout>
      </c:layout>
      <c:barChart>
        <c:barDir val="col"/>
        <c:grouping val="clustered"/>
        <c:varyColors val="0"/>
        <c:ser>
          <c:idx val="0"/>
          <c:order val="0"/>
          <c:tx>
            <c:strRef>
              <c:f>Лист1!$B$1</c:f>
              <c:strCache>
                <c:ptCount val="1"/>
                <c:pt idx="0">
                  <c:v>2023</c:v>
                </c:pt>
              </c:strCache>
            </c:strRef>
          </c:tx>
          <c:spPr>
            <a:solidFill>
              <a:schemeClr val="accent6">
                <a:tint val="77000"/>
              </a:schemeClr>
            </a:solidFill>
            <a:ln>
              <a:noFill/>
            </a:ln>
            <a:effectLst/>
          </c:spPr>
          <c:invertIfNegative val="0"/>
          <c:cat>
            <c:strRef>
              <c:f>Лист1!$A$2:$A$21</c:f>
              <c:strCache>
                <c:ptCount val="19"/>
                <c:pt idx="0">
                  <c:v>Общая оценка</c:v>
                </c:pt>
                <c:pt idx="1">
                  <c:v>МО "Базарносызганский район"</c:v>
                </c:pt>
                <c:pt idx="2">
                  <c:v>МО "Барышский район"</c:v>
                </c:pt>
                <c:pt idx="3">
                  <c:v>МО "Вешкаймский район"</c:v>
                </c:pt>
                <c:pt idx="4">
                  <c:v>МО "Кузоватовский район"</c:v>
                </c:pt>
                <c:pt idx="5">
                  <c:v>МО "Майнский район"</c:v>
                </c:pt>
                <c:pt idx="6">
                  <c:v>МО "Мелекесский район"</c:v>
                </c:pt>
                <c:pt idx="7">
                  <c:v>МО "Новомалыклинский район"</c:v>
                </c:pt>
                <c:pt idx="8">
                  <c:v>МО "Павловский район"</c:v>
                </c:pt>
                <c:pt idx="9">
                  <c:v>МО "Радищевский район"</c:v>
                </c:pt>
                <c:pt idx="10">
                  <c:v>МО "Сенгилеевский район"</c:v>
                </c:pt>
                <c:pt idx="11">
                  <c:v>МО "Старокулаткинский район"</c:v>
                </c:pt>
                <c:pt idx="12">
                  <c:v>МО "Старомайнский район"</c:v>
                </c:pt>
                <c:pt idx="13">
                  <c:v>МО "Ульяновский район"</c:v>
                </c:pt>
                <c:pt idx="14">
                  <c:v>МО "Цильнинский район"</c:v>
                </c:pt>
                <c:pt idx="15">
                  <c:v>МО "Чердаклинский район"</c:v>
                </c:pt>
                <c:pt idx="16">
                  <c:v>МО "г.Димитровград"</c:v>
                </c:pt>
                <c:pt idx="17">
                  <c:v>МО "г.Ульяновск"</c:v>
                </c:pt>
                <c:pt idx="18">
                  <c:v>МО "г.Новоульяновск"</c:v>
                </c:pt>
              </c:strCache>
            </c:strRef>
          </c:cat>
          <c:val>
            <c:numRef>
              <c:f>Лист1!$B$2:$B$21</c:f>
              <c:numCache>
                <c:formatCode>General</c:formatCode>
                <c:ptCount val="20"/>
                <c:pt idx="0" formatCode="0.00">
                  <c:v>86.747222222222206</c:v>
                </c:pt>
                <c:pt idx="1">
                  <c:v>91.05</c:v>
                </c:pt>
                <c:pt idx="2">
                  <c:v>82.12</c:v>
                </c:pt>
                <c:pt idx="3">
                  <c:v>79.53</c:v>
                </c:pt>
                <c:pt idx="4">
                  <c:v>78.67</c:v>
                </c:pt>
                <c:pt idx="5">
                  <c:v>86.8</c:v>
                </c:pt>
                <c:pt idx="6">
                  <c:v>91.3</c:v>
                </c:pt>
                <c:pt idx="7">
                  <c:v>92.58</c:v>
                </c:pt>
                <c:pt idx="8">
                  <c:v>78.540000000000006</c:v>
                </c:pt>
                <c:pt idx="9">
                  <c:v>91.03</c:v>
                </c:pt>
                <c:pt idx="10">
                  <c:v>95.42</c:v>
                </c:pt>
                <c:pt idx="11">
                  <c:v>80.72</c:v>
                </c:pt>
                <c:pt idx="12">
                  <c:v>84.8</c:v>
                </c:pt>
                <c:pt idx="13">
                  <c:v>78.36</c:v>
                </c:pt>
                <c:pt idx="14">
                  <c:v>92.52</c:v>
                </c:pt>
                <c:pt idx="15">
                  <c:v>87.77</c:v>
                </c:pt>
                <c:pt idx="16">
                  <c:v>92.35</c:v>
                </c:pt>
                <c:pt idx="17">
                  <c:v>91.25</c:v>
                </c:pt>
                <c:pt idx="18">
                  <c:v>86.64</c:v>
                </c:pt>
              </c:numCache>
            </c:numRef>
          </c:val>
          <c:extLst>
            <c:ext xmlns:c16="http://schemas.microsoft.com/office/drawing/2014/chart" uri="{C3380CC4-5D6E-409C-BE32-E72D297353CC}">
              <c16:uniqueId val="{00000000-84D5-4C67-ADA3-502A3B4AE5F0}"/>
            </c:ext>
          </c:extLst>
        </c:ser>
        <c:ser>
          <c:idx val="1"/>
          <c:order val="1"/>
          <c:tx>
            <c:strRef>
              <c:f>Лист1!$C$1</c:f>
              <c:strCache>
                <c:ptCount val="1"/>
                <c:pt idx="0">
                  <c:v>2025</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Лист1!$A$2:$A$21</c:f>
              <c:strCache>
                <c:ptCount val="19"/>
                <c:pt idx="0">
                  <c:v>Общая оценка</c:v>
                </c:pt>
                <c:pt idx="1">
                  <c:v>МО "Базарносызганский район"</c:v>
                </c:pt>
                <c:pt idx="2">
                  <c:v>МО "Барышский район"</c:v>
                </c:pt>
                <c:pt idx="3">
                  <c:v>МО "Вешкаймский район"</c:v>
                </c:pt>
                <c:pt idx="4">
                  <c:v>МО "Кузоватовский район"</c:v>
                </c:pt>
                <c:pt idx="5">
                  <c:v>МО "Майнский район"</c:v>
                </c:pt>
                <c:pt idx="6">
                  <c:v>МО "Мелекесский район"</c:v>
                </c:pt>
                <c:pt idx="7">
                  <c:v>МО "Новомалыклинский район"</c:v>
                </c:pt>
                <c:pt idx="8">
                  <c:v>МО "Павловский район"</c:v>
                </c:pt>
                <c:pt idx="9">
                  <c:v>МО "Радищевский район"</c:v>
                </c:pt>
                <c:pt idx="10">
                  <c:v>МО "Сенгилеевский район"</c:v>
                </c:pt>
                <c:pt idx="11">
                  <c:v>МО "Старокулаткинский район"</c:v>
                </c:pt>
                <c:pt idx="12">
                  <c:v>МО "Старомайнский район"</c:v>
                </c:pt>
                <c:pt idx="13">
                  <c:v>МО "Ульяновский район"</c:v>
                </c:pt>
                <c:pt idx="14">
                  <c:v>МО "Цильнинский район"</c:v>
                </c:pt>
                <c:pt idx="15">
                  <c:v>МО "Чердаклинский район"</c:v>
                </c:pt>
                <c:pt idx="16">
                  <c:v>МО "г.Димитровград"</c:v>
                </c:pt>
                <c:pt idx="17">
                  <c:v>МО "г.Ульяновск"</c:v>
                </c:pt>
                <c:pt idx="18">
                  <c:v>МО "г.Новоульяновск"</c:v>
                </c:pt>
              </c:strCache>
            </c:strRef>
          </c:cat>
          <c:val>
            <c:numRef>
              <c:f>Лист1!$C$2:$C$21</c:f>
              <c:numCache>
                <c:formatCode>General</c:formatCode>
                <c:ptCount val="20"/>
                <c:pt idx="0" formatCode="0.00">
                  <c:v>87.792777777777786</c:v>
                </c:pt>
                <c:pt idx="1">
                  <c:v>89.95</c:v>
                </c:pt>
                <c:pt idx="2">
                  <c:v>94.18</c:v>
                </c:pt>
                <c:pt idx="3">
                  <c:v>74.959999999999994</c:v>
                </c:pt>
                <c:pt idx="4">
                  <c:v>82.3</c:v>
                </c:pt>
                <c:pt idx="5">
                  <c:v>95.18</c:v>
                </c:pt>
                <c:pt idx="6">
                  <c:v>91.88</c:v>
                </c:pt>
                <c:pt idx="7">
                  <c:v>94.18</c:v>
                </c:pt>
                <c:pt idx="8">
                  <c:v>83.49</c:v>
                </c:pt>
                <c:pt idx="9">
                  <c:v>88.55</c:v>
                </c:pt>
                <c:pt idx="10">
                  <c:v>89.97</c:v>
                </c:pt>
                <c:pt idx="11">
                  <c:v>79.489999999999995</c:v>
                </c:pt>
                <c:pt idx="12">
                  <c:v>86.57</c:v>
                </c:pt>
                <c:pt idx="13">
                  <c:v>78.8</c:v>
                </c:pt>
                <c:pt idx="14">
                  <c:v>88.9</c:v>
                </c:pt>
                <c:pt idx="15">
                  <c:v>85.49</c:v>
                </c:pt>
                <c:pt idx="16">
                  <c:v>89.93</c:v>
                </c:pt>
                <c:pt idx="17">
                  <c:v>92.5</c:v>
                </c:pt>
                <c:pt idx="18">
                  <c:v>93.95</c:v>
                </c:pt>
              </c:numCache>
            </c:numRef>
          </c:val>
          <c:extLst>
            <c:ext xmlns:c16="http://schemas.microsoft.com/office/drawing/2014/chart" uri="{C3380CC4-5D6E-409C-BE32-E72D297353CC}">
              <c16:uniqueId val="{00000001-84D5-4C67-ADA3-502A3B4AE5F0}"/>
            </c:ext>
          </c:extLst>
        </c:ser>
        <c:dLbls>
          <c:showLegendKey val="0"/>
          <c:showVal val="0"/>
          <c:showCatName val="0"/>
          <c:showSerName val="0"/>
          <c:showPercent val="0"/>
          <c:showBubbleSize val="0"/>
        </c:dLbls>
        <c:gapWidth val="219"/>
        <c:overlap val="-27"/>
        <c:axId val="327128552"/>
        <c:axId val="327130120"/>
      </c:barChart>
      <c:catAx>
        <c:axId val="327128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327130120"/>
        <c:crosses val="autoZero"/>
        <c:auto val="1"/>
        <c:lblAlgn val="ctr"/>
        <c:lblOffset val="100"/>
        <c:noMultiLvlLbl val="0"/>
      </c:catAx>
      <c:valAx>
        <c:axId val="327130120"/>
        <c:scaling>
          <c:orientation val="minMax"/>
          <c:max val="100"/>
          <c:min val="5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crossAx val="327128552"/>
        <c:crosses val="autoZero"/>
        <c:crossBetween val="between"/>
      </c:valAx>
      <c:spPr>
        <a:noFill/>
        <a:ln>
          <a:noFill/>
        </a:ln>
        <a:effectLst/>
      </c:spPr>
    </c:plotArea>
    <c:legend>
      <c:legendPos val="b"/>
      <c:layout>
        <c:manualLayout>
          <c:xMode val="edge"/>
          <c:yMode val="edge"/>
          <c:x val="0.41455864707522128"/>
          <c:y val="0.86524198493879856"/>
          <c:w val="0.15377782716223976"/>
          <c:h val="7.494664558580277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PT Astra Serif" panose="020A0603040505020204" pitchFamily="18" charset="-52"/>
              <a:ea typeface="PT Astra Serif" panose="020A0603040505020204" pitchFamily="18" charset="-52"/>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a:solidFill>
            <a:sysClr val="windowText" lastClr="000000"/>
          </a:solidFill>
          <a:latin typeface="PT Astra Serif" panose="020A0603040505020204" pitchFamily="18" charset="-52"/>
          <a:ea typeface="PT Astra Serif" panose="020A0603040505020204" pitchFamily="18" charset="-52"/>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6">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withinLinear" id="19">
  <a:schemeClr val="accent6"/>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06">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108">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8">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6">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5771515" cy="3209925"/>
        </a:xfrm>
        <a:prstGeom xmlns:a="http://schemas.openxmlformats.org/drawingml/2006/main" prst="rect">
          <a:avLst/>
        </a:prstGeom>
      </cdr:spPr>
    </cdr:pic>
  </cdr:relSizeAnchor>
</c:userShapes>
</file>

<file path=word/theme/_rels/theme1.xml.rels><?xml version="1.0" encoding="UTF-8" standalone="yes"?>
<Relationships xmlns="http://schemas.openxmlformats.org/package/2006/relationships"><Relationship Id="rId1" Type="http://schemas.openxmlformats.org/officeDocument/2006/relationships/image" Target="../media/image20.jpeg"/></Relationships>
</file>

<file path=word/theme/_rels/themeOverride16.xml.rels><?xml version="1.0" encoding="UTF-8" standalone="yes"?>
<Relationships xmlns="http://schemas.openxmlformats.org/package/2006/relationships"><Relationship Id="rId1" Type="http://schemas.openxmlformats.org/officeDocument/2006/relationships/image" Target="../media/image4.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4.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4.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4.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4.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Ион">
  <a:themeElements>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7.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8.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9.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FC793A-943B-479C-9CCE-760B985A4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89071</Words>
  <Characters>507705</Characters>
  <Application>Microsoft Office Word</Application>
  <DocSecurity>0</DocSecurity>
  <Lines>4230</Lines>
  <Paragraphs>1191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595585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markelova_sv@ulgov.ru</dc:creator>
  <cp:lastModifiedBy>Маркелова Светлана Владимировна</cp:lastModifiedBy>
  <cp:revision>35</cp:revision>
  <cp:lastPrinted>2026-04-02T11:24:00Z</cp:lastPrinted>
  <dcterms:created xsi:type="dcterms:W3CDTF">2026-04-01T08:22:00Z</dcterms:created>
  <dcterms:modified xsi:type="dcterms:W3CDTF">2026-04-02T11:26:00Z</dcterms:modified>
</cp:coreProperties>
</file>