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widowControl w:val="0"/>
        <w:spacing w:line="240" w:lineRule="exact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ПОЯСНИТЕЛЬНАЯ ЗАПИСКА</w:t>
      </w:r>
    </w:p>
    <w:p w14:paraId="09000000">
      <w:pPr>
        <w:widowControl w:val="0"/>
        <w:spacing w:line="240" w:lineRule="exact"/>
        <w:ind/>
        <w:jc w:val="center"/>
        <w:rPr>
          <w:rFonts w:ascii="Times New Roman" w:hAnsi="Times New Roman"/>
          <w:b w:val="1"/>
        </w:rPr>
      </w:pPr>
    </w:p>
    <w:p w14:paraId="0A000000">
      <w:pPr>
        <w:widowControl w:val="0"/>
        <w:spacing w:line="240" w:lineRule="exact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к проекту з</w:t>
      </w:r>
      <w:r>
        <w:rPr>
          <w:rFonts w:ascii="Times New Roman" w:hAnsi="Times New Roman"/>
          <w:b w:val="1"/>
        </w:rPr>
        <w:t xml:space="preserve">акона Ульяновской области </w:t>
      </w:r>
      <w:r>
        <w:rPr>
          <w:rFonts w:ascii="Times New Roman" w:hAnsi="Times New Roman"/>
          <w:b w:val="1"/>
        </w:rPr>
        <w:br/>
      </w:r>
      <w:r>
        <w:rPr>
          <w:rFonts w:ascii="Times New Roman" w:hAnsi="Times New Roman"/>
          <w:b w:val="1"/>
        </w:rPr>
        <w:t>«</w:t>
      </w:r>
      <w:bookmarkStart w:id="1" w:name="_Hlk201255772"/>
      <w:r>
        <w:rPr>
          <w:rFonts w:ascii="Times New Roman" w:hAnsi="Times New Roman"/>
          <w:b w:val="1"/>
        </w:rPr>
        <w:t xml:space="preserve">О </w:t>
      </w:r>
      <w:r>
        <w:rPr>
          <w:rFonts w:ascii="Times New Roman" w:hAnsi="Times New Roman"/>
          <w:b w:val="1"/>
          <w:sz w:val="28"/>
        </w:rPr>
        <w:t xml:space="preserve">дополнительных гарантиях </w:t>
      </w:r>
      <w:r>
        <w:rPr>
          <w:rFonts w:ascii="Times New Roman" w:hAnsi="Times New Roman"/>
          <w:b w:val="1"/>
          <w:sz w:val="28"/>
        </w:rPr>
        <w:t>права граждан</w:t>
      </w:r>
    </w:p>
    <w:p w14:paraId="0B000000">
      <w:pPr>
        <w:widowControl w:val="0"/>
        <w:spacing w:line="240" w:lineRule="exact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  <w:sz w:val="28"/>
        </w:rPr>
        <w:t>на обращение в</w:t>
      </w: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  <w:b w:val="1"/>
        </w:rPr>
        <w:t>Ульяновской области</w:t>
      </w:r>
      <w:bookmarkEnd w:id="1"/>
      <w:r>
        <w:rPr>
          <w:rFonts w:ascii="Times New Roman" w:hAnsi="Times New Roman"/>
          <w:b w:val="1"/>
        </w:rPr>
        <w:t>»</w:t>
      </w:r>
    </w:p>
    <w:p w14:paraId="0C000000">
      <w:pPr>
        <w:widowControl w:val="0"/>
        <w:ind/>
        <w:jc w:val="center"/>
        <w:rPr>
          <w:rFonts w:ascii="Times New Roman" w:hAnsi="Times New Roman"/>
          <w:b w:val="1"/>
        </w:rPr>
      </w:pPr>
    </w:p>
    <w:p w14:paraId="0D000000">
      <w:pPr>
        <w:widowControl w:val="0"/>
        <w:tabs>
          <w:tab w:leader="none" w:pos="709" w:val="left"/>
          <w:tab w:leader="none" w:pos="851" w:val="left"/>
        </w:tabs>
        <w:spacing w:line="240" w:lineRule="auto"/>
        <w:ind w:firstLine="709" w:lef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>роект з</w:t>
      </w:r>
      <w:r>
        <w:rPr>
          <w:rFonts w:ascii="Times New Roman" w:hAnsi="Times New Roman"/>
        </w:rPr>
        <w:t>акона Ульяновской области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«</w:t>
      </w:r>
      <w:r>
        <w:rPr>
          <w:rFonts w:ascii="Times New Roman" w:hAnsi="Times New Roman"/>
          <w:b w:val="0"/>
        </w:rPr>
        <w:t xml:space="preserve">О </w:t>
      </w:r>
      <w:r>
        <w:rPr>
          <w:rFonts w:ascii="Times New Roman" w:hAnsi="Times New Roman"/>
          <w:b w:val="0"/>
          <w:sz w:val="28"/>
        </w:rPr>
        <w:t xml:space="preserve">дополнительных гарантиях </w:t>
      </w:r>
      <w:r>
        <w:rPr>
          <w:rFonts w:ascii="Times New Roman" w:hAnsi="Times New Roman"/>
          <w:b w:val="0"/>
          <w:sz w:val="28"/>
        </w:rPr>
        <w:t xml:space="preserve">права граждан </w:t>
      </w:r>
      <w:r>
        <w:rPr>
          <w:rFonts w:ascii="Times New Roman" w:hAnsi="Times New Roman"/>
          <w:b w:val="0"/>
          <w:sz w:val="28"/>
        </w:rPr>
        <w:t>на обращение в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Ульяновской области</w:t>
      </w:r>
      <w:r>
        <w:rPr>
          <w:rFonts w:ascii="Times New Roman" w:hAnsi="Times New Roman"/>
          <w:b w:val="0"/>
        </w:rPr>
        <w:t>»</w:t>
      </w:r>
      <w:r>
        <w:rPr>
          <w:rFonts w:ascii="Times New Roman" w:hAnsi="Times New Roman"/>
        </w:rPr>
        <w:t xml:space="preserve">                                         </w:t>
      </w:r>
      <w:r>
        <w:rPr>
          <w:rFonts w:ascii="Times New Roman" w:hAnsi="Times New Roman"/>
        </w:rPr>
        <w:t xml:space="preserve">(далее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зако</w:t>
      </w:r>
      <w:r>
        <w:rPr>
          <w:rFonts w:ascii="Times New Roman" w:hAnsi="Times New Roman"/>
          <w:b w:val="0"/>
        </w:rPr>
        <w:t>нопроект</w:t>
      </w:r>
      <w:r>
        <w:rPr>
          <w:rFonts w:ascii="Times New Roman" w:hAnsi="Times New Roman"/>
          <w:b w:val="0"/>
        </w:rPr>
        <w:t>, проект закона</w:t>
      </w:r>
      <w:r>
        <w:rPr>
          <w:rFonts w:ascii="Times New Roman" w:hAnsi="Times New Roman"/>
          <w:b w:val="0"/>
        </w:rPr>
        <w:t>)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разработан в целях</w:t>
      </w:r>
      <w:r>
        <w:rPr>
          <w:rFonts w:ascii="Times New Roman" w:hAnsi="Times New Roman"/>
          <w:b w:val="0"/>
        </w:rPr>
        <w:t xml:space="preserve"> установления</w:t>
      </w:r>
      <w:r>
        <w:rPr>
          <w:rFonts w:ascii="Times New Roman" w:hAnsi="Times New Roman"/>
          <w:b w:val="0"/>
          <w:sz w:val="28"/>
        </w:rPr>
        <w:t xml:space="preserve"> дополнительных гарантий реализации </w:t>
      </w:r>
      <w:r>
        <w:rPr>
          <w:rFonts w:ascii="Times New Roman" w:hAnsi="Times New Roman"/>
          <w:b w:val="0"/>
          <w:sz w:val="28"/>
        </w:rPr>
        <w:t xml:space="preserve">права граждан </w:t>
      </w:r>
      <w:r>
        <w:rPr>
          <w:rFonts w:ascii="Times New Roman" w:hAnsi="Times New Roman"/>
          <w:b w:val="0"/>
          <w:sz w:val="28"/>
        </w:rPr>
        <w:t>на обращение в органы государственной власти</w:t>
      </w:r>
      <w:r>
        <w:rPr>
          <w:rFonts w:ascii="Times New Roman" w:hAnsi="Times New Roman"/>
          <w:color w:val="000000"/>
          <w:sz w:val="28"/>
        </w:rPr>
        <w:t xml:space="preserve">, местного самоуправления </w:t>
      </w:r>
      <w:r>
        <w:rPr>
          <w:rFonts w:ascii="Times New Roman" w:hAnsi="Times New Roman"/>
          <w:b w:val="0"/>
        </w:rPr>
        <w:t>области и организации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 w:val="0"/>
          <w:color w:val="000000"/>
          <w:sz w:val="28"/>
        </w:rPr>
        <w:t xml:space="preserve"> осуществляющие публично значимые функции</w:t>
      </w:r>
      <w:r>
        <w:rPr>
          <w:rFonts w:ascii="Times New Roman" w:hAnsi="Times New Roman"/>
          <w:b w:val="0"/>
        </w:rPr>
        <w:t>.</w:t>
      </w:r>
    </w:p>
    <w:p w14:paraId="0E000000">
      <w:pPr>
        <w:widowControl w:val="0"/>
        <w:tabs>
          <w:tab w:leader="none" w:pos="709" w:val="left"/>
          <w:tab w:leader="none" w:pos="851" w:val="left"/>
        </w:tabs>
        <w:spacing w:line="240" w:lineRule="auto"/>
        <w:ind w:firstLine="709" w:lef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</w:t>
      </w:r>
      <w:r>
        <w:rPr>
          <w:rFonts w:ascii="Times New Roman" w:hAnsi="Times New Roman"/>
          <w:b w:val="0"/>
        </w:rPr>
        <w:t xml:space="preserve">равоотношения, связанные с реализацией гражданином закрепленного за ним Конституцией </w:t>
      </w:r>
      <w:r>
        <w:rPr>
          <w:rFonts w:ascii="Times New Roman" w:hAnsi="Times New Roman"/>
          <w:b w:val="0"/>
        </w:rPr>
        <w:t>Российской Федерации права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 w:val="0"/>
        </w:rPr>
        <w:t xml:space="preserve">на обращение в государственные органы и органы местного самоуправления, регламентированы </w:t>
      </w:r>
      <w:r>
        <w:rPr>
          <w:rFonts w:ascii="Times New Roman" w:hAnsi="Times New Roman"/>
        </w:rPr>
        <w:t>Федеральным законом от 02.05.2006 № 59-ФЗ «О порядке рассмотрения обращений граждан Российской Федерации»</w:t>
      </w:r>
      <w:r>
        <w:rPr>
          <w:rFonts w:ascii="Times New Roman" w:hAnsi="Times New Roman"/>
          <w:b w:val="0"/>
        </w:rPr>
        <w:t xml:space="preserve">, которым также установлен </w:t>
      </w:r>
      <w:r>
        <w:rPr>
          <w:rFonts w:ascii="Times New Roman" w:hAnsi="Times New Roman"/>
          <w:b w:val="0"/>
        </w:rPr>
        <w:t>порядок рассмотрения обращений граждан государственными органами, органами местного самоуправления и должностными лицами.</w:t>
      </w:r>
    </w:p>
    <w:p w14:paraId="0F000000">
      <w:pPr>
        <w:widowControl w:val="0"/>
        <w:tabs>
          <w:tab w:leader="none" w:pos="709" w:val="left"/>
          <w:tab w:leader="none" w:pos="851" w:val="left"/>
        </w:tabs>
        <w:spacing w:line="240" w:lineRule="auto"/>
        <w:ind w:firstLine="709" w:lef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 xml:space="preserve">В соответствии с частью 2 статьи 3 Федерального закона </w:t>
      </w:r>
      <w:r>
        <w:rPr>
          <w:rFonts w:ascii="Times New Roman" w:hAnsi="Times New Roman"/>
        </w:rPr>
        <w:t xml:space="preserve">от 02.05.2006 № 59-ФЗ «О порядке рассмотрения обращений граждан Российской Федерации» </w:t>
      </w:r>
      <w:r>
        <w:rPr>
          <w:rFonts w:ascii="Times New Roman" w:hAnsi="Times New Roman"/>
        </w:rPr>
        <w:t>з</w:t>
      </w:r>
      <w:r>
        <w:rPr>
          <w:rFonts w:ascii="Times New Roman" w:hAnsi="Times New Roman"/>
        </w:rPr>
        <w:t>аконы и иные нормативные правовые акты субъектов Российской Федерации могут устанавливать положения, направленные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на защиту права граждан на обращение, в том числе устанавливать гарантии права граждан на обращение, дополняющие гарантии, установленные данным Федеральным законом.</w:t>
      </w:r>
    </w:p>
    <w:p w14:paraId="10000000">
      <w:pPr>
        <w:widowControl w:val="0"/>
        <w:tabs>
          <w:tab w:leader="none" w:pos="709" w:val="left"/>
          <w:tab w:leader="none" w:pos="851" w:val="left"/>
        </w:tabs>
        <w:spacing w:line="240" w:lineRule="auto"/>
        <w:ind w:firstLine="709" w:lef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Проектом закона предусматривается создание </w:t>
      </w:r>
      <w:r>
        <w:rPr>
          <w:rFonts w:ascii="Times New Roman" w:hAnsi="Times New Roman"/>
          <w:b w:val="0"/>
          <w:sz w:val="28"/>
        </w:rPr>
        <w:t xml:space="preserve">дополнительных гарантий </w:t>
      </w:r>
      <w:r>
        <w:rPr>
          <w:rFonts w:ascii="Times New Roman" w:hAnsi="Times New Roman"/>
          <w:b w:val="0"/>
          <w:sz w:val="28"/>
        </w:rPr>
        <w:t xml:space="preserve">права обращаться на личный прием для лиц, </w:t>
      </w:r>
      <w:r>
        <w:rPr>
          <w:rFonts w:ascii="Times New Roman" w:hAnsi="Times New Roman"/>
        </w:rPr>
        <w:t>находящихся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под особой государственной защитой либо не имеющих возможности длительное время ожидать наступления своей очередности в силу возраста, состояния здоровья и иных обстоятельств.</w:t>
      </w:r>
    </w:p>
    <w:p w14:paraId="11000000">
      <w:pPr>
        <w:widowControl w:val="0"/>
        <w:tabs>
          <w:tab w:leader="none" w:pos="709" w:val="left"/>
          <w:tab w:leader="none" w:pos="851" w:val="left"/>
        </w:tabs>
        <w:spacing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Согласно законопроекту </w:t>
      </w: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перечень категорий граждан, имеющих право на </w:t>
      </w:r>
      <w:r>
        <w:rPr>
          <w:rFonts w:ascii="Times New Roman" w:hAnsi="Times New Roman"/>
        </w:rPr>
        <w:t>перво</w:t>
      </w:r>
      <w:r>
        <w:rPr>
          <w:rFonts w:ascii="Times New Roman" w:hAnsi="Times New Roman"/>
        </w:rPr>
        <w:t xml:space="preserve">очередной личный прием, </w:t>
      </w:r>
      <w:r>
        <w:rPr>
          <w:rFonts w:ascii="Times New Roman" w:hAnsi="Times New Roman"/>
        </w:rPr>
        <w:t>включены:</w:t>
      </w:r>
    </w:p>
    <w:p w14:paraId="12000000">
      <w:pPr>
        <w:widowControl w:val="0"/>
        <w:tabs>
          <w:tab w:leader="none" w:pos="709" w:val="left"/>
          <w:tab w:leader="none" w:pos="851" w:val="left"/>
        </w:tabs>
        <w:spacing w:line="240" w:lineRule="auto"/>
        <w:ind w:firstLine="709" w:lef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</w:rPr>
        <w:t>ветераны и инвалиды Великой Отечественной войны, ветераны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и инвалиды боевых действий, </w:t>
      </w:r>
      <w:r>
        <w:rPr>
          <w:rFonts w:ascii="Times New Roman" w:hAnsi="Times New Roman"/>
        </w:rPr>
        <w:t>а также члены их се</w:t>
      </w:r>
      <w:r>
        <w:rPr>
          <w:rFonts w:ascii="Times New Roman" w:hAnsi="Times New Roman"/>
          <w:b w:val="0"/>
        </w:rPr>
        <w:t>мей</w:t>
      </w:r>
      <w:r>
        <w:rPr>
          <w:rFonts w:ascii="Times New Roman" w:hAnsi="Times New Roman"/>
          <w:b w:val="0"/>
        </w:rPr>
        <w:t xml:space="preserve">, обращающиеся </w:t>
      </w:r>
      <w:r>
        <w:rPr>
          <w:rFonts w:ascii="Times New Roman" w:hAnsi="Times New Roman"/>
          <w:b w:val="0"/>
        </w:rPr>
        <w:t xml:space="preserve">                         </w:t>
      </w:r>
      <w:r>
        <w:rPr>
          <w:rFonts w:ascii="Times New Roman" w:hAnsi="Times New Roman"/>
          <w:b w:val="0"/>
        </w:rPr>
        <w:t xml:space="preserve">на личный прием </w:t>
      </w:r>
      <w:r>
        <w:rPr>
          <w:rFonts w:ascii="Times New Roman" w:hAnsi="Times New Roman"/>
          <w:b w:val="0"/>
        </w:rPr>
        <w:t xml:space="preserve">в интересах </w:t>
      </w:r>
      <w:r>
        <w:rPr>
          <w:rFonts w:ascii="Times New Roman" w:hAnsi="Times New Roman"/>
          <w:b w:val="0"/>
        </w:rPr>
        <w:t>указанных ветеранов и инвалидов;</w:t>
      </w:r>
    </w:p>
    <w:p w14:paraId="13000000">
      <w:pPr>
        <w:widowControl w:val="0"/>
        <w:tabs>
          <w:tab w:leader="none" w:pos="709" w:val="left"/>
          <w:tab w:leader="none" w:pos="851" w:val="left"/>
        </w:tabs>
        <w:spacing w:line="240" w:lineRule="auto"/>
        <w:ind w:firstLine="709" w:lef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</w:rPr>
        <w:t xml:space="preserve">инвалиды I группы </w:t>
      </w:r>
      <w:r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дети-инвалиды</w:t>
      </w:r>
      <w:r>
        <w:rPr>
          <w:rFonts w:ascii="Times New Roman" w:hAnsi="Times New Roman"/>
        </w:rPr>
        <w:t>, а также их законные представите</w:t>
      </w:r>
      <w:r>
        <w:rPr>
          <w:rFonts w:ascii="Times New Roman" w:hAnsi="Times New Roman"/>
          <w:b w:val="0"/>
        </w:rPr>
        <w:t xml:space="preserve">ли, </w:t>
      </w:r>
      <w:r>
        <w:rPr>
          <w:rFonts w:ascii="Times New Roman" w:hAnsi="Times New Roman"/>
          <w:b w:val="0"/>
        </w:rPr>
        <w:t xml:space="preserve">обращающиеся </w:t>
      </w:r>
      <w:r>
        <w:rPr>
          <w:rFonts w:ascii="Times New Roman" w:hAnsi="Times New Roman"/>
          <w:b w:val="0"/>
        </w:rPr>
        <w:t xml:space="preserve">на личный приём </w:t>
      </w:r>
      <w:r>
        <w:rPr>
          <w:rFonts w:ascii="Times New Roman" w:hAnsi="Times New Roman"/>
          <w:b w:val="0"/>
        </w:rPr>
        <w:t>в интересах указанных инвалидов;</w:t>
      </w:r>
    </w:p>
    <w:p w14:paraId="14000000">
      <w:pPr>
        <w:widowControl w:val="0"/>
        <w:tabs>
          <w:tab w:leader="none" w:pos="709" w:val="left"/>
          <w:tab w:leader="none" w:pos="851" w:val="left"/>
        </w:tabs>
        <w:spacing w:line="240" w:lineRule="auto"/>
        <w:ind w:firstLine="709" w:lef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3) </w:t>
      </w:r>
      <w:r>
        <w:rPr>
          <w:rFonts w:ascii="Times New Roman" w:hAnsi="Times New Roman"/>
          <w:b w:val="0"/>
        </w:rPr>
        <w:t>лица, принимающие (принимавшие) участие в специальной военной операции</w:t>
      </w:r>
      <w:r>
        <w:rPr>
          <w:rFonts w:ascii="Times New Roman" w:hAnsi="Times New Roman"/>
          <w:b w:val="0"/>
        </w:rPr>
        <w:t>, и члены семей этих лиц</w:t>
      </w:r>
      <w:r>
        <w:rPr>
          <w:rFonts w:ascii="Times New Roman" w:hAnsi="Times New Roman"/>
          <w:b w:val="0"/>
        </w:rPr>
        <w:t>, в том числе погибших (умерших)</w:t>
      </w:r>
      <w:r>
        <w:rPr>
          <w:rFonts w:ascii="Times New Roman" w:hAnsi="Times New Roman"/>
          <w:b w:val="0"/>
          <w:sz w:val="28"/>
        </w:rPr>
        <w:t>.</w:t>
      </w:r>
    </w:p>
    <w:p w14:paraId="15000000">
      <w:pPr>
        <w:widowControl w:val="0"/>
        <w:tabs>
          <w:tab w:leader="none" w:pos="709" w:val="left"/>
          <w:tab w:leader="none" w:pos="851" w:val="left"/>
        </w:tabs>
        <w:spacing w:line="240" w:lineRule="auto"/>
        <w:ind w:firstLine="709" w:lef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В целях исключения дополнительной финансовой нагрузки на граждан, связанной с изготовлением копий документов, </w:t>
      </w:r>
      <w:r>
        <w:rPr>
          <w:rFonts w:ascii="Times New Roman" w:hAnsi="Times New Roman"/>
          <w:b w:val="0"/>
        </w:rPr>
        <w:t>проектом закона</w:t>
      </w:r>
      <w:r>
        <w:rPr>
          <w:rFonts w:ascii="Times New Roman" w:hAnsi="Times New Roman"/>
          <w:sz w:val="28"/>
        </w:rPr>
        <w:t xml:space="preserve"> предусмотрена</w:t>
      </w:r>
      <w:r>
        <w:rPr>
          <w:rFonts w:ascii="Times New Roman" w:hAnsi="Times New Roman"/>
        </w:rPr>
        <w:t xml:space="preserve"> обязанность возврата заявителю п</w:t>
      </w:r>
      <w:r>
        <w:rPr>
          <w:rFonts w:ascii="Times New Roman" w:hAnsi="Times New Roman"/>
        </w:rPr>
        <w:t>риложенных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к письменному обращению материалов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одновременно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направлени</w:t>
      </w:r>
      <w:r>
        <w:rPr>
          <w:rFonts w:ascii="Times New Roman" w:hAnsi="Times New Roman"/>
        </w:rPr>
        <w:t>ем</w:t>
      </w:r>
      <w:r>
        <w:rPr>
          <w:rFonts w:ascii="Times New Roman" w:hAnsi="Times New Roman"/>
        </w:rPr>
        <w:t xml:space="preserve"> ответа </w:t>
      </w:r>
      <w:r>
        <w:rPr>
          <w:rFonts w:ascii="Times New Roman" w:hAnsi="Times New Roman"/>
        </w:rPr>
        <w:t>на него</w:t>
      </w:r>
      <w:r>
        <w:rPr>
          <w:rFonts w:ascii="Times New Roman" w:hAnsi="Times New Roman"/>
        </w:rPr>
        <w:t xml:space="preserve"> при условии, что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обращении содержится соответствующая </w:t>
      </w:r>
      <w:r>
        <w:rPr>
          <w:rFonts w:ascii="Times New Roman" w:hAnsi="Times New Roman"/>
        </w:rPr>
        <w:t>просьба</w:t>
      </w:r>
      <w:r>
        <w:rPr>
          <w:rFonts w:ascii="Times New Roman" w:hAnsi="Times New Roman"/>
        </w:rPr>
        <w:t>.</w:t>
      </w:r>
    </w:p>
    <w:p w14:paraId="16000000">
      <w:pPr>
        <w:widowControl w:val="0"/>
        <w:tabs>
          <w:tab w:leader="none" w:pos="709" w:val="left"/>
          <w:tab w:leader="none" w:pos="851" w:val="left"/>
        </w:tabs>
        <w:spacing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Анализ практики проведения личных приемов граждан показал </w:t>
      </w:r>
      <w:r>
        <w:rPr>
          <w:b w:val="0"/>
        </w:rPr>
        <w:t xml:space="preserve">востребованность со стороны заявителей </w:t>
      </w:r>
      <w:r>
        <w:t>удостоверения факта принятия должностным лицом письменного обращения.</w:t>
      </w:r>
    </w:p>
    <w:p w14:paraId="17000000">
      <w:pPr>
        <w:widowControl w:val="0"/>
        <w:tabs>
          <w:tab w:leader="none" w:pos="709" w:val="left"/>
          <w:tab w:leader="none" w:pos="851" w:val="left"/>
        </w:tabs>
        <w:spacing w:line="240" w:lineRule="auto"/>
        <w:ind w:firstLine="709" w:left="0"/>
        <w:jc w:val="both"/>
      </w:pPr>
      <w:r>
        <w:t xml:space="preserve">В этой связи законопроектом </w:t>
      </w:r>
      <w:r>
        <w:rPr>
          <w:rFonts w:ascii="Times New Roman" w:hAnsi="Times New Roman"/>
        </w:rPr>
        <w:t>предусмотрено, что</w:t>
      </w:r>
      <w:r>
        <w:rPr>
          <w:rFonts w:ascii="Times New Roman" w:hAnsi="Times New Roman"/>
          <w:b w:val="0"/>
        </w:rPr>
        <w:t xml:space="preserve"> п</w:t>
      </w:r>
      <w:r>
        <w:rPr>
          <w:rFonts w:ascii="Times New Roman" w:hAnsi="Times New Roman"/>
        </w:rPr>
        <w:t xml:space="preserve">о просьбе гражданина </w:t>
      </w:r>
      <w:r>
        <w:rPr>
          <w:rFonts w:ascii="Times New Roman" w:hAnsi="Times New Roman"/>
        </w:rPr>
        <w:t>должностное лицо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принявшее </w:t>
      </w:r>
      <w:r>
        <w:rPr>
          <w:rFonts w:ascii="Times New Roman" w:hAnsi="Times New Roman"/>
        </w:rPr>
        <w:t>письменное обращение в ходе</w:t>
      </w:r>
      <w:r>
        <w:rPr>
          <w:rFonts w:ascii="Times New Roman" w:hAnsi="Times New Roman"/>
        </w:rPr>
        <w:t xml:space="preserve"> лично</w:t>
      </w:r>
      <w:r>
        <w:rPr>
          <w:rFonts w:ascii="Times New Roman" w:hAnsi="Times New Roman"/>
        </w:rPr>
        <w:t>го</w:t>
      </w:r>
      <w:r>
        <w:rPr>
          <w:rFonts w:ascii="Times New Roman" w:hAnsi="Times New Roman"/>
        </w:rPr>
        <w:t xml:space="preserve"> при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м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, обязано </w:t>
      </w:r>
      <w:r>
        <w:rPr>
          <w:rFonts w:ascii="Times New Roman" w:hAnsi="Times New Roman"/>
        </w:rPr>
        <w:t xml:space="preserve">на втором представленном заявителем экземпляре </w:t>
      </w:r>
      <w:r>
        <w:rPr>
          <w:rFonts w:ascii="Times New Roman" w:hAnsi="Times New Roman"/>
        </w:rPr>
        <w:t>данного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обращения </w:t>
      </w:r>
      <w:r>
        <w:rPr>
          <w:rFonts w:ascii="Times New Roman" w:hAnsi="Times New Roman"/>
        </w:rPr>
        <w:t>удостоверить своей подписью факт его принятия,</w:t>
      </w:r>
      <w:r>
        <w:rPr>
          <w:rFonts w:ascii="Times New Roman" w:hAnsi="Times New Roman"/>
        </w:rPr>
        <w:t xml:space="preserve"> а также собственноручно или </w:t>
      </w:r>
      <w:r>
        <w:rPr>
          <w:rFonts w:ascii="Times New Roman" w:hAnsi="Times New Roman"/>
        </w:rPr>
        <w:t xml:space="preserve">с использованием соответствующего технического устройства </w:t>
      </w:r>
      <w:r>
        <w:rPr>
          <w:rFonts w:ascii="Times New Roman" w:hAnsi="Times New Roman"/>
        </w:rPr>
        <w:t>указать дату принятия этого обращения</w:t>
      </w:r>
      <w:r>
        <w:rPr>
          <w:rFonts w:ascii="Times New Roman" w:hAnsi="Times New Roman"/>
        </w:rPr>
        <w:t>, наименовани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своей должности</w:t>
      </w:r>
      <w:r>
        <w:rPr>
          <w:rFonts w:ascii="Times New Roman" w:hAnsi="Times New Roman"/>
        </w:rPr>
        <w:t>, а также сво</w:t>
      </w:r>
      <w:r>
        <w:rPr>
          <w:rFonts w:ascii="Times New Roman" w:hAnsi="Times New Roman"/>
        </w:rPr>
        <w:t>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фамили</w:t>
      </w:r>
      <w:r>
        <w:rPr>
          <w:rFonts w:ascii="Times New Roman" w:hAnsi="Times New Roman"/>
        </w:rPr>
        <w:t>ю</w:t>
      </w:r>
      <w:r>
        <w:rPr>
          <w:rFonts w:ascii="Times New Roman" w:hAnsi="Times New Roman"/>
        </w:rPr>
        <w:t xml:space="preserve"> и инициал</w:t>
      </w:r>
      <w:r>
        <w:rPr>
          <w:rFonts w:ascii="Times New Roman" w:hAnsi="Times New Roman"/>
        </w:rPr>
        <w:t xml:space="preserve">ы </w:t>
      </w:r>
      <w:r>
        <w:rPr>
          <w:rFonts w:ascii="Times New Roman" w:hAnsi="Times New Roman"/>
        </w:rPr>
        <w:t xml:space="preserve">своих </w:t>
      </w:r>
      <w:r>
        <w:rPr>
          <w:rFonts w:ascii="Times New Roman" w:hAnsi="Times New Roman"/>
        </w:rPr>
        <w:t>имени и отчества</w:t>
      </w:r>
      <w:r>
        <w:rPr>
          <w:rFonts w:ascii="Times New Roman" w:hAnsi="Times New Roman"/>
          <w:b w:val="0"/>
        </w:rPr>
        <w:t>.</w:t>
      </w:r>
    </w:p>
    <w:p w14:paraId="18000000">
      <w:pPr>
        <w:widowControl w:val="0"/>
        <w:tabs>
          <w:tab w:leader="none" w:pos="709" w:val="left"/>
          <w:tab w:leader="none" w:pos="851" w:val="left"/>
        </w:tabs>
        <w:spacing w:line="240" w:lineRule="auto"/>
        <w:ind w:firstLine="709" w:lef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настоящее время законы, предоставляющие гражданам отдельные дополнительные гарантии на обращение в компетентные органы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и организации, действуют в </w:t>
      </w:r>
      <w:r>
        <w:rPr>
          <w:rFonts w:ascii="Times New Roman" w:hAnsi="Times New Roman"/>
        </w:rPr>
        <w:t>ряде субъектов</w:t>
      </w:r>
      <w:r>
        <w:rPr>
          <w:rFonts w:ascii="Times New Roman" w:hAnsi="Times New Roman"/>
        </w:rPr>
        <w:t xml:space="preserve"> Российской Федерации (например, Архангельской, Брянской, Вологодской, Воронежской, Ивановской, Мурманской, Нижегородской, Орловской, Саратовской, </w:t>
      </w:r>
      <w:r>
        <w:rPr>
          <w:rFonts w:ascii="Times New Roman" w:hAnsi="Times New Roman"/>
        </w:rPr>
        <w:t>Томской областях, г. Санкт-Петербурге, республиках Башкортостан, Коми, Крым и Татарстан).</w:t>
      </w:r>
    </w:p>
    <w:p w14:paraId="19000000">
      <w:pPr>
        <w:widowControl w:val="0"/>
        <w:tabs>
          <w:tab w:leader="none" w:pos="709" w:val="left"/>
          <w:tab w:leader="none" w:pos="851" w:val="left"/>
        </w:tabs>
        <w:spacing w:line="240" w:lineRule="auto"/>
        <w:ind w:firstLine="709" w:lef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 xml:space="preserve">Принятие проекта закона </w:t>
      </w:r>
      <w:r>
        <w:rPr>
          <w:rFonts w:ascii="Times New Roman" w:hAnsi="Times New Roman"/>
          <w:b w:val="0"/>
        </w:rPr>
        <w:t>«</w:t>
      </w:r>
      <w:r>
        <w:rPr>
          <w:rFonts w:ascii="Times New Roman" w:hAnsi="Times New Roman"/>
          <w:b w:val="0"/>
        </w:rPr>
        <w:t xml:space="preserve">О </w:t>
      </w:r>
      <w:r>
        <w:rPr>
          <w:rFonts w:ascii="Times New Roman" w:hAnsi="Times New Roman"/>
          <w:b w:val="0"/>
          <w:sz w:val="28"/>
        </w:rPr>
        <w:t xml:space="preserve">дополнительных гарантиях </w:t>
      </w:r>
      <w:r>
        <w:rPr>
          <w:rFonts w:ascii="Times New Roman" w:hAnsi="Times New Roman"/>
          <w:b w:val="0"/>
          <w:sz w:val="28"/>
        </w:rPr>
        <w:t xml:space="preserve">права граждан </w:t>
      </w:r>
      <w:r>
        <w:rPr>
          <w:rFonts w:ascii="Times New Roman" w:hAnsi="Times New Roman"/>
          <w:b w:val="0"/>
          <w:sz w:val="28"/>
        </w:rPr>
        <w:t>на обращение в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Ульяновской области</w:t>
      </w:r>
      <w:r>
        <w:rPr>
          <w:rFonts w:ascii="Times New Roman" w:hAnsi="Times New Roman"/>
          <w:b w:val="0"/>
        </w:rPr>
        <w:t xml:space="preserve">» </w:t>
      </w:r>
      <w:r>
        <w:rPr>
          <w:rFonts w:ascii="Times New Roman" w:hAnsi="Times New Roman"/>
        </w:rPr>
        <w:t xml:space="preserve">повысит уровень </w:t>
      </w:r>
      <w:r>
        <w:rPr>
          <w:rFonts w:ascii="Times New Roman" w:hAnsi="Times New Roman"/>
        </w:rPr>
        <w:t xml:space="preserve">правовых </w:t>
      </w:r>
      <w:r>
        <w:rPr>
          <w:rFonts w:ascii="Times New Roman" w:hAnsi="Times New Roman"/>
        </w:rPr>
        <w:t>гаранти</w:t>
      </w:r>
      <w:r>
        <w:rPr>
          <w:rFonts w:ascii="Times New Roman" w:hAnsi="Times New Roman"/>
        </w:rPr>
        <w:t>й</w:t>
      </w:r>
      <w:r>
        <w:rPr>
          <w:rFonts w:ascii="Times New Roman" w:hAnsi="Times New Roman"/>
        </w:rPr>
        <w:t xml:space="preserve"> права граждан на обращение</w:t>
      </w:r>
      <w:r>
        <w:rPr>
          <w:rFonts w:ascii="Times New Roman" w:hAnsi="Times New Roman"/>
        </w:rPr>
        <w:t xml:space="preserve">, а также авторитет органов публичной власти </w:t>
      </w:r>
      <w:r>
        <w:rPr>
          <w:rFonts w:ascii="Times New Roman" w:hAnsi="Times New Roman"/>
          <w:b w:val="0"/>
        </w:rPr>
        <w:t>Ульяновской области</w:t>
      </w:r>
      <w:r>
        <w:rPr>
          <w:rFonts w:ascii="Times New Roman" w:hAnsi="Times New Roman"/>
        </w:rPr>
        <w:t>.</w:t>
      </w:r>
    </w:p>
    <w:p w14:paraId="1A000000">
      <w:pPr>
        <w:widowControl w:val="0"/>
        <w:tabs>
          <w:tab w:leader="none" w:pos="709" w:val="left"/>
          <w:tab w:leader="none" w:pos="851" w:val="left"/>
        </w:tabs>
        <w:spacing w:line="240" w:lineRule="auto"/>
        <w:ind w:firstLine="709" w:lef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Законопроект подготовлен</w:t>
      </w:r>
      <w:r>
        <w:rPr>
          <w:rFonts w:ascii="Times New Roman" w:hAnsi="Times New Roman"/>
          <w:sz w:val="28"/>
        </w:rPr>
        <w:t xml:space="preserve"> старшим помощником прокурора Ульяновской области </w:t>
      </w:r>
      <w:r>
        <w:rPr>
          <w:rFonts w:ascii="Times New Roman" w:hAnsi="Times New Roman"/>
          <w:sz w:val="28"/>
        </w:rPr>
        <w:t>по взаимодействию с законодательным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 xml:space="preserve">и исполнительными органами, органами </w:t>
      </w:r>
      <w:r>
        <w:rPr>
          <w:rFonts w:ascii="Times New Roman" w:hAnsi="Times New Roman"/>
          <w:sz w:val="28"/>
        </w:rPr>
        <w:t>местного самоуправления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</w:rPr>
        <w:t>Пучкиным</w:t>
      </w:r>
      <w:r>
        <w:rPr>
          <w:rFonts w:ascii="Times New Roman" w:hAnsi="Times New Roman"/>
        </w:rPr>
        <w:t xml:space="preserve"> Д.В. </w:t>
      </w:r>
    </w:p>
    <w:p w14:paraId="1B000000">
      <w:pPr>
        <w:widowControl w:val="0"/>
        <w:ind/>
        <w:jc w:val="both"/>
        <w:rPr>
          <w:rFonts w:ascii="Times New Roman" w:hAnsi="Times New Roman"/>
        </w:rPr>
      </w:pPr>
    </w:p>
    <w:p w14:paraId="1C000000">
      <w:pPr>
        <w:widowControl w:val="0"/>
        <w:ind/>
        <w:jc w:val="both"/>
        <w:rPr>
          <w:rFonts w:ascii="Times New Roman" w:hAnsi="Times New Roman"/>
        </w:rPr>
      </w:pPr>
    </w:p>
    <w:p w14:paraId="1D000000">
      <w:pPr>
        <w:rPr>
          <w:rFonts w:ascii="Times New Roman" w:hAnsi="Times New Roman"/>
        </w:rPr>
      </w:pPr>
      <w:r>
        <w:rPr>
          <w:rFonts w:ascii="Times New Roman" w:hAnsi="Times New Roman"/>
        </w:rPr>
        <w:t>Прокурор Ульяновской области                                                    А.А. Теребунов</w:t>
      </w:r>
    </w:p>
    <w:sectPr>
      <w:headerReference r:id="rId3" w:type="default"/>
      <w:headerReference r:id="rId1" w:type="first"/>
      <w:headerReference r:id="rId5" w:type="even"/>
      <w:footerReference r:id="rId4" w:type="default"/>
      <w:footerReference r:id="rId2" w:type="first"/>
      <w:footerReference r:id="rId6" w:type="even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0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0"/>
      <w:spacing w:after="0" w:line="240" w:lineRule="auto"/>
      <w:ind/>
    </w:pPr>
    <w:rPr>
      <w:rFonts w:ascii="Times New Roman" w:hAnsi="Times New Roman"/>
      <w:sz w:val="28"/>
    </w:rPr>
  </w:style>
  <w:style w:default="1" w:styleId="Style_3_ch" w:type="character">
    <w:name w:val="Normal"/>
    <w:link w:val="Style_3"/>
    <w:rPr>
      <w:rFonts w:ascii="Times New Roman" w:hAnsi="Times New Roman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2"/>
    <w:next w:val="Style_3"/>
    <w:link w:val="Style_5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widowControl w:val="0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9" w:type="paragraph">
    <w:name w:val="List Paragraph"/>
    <w:basedOn w:val="Style_3"/>
    <w:link w:val="Style_9_ch"/>
    <w:pPr>
      <w:widowControl w:val="0"/>
      <w:ind w:firstLine="0" w:left="720"/>
      <w:contextualSpacing w:val="1"/>
    </w:pPr>
  </w:style>
  <w:style w:styleId="Style_9_ch" w:type="character">
    <w:name w:val="List Paragraph"/>
    <w:basedOn w:val="Style_3_ch"/>
    <w:link w:val="Style_9"/>
  </w:style>
  <w:style w:styleId="Style_10" w:type="paragraph">
    <w:name w:val="Endnote"/>
    <w:link w:val="Style_10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3"/>
    <w:link w:val="Style_11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doccaption"/>
    <w:link w:val="Style_12_ch"/>
  </w:style>
  <w:style w:styleId="Style_12_ch" w:type="character">
    <w:name w:val="doccaption"/>
    <w:link w:val="Style_12"/>
  </w:style>
  <w:style w:styleId="Style_13" w:type="paragraph">
    <w:name w:val="No Spacing"/>
    <w:link w:val="Style_13_ch"/>
    <w:pPr>
      <w:widowControl w:val="0"/>
      <w:spacing w:after="0" w:line="240" w:lineRule="auto"/>
      <w:ind/>
    </w:pPr>
    <w:rPr>
      <w:rFonts w:ascii="Times New Roman" w:hAnsi="Times New Roman"/>
      <w:sz w:val="28"/>
    </w:rPr>
  </w:style>
  <w:style w:styleId="Style_13_ch" w:type="character">
    <w:name w:val="No Spacing"/>
    <w:link w:val="Style_13"/>
    <w:rPr>
      <w:rFonts w:ascii="Times New Roman" w:hAnsi="Times New Roman"/>
      <w:sz w:val="28"/>
    </w:rPr>
  </w:style>
  <w:style w:styleId="Style_14" w:type="paragraph">
    <w:name w:val="toc 3"/>
    <w:next w:val="Style_3"/>
    <w:link w:val="Style_14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3"/>
    <w:link w:val="Style_15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3"/>
    <w:link w:val="Style_16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3"/>
    <w:link w:val="Style_19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Balloon Text"/>
    <w:basedOn w:val="Style_3"/>
    <w:link w:val="Style_21_ch"/>
    <w:rPr>
      <w:rFonts w:ascii="Segoe UI" w:hAnsi="Segoe UI"/>
      <w:sz w:val="18"/>
    </w:rPr>
  </w:style>
  <w:style w:styleId="Style_21_ch" w:type="character">
    <w:name w:val="Balloon Text"/>
    <w:basedOn w:val="Style_3_ch"/>
    <w:link w:val="Style_21"/>
    <w:rPr>
      <w:rFonts w:ascii="Segoe UI" w:hAnsi="Segoe UI"/>
      <w:sz w:val="18"/>
    </w:rPr>
  </w:style>
  <w:style w:styleId="Style_22" w:type="paragraph">
    <w:name w:val="toc 9"/>
    <w:next w:val="Style_3"/>
    <w:link w:val="Style_22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3"/>
    <w:link w:val="Style_23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3"/>
    <w:link w:val="Style_24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widowControl w:val="0"/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3_ch"/>
    <w:link w:val="Style_2"/>
  </w:style>
  <w:style w:styleId="Style_25" w:type="paragraph">
    <w:name w:val="Гипертекстовая ссылка"/>
    <w:basedOn w:val="Style_4"/>
    <w:link w:val="Style_25_ch"/>
    <w:rPr>
      <w:color w:val="106BBE"/>
    </w:rPr>
  </w:style>
  <w:style w:styleId="Style_25_ch" w:type="character">
    <w:name w:val="Гипертекстовая ссылка"/>
    <w:basedOn w:val="Style_4_ch"/>
    <w:link w:val="Style_25"/>
    <w:rPr>
      <w:color w:val="106BBE"/>
    </w:rPr>
  </w:style>
  <w:style w:styleId="Style_26" w:type="paragraph">
    <w:name w:val="Subtitle"/>
    <w:next w:val="Style_3"/>
    <w:link w:val="Style_26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3"/>
    <w:link w:val="Style_27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3"/>
    <w:link w:val="Style_28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3"/>
    <w:link w:val="Style_29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2025-12-26T07:20:36Z</dcterms:created>
  <dcterms:modified xsi:type="dcterms:W3CDTF">2025-12-29T13:01:44Z</dcterms:modified>
</cp:coreProperties>
</file>