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11D" w:rsidRDefault="008A2723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>ПОЯСНИТЕЛЬНАЯ ЗАПИСКА</w:t>
      </w:r>
    </w:p>
    <w:p w:rsidR="00EC011D" w:rsidRDefault="00EC011D">
      <w:pPr>
        <w:jc w:val="center"/>
        <w:rPr>
          <w:rFonts w:ascii="PT Astra Serif" w:hAnsi="PT Astra Serif"/>
          <w:b/>
          <w:sz w:val="27"/>
          <w:szCs w:val="27"/>
        </w:rPr>
      </w:pPr>
    </w:p>
    <w:p w:rsidR="00EC011D" w:rsidRDefault="008A2723">
      <w:pPr>
        <w:jc w:val="center"/>
        <w:rPr>
          <w:rFonts w:ascii="PT Astra Serif" w:hAnsi="PT Astra Serif" w:cs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>
        <w:rPr>
          <w:rFonts w:ascii="PT Astra Serif" w:hAnsi="PT Astra Serif"/>
          <w:b/>
          <w:sz w:val="27"/>
          <w:szCs w:val="27"/>
        </w:rPr>
        <w:br/>
        <w:t>«</w:t>
      </w:r>
      <w:r>
        <w:rPr>
          <w:rFonts w:ascii="PT Astra Serif" w:hAnsi="PT Astra Serif" w:cs="PT Astra Serif"/>
          <w:b/>
          <w:sz w:val="27"/>
          <w:szCs w:val="27"/>
        </w:rPr>
        <w:t>О внесении изменений в статьи 13</w:t>
      </w:r>
      <w:r>
        <w:rPr>
          <w:rFonts w:ascii="PT Astra Serif" w:hAnsi="PT Astra Serif" w:cs="PT Astra Serif"/>
          <w:b/>
          <w:sz w:val="27"/>
          <w:szCs w:val="27"/>
          <w:vertAlign w:val="superscript"/>
        </w:rPr>
        <w:t>3</w:t>
      </w:r>
      <w:r>
        <w:rPr>
          <w:rFonts w:ascii="PT Astra Serif" w:hAnsi="PT Astra Serif" w:cs="PT Astra Serif"/>
          <w:b/>
          <w:sz w:val="27"/>
          <w:szCs w:val="27"/>
        </w:rPr>
        <w:t xml:space="preserve"> и 13</w:t>
      </w:r>
      <w:r>
        <w:rPr>
          <w:rFonts w:ascii="PT Astra Serif" w:hAnsi="PT Astra Serif" w:cs="PT Astra Serif"/>
          <w:b/>
          <w:sz w:val="27"/>
          <w:szCs w:val="27"/>
          <w:vertAlign w:val="superscript"/>
        </w:rPr>
        <w:t>4</w:t>
      </w:r>
      <w:r>
        <w:rPr>
          <w:rFonts w:ascii="PT Astra Serif" w:hAnsi="PT Astra Serif" w:cs="PT Astra Serif"/>
          <w:b/>
          <w:sz w:val="27"/>
          <w:szCs w:val="27"/>
        </w:rPr>
        <w:t xml:space="preserve"> Закона Ульяновской области </w:t>
      </w:r>
    </w:p>
    <w:p w:rsidR="00EC011D" w:rsidRDefault="008A2723">
      <w:pPr>
        <w:ind w:firstLine="709"/>
        <w:jc w:val="center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 w:cs="PT Astra Serif"/>
          <w:b/>
          <w:sz w:val="27"/>
          <w:szCs w:val="27"/>
        </w:rPr>
        <w:t>«О регулировании земельных отношений в Ульяновской области»</w:t>
      </w:r>
    </w:p>
    <w:p w:rsidR="00EC011D" w:rsidRDefault="00EC011D">
      <w:pPr>
        <w:rPr>
          <w:rFonts w:ascii="PT Astra Serif" w:hAnsi="PT Astra Serif"/>
          <w:sz w:val="27"/>
          <w:szCs w:val="27"/>
        </w:rPr>
      </w:pPr>
    </w:p>
    <w:p w:rsidR="00EC011D" w:rsidRDefault="008A272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Министерством имущественных отношений, градостроительной де</w:t>
      </w:r>
      <w:r w:rsidR="00DB29F3">
        <w:rPr>
          <w:rFonts w:ascii="PT Astra Serif" w:hAnsi="PT Astra Serif"/>
          <w:sz w:val="27"/>
          <w:szCs w:val="27"/>
        </w:rPr>
        <w:t>ятельности и цифрового развития</w:t>
      </w:r>
      <w:r>
        <w:rPr>
          <w:rFonts w:ascii="PT Astra Serif" w:hAnsi="PT Astra Serif"/>
          <w:sz w:val="27"/>
          <w:szCs w:val="27"/>
        </w:rPr>
        <w:t xml:space="preserve"> Ульяновской области</w:t>
      </w:r>
      <w:r w:rsidR="00DB29F3">
        <w:rPr>
          <w:rFonts w:ascii="PT Astra Serif" w:hAnsi="PT Astra Serif"/>
          <w:sz w:val="27"/>
          <w:szCs w:val="27"/>
        </w:rPr>
        <w:t xml:space="preserve"> (далее Министерство)</w:t>
      </w:r>
      <w:r>
        <w:rPr>
          <w:rFonts w:ascii="PT Astra Serif" w:hAnsi="PT Astra Serif"/>
          <w:sz w:val="27"/>
          <w:szCs w:val="27"/>
        </w:rPr>
        <w:t xml:space="preserve"> разработан проект закона Ульяновской области «</w:t>
      </w:r>
      <w:r>
        <w:rPr>
          <w:rFonts w:ascii="PT Astra Serif" w:hAnsi="PT Astra Serif" w:cs="PT Astra Serif"/>
          <w:sz w:val="27"/>
          <w:szCs w:val="27"/>
        </w:rPr>
        <w:t>О внесении изменений в статьи 13</w:t>
      </w:r>
      <w:r>
        <w:rPr>
          <w:rFonts w:ascii="PT Astra Serif" w:hAnsi="PT Astra Serif" w:cs="PT Astra Serif"/>
          <w:sz w:val="27"/>
          <w:szCs w:val="27"/>
          <w:vertAlign w:val="superscript"/>
        </w:rPr>
        <w:t>3</w:t>
      </w:r>
      <w:r>
        <w:rPr>
          <w:rFonts w:ascii="PT Astra Serif" w:hAnsi="PT Astra Serif" w:cs="PT Astra Serif"/>
          <w:sz w:val="27"/>
          <w:szCs w:val="27"/>
        </w:rPr>
        <w:t xml:space="preserve"> и 13</w:t>
      </w:r>
      <w:r>
        <w:rPr>
          <w:rFonts w:ascii="PT Astra Serif" w:hAnsi="PT Astra Serif" w:cs="PT Astra Serif"/>
          <w:sz w:val="27"/>
          <w:szCs w:val="27"/>
          <w:vertAlign w:val="superscript"/>
        </w:rPr>
        <w:t>4</w:t>
      </w:r>
      <w:r>
        <w:rPr>
          <w:rFonts w:ascii="PT Astra Serif" w:hAnsi="PT Astra Serif" w:cs="PT Astra Serif"/>
          <w:sz w:val="27"/>
          <w:szCs w:val="27"/>
        </w:rPr>
        <w:t xml:space="preserve"> Закона Ульяновской области «О регулировании земельных отношений в Ульяновской области»</w:t>
      </w:r>
      <w:r>
        <w:rPr>
          <w:rFonts w:ascii="PT Astra Serif" w:hAnsi="PT Astra Serif"/>
          <w:sz w:val="27"/>
          <w:szCs w:val="27"/>
        </w:rPr>
        <w:t xml:space="preserve"> (далее – законопроект) в целях введения критерия постоянного проживания на территории Ульяновской области не менее пяти лет и критерия нуждаемости в улучшении жилищных условий. </w:t>
      </w:r>
    </w:p>
    <w:p w:rsidR="00EC011D" w:rsidRDefault="008A272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 имеет социальную направленность и согласуется с нормами федерального законодательства.</w:t>
      </w:r>
    </w:p>
    <w:p w:rsidR="00EC011D" w:rsidRDefault="008A272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hAnsi="PT Astra Serif"/>
          <w:sz w:val="27"/>
          <w:szCs w:val="27"/>
        </w:rPr>
        <w:t>Частью 6 статьи 39</w:t>
      </w:r>
      <w:r>
        <w:rPr>
          <w:rFonts w:ascii="PT Astra Serif" w:hAnsi="PT Astra Serif"/>
          <w:sz w:val="27"/>
          <w:szCs w:val="27"/>
          <w:vertAlign w:val="superscript"/>
        </w:rPr>
        <w:t>5</w:t>
      </w:r>
      <w:r>
        <w:rPr>
          <w:rFonts w:ascii="PT Astra Serif" w:hAnsi="PT Astra Serif"/>
          <w:sz w:val="27"/>
          <w:szCs w:val="27"/>
        </w:rPr>
        <w:t xml:space="preserve"> Земельного кодекса Российской Федерации установлено, что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органами государственной власти субъектов Российской Федерации может быть предусмотрено требование о том, что граждане, имеющие трёх и более детей, должны состоять на учёте в качестве нуждающихся в жилых помещениях или у таких граждан имеются основания для постановки их на данный учёт, а также установлена возможность предоставления таким гражданам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br/>
        <w:t>с их согласия иных мер социальной поддержки по обеспечению жилыми помещениями взамен предоставления им земельного участка в собственность бесплатно.</w:t>
      </w:r>
    </w:p>
    <w:p w:rsidR="00EC011D" w:rsidRDefault="008A272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Введение указанного требования зависит от уровня обеспеченности субъекта земельными ресурсами и финансовыми средствами, направляемыми на устройство сопутствующей инфраструктуры.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В</w:t>
      </w: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период с 2015 года по сентябрь 2018 год при постановке граждан, имеющих трех и более детей на пре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доставление земельного участка </w:t>
      </w: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>в собственность бесплатно, учитывался критерий нуждаемости в улучшении жилищных условий (По состоянию на 01.10.2018 в очереди на предоставление земельного участка в собственность бесплатно по территории Ульяновской области состояло 1843 семей).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>По состоянию на 01.08.2025 года на территории Ульяновской области: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lastRenderedPageBreak/>
        <w:t>- в очереди на предоставление земельного участка состоит 6521 многодетных семей, в том числе по городу Ульяновску – 4241 семей,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предоставлено 8581 земельных участков (г. Ульяновск - 3820 участков); 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сформировано и готово к предоставлению 337 участков, в том числе </w:t>
      </w:r>
    </w:p>
    <w:p w:rsidR="00605EDE" w:rsidRPr="00605EDE" w:rsidRDefault="00605EDE" w:rsidP="00605ED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в г. Ульяновске –11 земельных участка для индивидуального жилищного строительства (д. </w:t>
      </w:r>
      <w:proofErr w:type="spellStart"/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>Кувшиновка</w:t>
      </w:r>
      <w:proofErr w:type="spellEnd"/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). </w:t>
      </w:r>
    </w:p>
    <w:p w:rsidR="00605EDE" w:rsidRDefault="00605EDE" w:rsidP="008156D7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За период с 01.01.2025 по 01.08.2025 </w:t>
      </w:r>
      <w:r w:rsidR="008156D7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поставлено на учет 1118 семей, </w:t>
      </w:r>
      <w:r w:rsidRPr="00605EDE">
        <w:rPr>
          <w:rFonts w:ascii="PT Astra Serif" w:eastAsiaTheme="minorHAnsi" w:hAnsi="PT Astra Serif" w:cs="PT Astra Serif"/>
          <w:sz w:val="26"/>
          <w:szCs w:val="26"/>
          <w:lang w:eastAsia="en-US"/>
        </w:rPr>
        <w:t>в том числе по городу Ульяновску – 369 семей.</w:t>
      </w:r>
    </w:p>
    <w:p w:rsid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Отмена ранее существующего критерия нуждаемости привел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а к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наполнению очереди, которую в настоя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щее время необходимо обеспечить земельными участками. При этом земельные участки должны быть обеспечены объектами транспортной и инженерной инфраструктуры.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Так для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обеспечени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я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земельны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х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участков, расположенных в земельном массиве, расположенном по адресу: г. Ульяновск, р-н Ленинский, в 1970 метрах северо-западнее кольца по Московскому шоссе при выезде и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з города вдоль трассы «А-151» и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земельны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х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участк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ов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, расположенны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х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в границах земельного участка                               с кадастровым номером № 73:18:000000:199, объек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тами инженерной и транспортной  инфраструктуры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Министерством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были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направленны запросы в профильные исполнительные органы для расчёта необходимого объёма работ и ориентировочной стоимости их выполнения.  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Согласно информации, представленной Министерством транспорта Ульяновской области, общая протяженность автодорог, необходимых для приведения в нормативное состояние на земельных участках, предоставляемых для многодетных семей для индивидуального жилищного строительства, расположенных в кадастровом квартале 73:19:070901, г. Ульяновск, Ленинский район, составляет 4,14 км. Ориентировочная стоимость строительно-монтажных работ на данных автодорогах составляет 109,08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По информации администрации муниципального образования «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Тереньгульский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район», для обеспечения элементами дорожной инфраструктурой для 658 земельных участков, расположенных в пос. 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Лысогорский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, необходимо строительство автомобильных дорог из щебня протяженностью 17,755 км. </w:t>
      </w: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lastRenderedPageBreak/>
        <w:t>Ориентировочная стоимость строительно-монтажных работ составляет 200,0 млн рублей.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Согласно информации, представленной Министерством жилищно-коммунального хозяйства и строительства Ульяновской области письмом от 21.08.2025 № 73-ИОГВ-07/3471вн, для обеспечения 432 земельных участков, расположенных в кадастровом квартале 73:19:070901, г. Ульяновск Ленинский район, и 658 земельных участков, расположенных в пос. 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Лысогорский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Тереньгульского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района Ульяновской области: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Водоснабжением необходимо: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1. Проектирование водопроводных сетей. Срок - 1 год, стоимость 29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2. Геологоразведка запасов воды. Срок - 2 года, стоимость 4,5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3. Строительство 4 водозаборных скважин по 10-15 </w:t>
      </w:r>
      <w:proofErr w:type="spellStart"/>
      <w:proofErr w:type="gram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м.куб</w:t>
      </w:r>
      <w:proofErr w:type="spellEnd"/>
      <w:proofErr w:type="gram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/час, стоимость 20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4. Строительство водовода от водозаборных скважин до накопителей протяженностью 6 км, стоимостью 42 млн рублей.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5. Строительство накопительных резервуаров 2 шт. по 1000 м. куб, стоимость 18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6. Строительство водопроводных сетей в поселке 25 км, стоимость 275 млн. рублей.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Итого: 388,5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Водоотведение пос. 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Лысогорский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: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Проектные работы: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- очистные сооружения мощностью 1000 м3 /</w:t>
      </w:r>
      <w:proofErr w:type="spellStart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сут</w:t>
      </w:r>
      <w:proofErr w:type="spellEnd"/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- 18,0 млн рублей;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сети водоотведения - 18,0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Стоимость строительства: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очистные сооружения - 390,0 млн рублей;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KHC 3x18- 54,0 млн рублей;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- сети 28 км - 245,0 млн рублей. </w:t>
      </w:r>
    </w:p>
    <w:p w:rsidR="003A6FD4" w:rsidRPr="003A6FD4" w:rsidRDefault="003A6FD4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Итого: 725,0 млн рублей. </w:t>
      </w:r>
    </w:p>
    <w:p w:rsidR="003A6FD4" w:rsidRDefault="00605EDE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Таким образом,</w:t>
      </w:r>
      <w:r w:rsidR="003A6FD4"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для обеспечения </w:t>
      </w:r>
      <w:r w:rsidR="008156D7">
        <w:rPr>
          <w:rFonts w:ascii="PT Astra Serif" w:eastAsiaTheme="minorHAnsi" w:hAnsi="PT Astra Serif" w:cs="PT Astra Serif"/>
          <w:sz w:val="26"/>
          <w:szCs w:val="26"/>
          <w:lang w:eastAsia="en-US"/>
        </w:rPr>
        <w:t>одной тысячи,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уже предоставленных земельных участков</w:t>
      </w:r>
      <w:r w:rsidR="003A6FD4"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необходимо </w:t>
      </w:r>
      <w:r w:rsidR="003A6FD4"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денежные средства в размере 1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 422 </w:t>
      </w:r>
      <w:r w:rsidR="003A6FD4"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>58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0 000</w:t>
      </w:r>
      <w:r w:rsidR="003A6FD4" w:rsidRPr="003A6FD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рублей.</w:t>
      </w:r>
    </w:p>
    <w:p w:rsidR="00753F36" w:rsidRDefault="00753F36" w:rsidP="003A6FD4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lastRenderedPageBreak/>
        <w:t>При этом</w:t>
      </w:r>
      <w:r w:rsidR="008156D7">
        <w:rPr>
          <w:rFonts w:ascii="PT Astra Serif" w:eastAsiaTheme="minorHAnsi" w:hAnsi="PT Astra Serif" w:cs="PT Astra Serif"/>
          <w:sz w:val="26"/>
          <w:szCs w:val="26"/>
          <w:lang w:eastAsia="en-US"/>
        </w:rPr>
        <w:t>,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п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>о состоянию на 01.10.2025 на территории Ульяновской области имеется 450 свободных земельных участков для предоставления земельных участков многодетным семьям, однако, данные земельные участки полностью не вос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требованы многодетными семьями в том числе, в связи с отсутствием обеспечения предоставляемых земельных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участк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ов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объектами инженерной и транспортной инфраструктуры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.</w:t>
      </w:r>
    </w:p>
    <w:p w:rsidR="003A6FD4" w:rsidRDefault="00753F3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Таким образом введение 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указанного требования 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обусловлено низким уровнем 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>обеспеченно</w:t>
      </w:r>
      <w:r>
        <w:rPr>
          <w:rFonts w:ascii="PT Astra Serif" w:eastAsiaTheme="minorHAnsi" w:hAnsi="PT Astra Serif" w:cs="PT Astra Serif"/>
          <w:sz w:val="26"/>
          <w:szCs w:val="26"/>
          <w:lang w:eastAsia="en-US"/>
        </w:rPr>
        <w:t>сти Ульяновской области</w:t>
      </w:r>
      <w:r w:rsidRPr="00753F36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 финансовыми средствами, направляемыми на устройство сопутствующей инфраструктуры.</w:t>
      </w:r>
    </w:p>
    <w:p w:rsidR="00EC011D" w:rsidRDefault="008A272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Критерий нуждаемости</w:t>
      </w:r>
      <w:r w:rsidR="00753F36">
        <w:rPr>
          <w:rFonts w:ascii="PT Astra Serif" w:hAnsi="PT Astra Serif"/>
          <w:sz w:val="27"/>
          <w:szCs w:val="27"/>
        </w:rPr>
        <w:t>,</w:t>
      </w:r>
      <w:r>
        <w:rPr>
          <w:rFonts w:ascii="PT Astra Serif" w:hAnsi="PT Astra Serif"/>
          <w:sz w:val="27"/>
          <w:szCs w:val="27"/>
        </w:rPr>
        <w:t xml:space="preserve"> как условие предоставления земельного участка </w:t>
      </w:r>
      <w:r>
        <w:rPr>
          <w:rFonts w:ascii="PT Astra Serif" w:hAnsi="PT Astra Serif"/>
          <w:sz w:val="27"/>
          <w:szCs w:val="27"/>
        </w:rPr>
        <w:br/>
        <w:t xml:space="preserve">в собственность бесплатно многодетным семьям предусмотрен в ряде субъектов Российской Федерации Приволжского Федерального округа, соотносимых </w:t>
      </w:r>
      <w:r>
        <w:rPr>
          <w:rFonts w:ascii="PT Astra Serif" w:hAnsi="PT Astra Serif"/>
          <w:sz w:val="27"/>
          <w:szCs w:val="27"/>
        </w:rPr>
        <w:br/>
        <w:t>с Ульяновской областью в части земельных ресурсов и финансовых возможностей: в Мордовской и Чувашской республиках, Республике Удмуртия, Нижегородской, Пермской, Пензенской областях.</w:t>
      </w:r>
    </w:p>
    <w:p w:rsidR="00605EDE" w:rsidRDefault="00605EDE" w:rsidP="00605EDE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605EDE">
        <w:rPr>
          <w:rFonts w:ascii="PT Astra Serif" w:hAnsi="PT Astra Serif"/>
          <w:sz w:val="27"/>
          <w:szCs w:val="27"/>
        </w:rPr>
        <w:t>К</w:t>
      </w:r>
      <w:r w:rsidR="00CF6F1A">
        <w:rPr>
          <w:rFonts w:ascii="PT Astra Serif" w:hAnsi="PT Astra Serif"/>
          <w:sz w:val="27"/>
          <w:szCs w:val="27"/>
        </w:rPr>
        <w:t xml:space="preserve">ритерий постоянного проживания </w:t>
      </w:r>
      <w:r w:rsidRPr="00605EDE">
        <w:rPr>
          <w:rFonts w:ascii="PT Astra Serif" w:hAnsi="PT Astra Serif"/>
          <w:sz w:val="27"/>
          <w:szCs w:val="27"/>
        </w:rPr>
        <w:t xml:space="preserve">на </w:t>
      </w:r>
      <w:r>
        <w:rPr>
          <w:rFonts w:ascii="PT Astra Serif" w:hAnsi="PT Astra Serif"/>
          <w:sz w:val="27"/>
          <w:szCs w:val="27"/>
        </w:rPr>
        <w:t xml:space="preserve">территории Ульяновской </w:t>
      </w:r>
      <w:proofErr w:type="gramStart"/>
      <w:r>
        <w:rPr>
          <w:rFonts w:ascii="PT Astra Serif" w:hAnsi="PT Astra Serif"/>
          <w:sz w:val="27"/>
          <w:szCs w:val="27"/>
        </w:rPr>
        <w:t xml:space="preserve">области  </w:t>
      </w:r>
      <w:r w:rsidRPr="00605EDE">
        <w:rPr>
          <w:rFonts w:ascii="PT Astra Serif" w:hAnsi="PT Astra Serif"/>
          <w:sz w:val="27"/>
          <w:szCs w:val="27"/>
        </w:rPr>
        <w:t>не</w:t>
      </w:r>
      <w:proofErr w:type="gramEnd"/>
      <w:r w:rsidRPr="00605EDE">
        <w:rPr>
          <w:rFonts w:ascii="PT Astra Serif" w:hAnsi="PT Astra Serif"/>
          <w:sz w:val="27"/>
          <w:szCs w:val="27"/>
        </w:rPr>
        <w:t xml:space="preserve"> менее пяти лет</w:t>
      </w:r>
      <w:r w:rsidR="00E93C24">
        <w:rPr>
          <w:rFonts w:ascii="PT Astra Serif" w:hAnsi="PT Astra Serif"/>
          <w:sz w:val="27"/>
          <w:szCs w:val="27"/>
        </w:rPr>
        <w:t>,</w:t>
      </w:r>
      <w:r w:rsidRPr="00605EDE">
        <w:rPr>
          <w:rFonts w:ascii="PT Astra Serif" w:hAnsi="PT Astra Serif"/>
          <w:sz w:val="27"/>
          <w:szCs w:val="27"/>
        </w:rPr>
        <w:t xml:space="preserve"> как условия пре</w:t>
      </w:r>
      <w:r>
        <w:rPr>
          <w:rFonts w:ascii="PT Astra Serif" w:hAnsi="PT Astra Serif"/>
          <w:sz w:val="27"/>
          <w:szCs w:val="27"/>
        </w:rPr>
        <w:t xml:space="preserve">доставления земельного участка </w:t>
      </w:r>
      <w:r w:rsidRPr="00605EDE">
        <w:rPr>
          <w:rFonts w:ascii="PT Astra Serif" w:hAnsi="PT Astra Serif"/>
          <w:sz w:val="27"/>
          <w:szCs w:val="27"/>
        </w:rPr>
        <w:t>в собственность бесплатно, обусло</w:t>
      </w:r>
      <w:r>
        <w:rPr>
          <w:rFonts w:ascii="PT Astra Serif" w:hAnsi="PT Astra Serif"/>
          <w:sz w:val="27"/>
          <w:szCs w:val="27"/>
        </w:rPr>
        <w:t xml:space="preserve">влена получением мер поддержки </w:t>
      </w:r>
      <w:r w:rsidRPr="00605EDE">
        <w:rPr>
          <w:rFonts w:ascii="PT Astra Serif" w:hAnsi="PT Astra Serif"/>
          <w:sz w:val="27"/>
          <w:szCs w:val="27"/>
        </w:rPr>
        <w:t>в том регионе, в котором гражданин работает и проживает</w:t>
      </w:r>
      <w:r>
        <w:rPr>
          <w:rFonts w:ascii="PT Astra Serif" w:hAnsi="PT Astra Serif"/>
          <w:sz w:val="27"/>
          <w:szCs w:val="27"/>
        </w:rPr>
        <w:t>.</w:t>
      </w:r>
    </w:p>
    <w:p w:rsidR="00EC011D" w:rsidRDefault="008A2723">
      <w:pPr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Принятие законопроекта позволит установить социальную справедливость для многодетных семей, нуждающихся в предоставлении земельных участков, поскольку постановка на учёт многодетных семей без учёта уровня их достатка при ограниченности земельных ресурсов фактически приводит к ущемлению прав той категории многодетных семей, которые действительно нуждаются в социальной поддержке, в части гарантий реализации их прав на улучшении жилищных условий в разумные сроки.</w:t>
      </w:r>
    </w:p>
    <w:p w:rsidR="00EC011D" w:rsidRDefault="008A2723">
      <w:pPr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Концепция законопроекта, а также длительность переходного периода обсуждена с инициативной группой многодетных семей в рамках рабочей встречи, состоявшейся в Министерстве с участием представителей Министерства социального развития Ульяновской области.</w:t>
      </w:r>
    </w:p>
    <w:p w:rsidR="00EC011D" w:rsidRDefault="008A2723">
      <w:pPr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Инициативной группой высказана необходимость установления переходного периода вступления в силу законопроекта, равного 9 месяцам.</w:t>
      </w:r>
    </w:p>
    <w:p w:rsidR="00EC011D" w:rsidRDefault="008A2723">
      <w:pPr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lastRenderedPageBreak/>
        <w:t>Кроме того, от инициативной группы многодетных семей поступило предложение о введении критерия постоянного проживания на территории Ульяновской области не менее пяти лет как условия предоставления земельного участка в собственность бесплатно, что обусловлено получением мер поддержки в том регионе, в котором гражданин работает и проживает.</w:t>
      </w:r>
    </w:p>
    <w:p w:rsidR="00511AF9" w:rsidRPr="00511AF9" w:rsidRDefault="00511AF9" w:rsidP="00511AF9">
      <w:pPr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соответствии с </w:t>
      </w:r>
      <w:r w:rsidRPr="00511AF9">
        <w:rPr>
          <w:rFonts w:ascii="PT Astra Serif" w:hAnsi="PT Astra Serif"/>
          <w:sz w:val="27"/>
          <w:szCs w:val="27"/>
        </w:rPr>
        <w:t>Приказ</w:t>
      </w:r>
      <w:r>
        <w:rPr>
          <w:rFonts w:ascii="PT Astra Serif" w:hAnsi="PT Astra Serif"/>
          <w:sz w:val="27"/>
          <w:szCs w:val="27"/>
        </w:rPr>
        <w:t>ом</w:t>
      </w:r>
      <w:r w:rsidRPr="00511AF9">
        <w:rPr>
          <w:rFonts w:ascii="PT Astra Serif" w:hAnsi="PT Astra Serif"/>
          <w:sz w:val="27"/>
          <w:szCs w:val="27"/>
        </w:rPr>
        <w:t xml:space="preserve"> </w:t>
      </w:r>
      <w:proofErr w:type="spellStart"/>
      <w:r w:rsidRPr="00511AF9">
        <w:rPr>
          <w:rFonts w:ascii="PT Astra Serif" w:hAnsi="PT Astra Serif"/>
          <w:sz w:val="27"/>
          <w:szCs w:val="27"/>
        </w:rPr>
        <w:t>Минрегиона</w:t>
      </w:r>
      <w:proofErr w:type="spellEnd"/>
      <w:r w:rsidRPr="00511AF9">
        <w:rPr>
          <w:rFonts w:ascii="PT Astra Serif" w:hAnsi="PT Astra Serif"/>
          <w:sz w:val="27"/>
          <w:szCs w:val="27"/>
        </w:rPr>
        <w:t xml:space="preserve"> России от 09.09.2013 N 372 "Об утверждении методических рекомендаций субъектам Российской Федерации по порядку и случаям бесплатного предоставления земельных участков гражданам, имеющим трех и более детей"- иные условия для предоставления гражданам, имеющим трех и более детей, земельных участков, например, такие как проживание граждан на территории субъекта Российской Федерации в течение определенного срока до подачи заявления о постановке на учет в целях предоставления земельного участка; отсутствие сделок по отчуждению гражданами земельных участков в течение определенного срока до подачи заявления о постановке на учет в целях предоставлении другого земельного участка; дата рождения в семье третьего ребенка, начиная с которой граждане принимаются на учет в целях предоставления земельного участка и т.д., могут быть установлены законами субъектов Российской Федерации дифференцированно, исходя из сложившейся в субъектах Российской Федерации социально-экономической и демографической ситуации.</w:t>
      </w:r>
    </w:p>
    <w:p w:rsidR="00EC011D" w:rsidRDefault="008A2723" w:rsidP="00CB4ED4">
      <w:pPr>
        <w:spacing w:line="348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В связи изложенным, чтобы не нарушить права семей, ожидающих рождения третьего ребёнка и желающих получить на этом основании земельный участок, планируется установить переходный период (9 месяцев), в течение которого таким семьям можно будет встать в очередь.</w:t>
      </w:r>
    </w:p>
    <w:p w:rsidR="00EC011D" w:rsidRDefault="008A272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В рамках публичных обсуждений законопроект был размещён </w:t>
      </w:r>
      <w:r>
        <w:rPr>
          <w:rFonts w:ascii="PT Astra Serif" w:hAnsi="PT Astra Serif"/>
          <w:sz w:val="27"/>
          <w:szCs w:val="27"/>
        </w:rPr>
        <w:br/>
        <w:t xml:space="preserve">с 11.08.2025 по 25.08.2025 на специализированном ресурсе для проведения публичных обсуждений </w:t>
      </w:r>
      <w:hyperlink r:id="rId7">
        <w:r>
          <w:rPr>
            <w:rStyle w:val="a7"/>
            <w:rFonts w:ascii="PT Astra Serif" w:hAnsi="PT Astra Serif"/>
            <w:color w:val="auto"/>
            <w:sz w:val="27"/>
            <w:szCs w:val="27"/>
            <w:u w:val="none"/>
          </w:rPr>
          <w:t>http://regulation.ulgov.ru</w:t>
        </w:r>
      </w:hyperlink>
      <w:r>
        <w:rPr>
          <w:rFonts w:ascii="PT Astra Serif" w:hAnsi="PT Astra Serif"/>
          <w:sz w:val="27"/>
          <w:szCs w:val="27"/>
        </w:rPr>
        <w:t>. Позиций, содержащих замечания к законопроекту, от участников публичных обсуждений не поступало.</w:t>
      </w:r>
    </w:p>
    <w:p w:rsidR="00EC011D" w:rsidRDefault="008A2723">
      <w:pPr>
        <w:spacing w:line="360" w:lineRule="auto"/>
        <w:ind w:firstLine="709"/>
        <w:jc w:val="both"/>
        <w:rPr>
          <w:rStyle w:val="doccaption"/>
          <w:rFonts w:ascii="PT Astra Serif" w:hAnsi="PT Astra Serif" w:cs="Arial"/>
          <w:sz w:val="27"/>
          <w:szCs w:val="27"/>
          <w:shd w:val="clear" w:color="auto" w:fill="FFFFFF"/>
        </w:rPr>
      </w:pPr>
      <w:r>
        <w:rPr>
          <w:rFonts w:ascii="PT Astra Serif" w:hAnsi="PT Astra Serif"/>
          <w:sz w:val="27"/>
          <w:szCs w:val="27"/>
        </w:rPr>
        <w:t xml:space="preserve">Согласно </w:t>
      </w:r>
      <w:r w:rsidR="00E93C24">
        <w:rPr>
          <w:rFonts w:ascii="PT Astra Serif" w:hAnsi="PT Astra Serif"/>
          <w:sz w:val="27"/>
          <w:szCs w:val="27"/>
        </w:rPr>
        <w:t>заключению,</w:t>
      </w:r>
      <w:r>
        <w:rPr>
          <w:rFonts w:ascii="PT Astra Serif" w:hAnsi="PT Astra Serif"/>
          <w:sz w:val="27"/>
          <w:szCs w:val="27"/>
        </w:rPr>
        <w:t xml:space="preserve"> об оценке социально-экономической эффективности законопроект не содержит положений, способствующих сокращению объёма доходов, возникновению необоснованных расходов </w:t>
      </w:r>
      <w:r>
        <w:rPr>
          <w:rFonts w:ascii="PT Astra Serif" w:hAnsi="PT Astra Serif"/>
          <w:sz w:val="27"/>
          <w:szCs w:val="27"/>
        </w:rPr>
        <w:lastRenderedPageBreak/>
        <w:t>областного бюджета Ульяновской области и неэффективному использованию государственного имущества Ульяновской области.</w:t>
      </w:r>
    </w:p>
    <w:p w:rsidR="00EC011D" w:rsidRDefault="008A2723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Законопроект</w:t>
      </w:r>
      <w:r>
        <w:rPr>
          <w:rFonts w:ascii="PT Astra Serif" w:hAnsi="PT Astra Serif"/>
          <w:sz w:val="27"/>
          <w:szCs w:val="27"/>
          <w:lang w:eastAsia="en-US"/>
        </w:rPr>
        <w:t xml:space="preserve"> </w:t>
      </w:r>
      <w:r>
        <w:rPr>
          <w:rFonts w:ascii="PT Astra Serif" w:hAnsi="PT Astra Serif"/>
          <w:sz w:val="27"/>
          <w:szCs w:val="27"/>
        </w:rPr>
        <w:t xml:space="preserve">разработан </w:t>
      </w:r>
      <w:r>
        <w:rPr>
          <w:rFonts w:ascii="PT Astra Serif" w:hAnsi="PT Astra Serif" w:cs="PT Astra Serif"/>
          <w:color w:val="000000"/>
          <w:sz w:val="27"/>
          <w:szCs w:val="27"/>
        </w:rPr>
        <w:t>департаментом финансового, правового и административного обеспечения Министерства имущественных отношений</w:t>
      </w:r>
      <w:r w:rsidR="006F1244">
        <w:rPr>
          <w:rFonts w:ascii="PT Astra Serif" w:hAnsi="PT Astra Serif" w:cs="PT Astra Serif"/>
          <w:color w:val="000000"/>
          <w:sz w:val="27"/>
          <w:szCs w:val="27"/>
        </w:rPr>
        <w:t>,</w:t>
      </w:r>
      <w:r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6F1244">
        <w:rPr>
          <w:rFonts w:ascii="PT Astra Serif" w:hAnsi="PT Astra Serif" w:cs="PT Astra Serif"/>
          <w:color w:val="000000"/>
          <w:sz w:val="27"/>
          <w:szCs w:val="27"/>
        </w:rPr>
        <w:t xml:space="preserve">градостроительной деятельности и цифрового развития </w:t>
      </w:r>
      <w:bookmarkStart w:id="0" w:name="_GoBack"/>
      <w:bookmarkEnd w:id="0"/>
      <w:r>
        <w:rPr>
          <w:rFonts w:ascii="PT Astra Serif" w:hAnsi="PT Astra Serif" w:cs="PT Astra Serif"/>
          <w:color w:val="000000"/>
          <w:sz w:val="27"/>
          <w:szCs w:val="27"/>
        </w:rPr>
        <w:t>Ульяновской области (директор</w:t>
      </w:r>
      <w:r w:rsidR="00E93C24">
        <w:rPr>
          <w:rFonts w:ascii="PT Astra Serif" w:hAnsi="PT Astra Serif" w:cs="PT Astra Serif"/>
          <w:color w:val="000000"/>
          <w:sz w:val="27"/>
          <w:szCs w:val="27"/>
        </w:rPr>
        <w:t>ом департамента Елисеевой</w:t>
      </w:r>
      <w:r>
        <w:rPr>
          <w:rFonts w:ascii="PT Astra Serif" w:hAnsi="PT Astra Serif" w:cs="PT Astra Serif"/>
          <w:color w:val="000000"/>
          <w:sz w:val="27"/>
          <w:szCs w:val="27"/>
        </w:rPr>
        <w:t xml:space="preserve"> Е.В., телефон 58-59-94</w:t>
      </w:r>
      <w:r>
        <w:rPr>
          <w:rFonts w:ascii="PT Astra Serif" w:hAnsi="PT Astra Serif"/>
          <w:sz w:val="27"/>
          <w:szCs w:val="27"/>
        </w:rPr>
        <w:t>).</w:t>
      </w:r>
    </w:p>
    <w:p w:rsidR="00EC011D" w:rsidRDefault="00EC011D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:rsidR="00EC011D" w:rsidRDefault="00EC011D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hAnsi="PT Astra Serif"/>
          <w:sz w:val="27"/>
          <w:szCs w:val="27"/>
        </w:rPr>
      </w:pPr>
    </w:p>
    <w:p w:rsidR="00EC011D" w:rsidRDefault="008A2723">
      <w:pPr>
        <w:pStyle w:val="ad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имущественных отношений, </w:t>
      </w:r>
    </w:p>
    <w:p w:rsidR="008A2723" w:rsidRDefault="008A2723">
      <w:pPr>
        <w:pStyle w:val="ad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>
        <w:rPr>
          <w:rStyle w:val="doccaption"/>
          <w:rFonts w:ascii="PT Astra Serif" w:hAnsi="PT Astra Serif" w:hint="eastAsia"/>
          <w:bCs/>
          <w:color w:val="000000"/>
          <w:sz w:val="27"/>
          <w:szCs w:val="27"/>
          <w:shd w:val="clear" w:color="auto" w:fill="FFFFFF"/>
        </w:rPr>
        <w:t>г</w:t>
      </w:r>
      <w:r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радостроительной деятельности и цифрового развития </w:t>
      </w:r>
    </w:p>
    <w:p w:rsidR="00EC011D" w:rsidRPr="008A2723" w:rsidRDefault="008A2723">
      <w:pPr>
        <w:pStyle w:val="ad"/>
        <w:rPr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Ульяновской области                                                                              </w:t>
      </w:r>
      <w:proofErr w:type="spellStart"/>
      <w:r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О.М.Ягфаров</w:t>
      </w:r>
      <w:proofErr w:type="spellEnd"/>
    </w:p>
    <w:sectPr w:rsidR="00EC011D" w:rsidRPr="008A27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993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38" w:rsidRDefault="008A2723">
      <w:r>
        <w:separator/>
      </w:r>
    </w:p>
  </w:endnote>
  <w:endnote w:type="continuationSeparator" w:id="0">
    <w:p w:rsidR="00F53238" w:rsidRDefault="008A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1"/>
    <w:family w:val="swiss"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1D" w:rsidRDefault="00EC011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1D" w:rsidRDefault="00EC011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1D" w:rsidRDefault="00EC01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38" w:rsidRDefault="008A2723">
      <w:r>
        <w:separator/>
      </w:r>
    </w:p>
  </w:footnote>
  <w:footnote w:type="continuationSeparator" w:id="0">
    <w:p w:rsidR="00F53238" w:rsidRDefault="008A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1D" w:rsidRDefault="00EC01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:rsidR="00EC011D" w:rsidRDefault="008A2723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F1244">
          <w:rPr>
            <w:noProof/>
          </w:rPr>
          <w:t>5</w:t>
        </w:r>
        <w:r>
          <w:fldChar w:fldCharType="end"/>
        </w:r>
      </w:p>
    </w:sdtContent>
  </w:sdt>
  <w:p w:rsidR="00EC011D" w:rsidRDefault="00EC01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1D" w:rsidRDefault="00EC01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1D"/>
    <w:rsid w:val="00392DC8"/>
    <w:rsid w:val="003A6FD4"/>
    <w:rsid w:val="003E579F"/>
    <w:rsid w:val="00511AF9"/>
    <w:rsid w:val="00605EDE"/>
    <w:rsid w:val="006F1244"/>
    <w:rsid w:val="00753F36"/>
    <w:rsid w:val="008156D7"/>
    <w:rsid w:val="008A2723"/>
    <w:rsid w:val="00CB4ED4"/>
    <w:rsid w:val="00CF6F1A"/>
    <w:rsid w:val="00DB29F3"/>
    <w:rsid w:val="00E93C24"/>
    <w:rsid w:val="00EC011D"/>
    <w:rsid w:val="00F5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EAC2"/>
  <w15:docId w15:val="{58096E87-0060-4D10-9FC7-7D092077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caption">
    <w:name w:val="doccaption"/>
    <w:qFormat/>
    <w:rsid w:val="005D4556"/>
  </w:style>
  <w:style w:type="character" w:customStyle="1" w:styleId="a3">
    <w:name w:val="Верхний колонтитул Знак"/>
    <w:basedOn w:val="a0"/>
    <w:link w:val="a4"/>
    <w:uiPriority w:val="99"/>
    <w:qFormat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x-messenger-ajax">
    <w:name w:val="bx-messenger-ajax"/>
    <w:basedOn w:val="a0"/>
    <w:qFormat/>
    <w:rsid w:val="003231EF"/>
  </w:style>
  <w:style w:type="character" w:styleId="a7">
    <w:name w:val="Hyperlink"/>
    <w:basedOn w:val="a0"/>
    <w:uiPriority w:val="99"/>
    <w:semiHidden/>
    <w:unhideWhenUsed/>
    <w:rsid w:val="003349B6"/>
    <w:rPr>
      <w:color w:val="0000FF"/>
      <w:u w:val="single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61B2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styleId="ad">
    <w:name w:val="No Spacing"/>
    <w:uiPriority w:val="1"/>
    <w:qFormat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5D455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61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regulation.ulgov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3EAB2-9F69-48AB-8E88-836FA71A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PC302-01</cp:lastModifiedBy>
  <cp:revision>13</cp:revision>
  <cp:lastPrinted>2025-11-21T11:53:00Z</cp:lastPrinted>
  <dcterms:created xsi:type="dcterms:W3CDTF">2025-10-13T05:21:00Z</dcterms:created>
  <dcterms:modified xsi:type="dcterms:W3CDTF">2025-11-24T06:22:00Z</dcterms:modified>
  <dc:language>en-US</dc:language>
</cp:coreProperties>
</file>